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5E35A" w14:textId="77777777" w:rsidR="0067668F" w:rsidRPr="0063065F" w:rsidRDefault="0067668F" w:rsidP="00AF2735">
      <w:pPr>
        <w:jc w:val="left"/>
        <w:rPr>
          <w:sz w:val="96"/>
          <w:szCs w:val="96"/>
        </w:rPr>
      </w:pPr>
      <w:bookmarkStart w:id="0" w:name="_Toc282020959"/>
      <w:bookmarkStart w:id="1" w:name="_Toc313187898"/>
      <w:bookmarkStart w:id="2" w:name="_Toc313619468"/>
      <w:bookmarkStart w:id="3" w:name="_GoBack"/>
      <w:bookmarkEnd w:id="3"/>
      <w:r w:rsidRPr="0063065F">
        <w:rPr>
          <w:sz w:val="96"/>
          <w:szCs w:val="96"/>
        </w:rPr>
        <w:t>Multiple criteria approaches to public health decision-making</w:t>
      </w:r>
    </w:p>
    <w:p w14:paraId="1DFFDCF9" w14:textId="77777777" w:rsidR="008C6FEB" w:rsidRPr="00F10391" w:rsidRDefault="008C6FEB" w:rsidP="00A662B3">
      <w:pPr>
        <w:jc w:val="left"/>
      </w:pPr>
    </w:p>
    <w:p w14:paraId="7BCCF7DF" w14:textId="77777777" w:rsidR="0067668F" w:rsidRPr="0063065F" w:rsidRDefault="0067668F" w:rsidP="00A662B3">
      <w:pPr>
        <w:jc w:val="left"/>
        <w:rPr>
          <w:sz w:val="40"/>
          <w:szCs w:val="40"/>
        </w:rPr>
      </w:pPr>
      <w:r w:rsidRPr="0063065F">
        <w:rPr>
          <w:sz w:val="40"/>
          <w:szCs w:val="40"/>
        </w:rPr>
        <w:t>Brian P. Reddy M.Sc., B.A. (Hons.)</w:t>
      </w:r>
    </w:p>
    <w:p w14:paraId="014E27CB" w14:textId="77777777" w:rsidR="0067668F" w:rsidRPr="0063065F" w:rsidRDefault="0067668F" w:rsidP="00A662B3">
      <w:pPr>
        <w:jc w:val="left"/>
        <w:rPr>
          <w:sz w:val="40"/>
          <w:szCs w:val="40"/>
        </w:rPr>
      </w:pPr>
    </w:p>
    <w:p w14:paraId="2E593AF0" w14:textId="30A5DBCD" w:rsidR="0067668F" w:rsidRPr="0063065F" w:rsidRDefault="006C7AFB" w:rsidP="00005AA6">
      <w:pPr>
        <w:jc w:val="left"/>
        <w:rPr>
          <w:sz w:val="40"/>
          <w:szCs w:val="40"/>
        </w:rPr>
      </w:pPr>
      <w:r w:rsidRPr="0063065F">
        <w:rPr>
          <w:sz w:val="40"/>
          <w:szCs w:val="40"/>
        </w:rPr>
        <w:t>Thesis</w:t>
      </w:r>
      <w:r w:rsidR="0067668F" w:rsidRPr="0063065F">
        <w:rPr>
          <w:sz w:val="40"/>
          <w:szCs w:val="40"/>
        </w:rPr>
        <w:t xml:space="preserve"> submitted for the degree of Doctor of Philosophy</w:t>
      </w:r>
    </w:p>
    <w:p w14:paraId="3036D8C4" w14:textId="77777777" w:rsidR="0067668F" w:rsidRPr="0063065F" w:rsidRDefault="0067668F" w:rsidP="00005AA6">
      <w:pPr>
        <w:jc w:val="left"/>
        <w:rPr>
          <w:sz w:val="40"/>
          <w:szCs w:val="40"/>
        </w:rPr>
      </w:pPr>
    </w:p>
    <w:p w14:paraId="4326926F" w14:textId="77777777" w:rsidR="0067668F" w:rsidRPr="0063065F" w:rsidRDefault="0067668F" w:rsidP="00005AA6">
      <w:pPr>
        <w:jc w:val="left"/>
        <w:rPr>
          <w:sz w:val="40"/>
          <w:szCs w:val="40"/>
        </w:rPr>
      </w:pPr>
      <w:r w:rsidRPr="0063065F">
        <w:rPr>
          <w:sz w:val="40"/>
          <w:szCs w:val="40"/>
        </w:rPr>
        <w:t>School of Health and Related Research, University of Sheffield</w:t>
      </w:r>
    </w:p>
    <w:p w14:paraId="39CC8980" w14:textId="77777777" w:rsidR="0067668F" w:rsidRPr="0063065F" w:rsidRDefault="0067668F" w:rsidP="00005AA6">
      <w:pPr>
        <w:jc w:val="left"/>
        <w:rPr>
          <w:sz w:val="40"/>
          <w:szCs w:val="40"/>
        </w:rPr>
      </w:pPr>
    </w:p>
    <w:p w14:paraId="4D08DE0D" w14:textId="47A86382" w:rsidR="008C6FEB" w:rsidRPr="0063065F" w:rsidRDefault="00B37229" w:rsidP="00D24504">
      <w:pPr>
        <w:jc w:val="left"/>
        <w:rPr>
          <w:sz w:val="40"/>
          <w:szCs w:val="40"/>
        </w:rPr>
      </w:pPr>
      <w:r>
        <w:rPr>
          <w:sz w:val="40"/>
          <w:szCs w:val="40"/>
        </w:rPr>
        <w:t xml:space="preserve">March </w:t>
      </w:r>
      <w:r w:rsidR="00441A7E">
        <w:rPr>
          <w:sz w:val="40"/>
          <w:szCs w:val="40"/>
        </w:rPr>
        <w:t>2017</w:t>
      </w:r>
    </w:p>
    <w:p w14:paraId="683B6692" w14:textId="77777777" w:rsidR="008C6FEB" w:rsidRPr="00F10391" w:rsidRDefault="008C6FEB" w:rsidP="00494A9A"/>
    <w:p w14:paraId="6D83A16E" w14:textId="65EE02BD" w:rsidR="00DD160F" w:rsidRDefault="00DD160F" w:rsidP="0063065F">
      <w:r>
        <w:br w:type="page"/>
      </w:r>
    </w:p>
    <w:p w14:paraId="6DD4D7F8" w14:textId="77777777" w:rsidR="00DD160F" w:rsidRDefault="00DD160F" w:rsidP="0063065F"/>
    <w:p w14:paraId="327CF35D" w14:textId="77777777" w:rsidR="0067668F" w:rsidRPr="00F10391" w:rsidRDefault="00F10391" w:rsidP="00A662B3">
      <w:pPr>
        <w:jc w:val="center"/>
        <w:sectPr w:rsidR="0067668F" w:rsidRPr="00F10391" w:rsidSect="003569DA">
          <w:footnotePr>
            <w:numFmt w:val="lowerRoman"/>
          </w:footnotePr>
          <w:pgSz w:w="11906" w:h="16838" w:code="9"/>
          <w:pgMar w:top="1440" w:right="1440" w:bottom="1440" w:left="1440" w:header="708" w:footer="708" w:gutter="0"/>
          <w:cols w:space="708"/>
          <w:docGrid w:linePitch="360"/>
        </w:sectPr>
      </w:pPr>
      <w:r>
        <w:t>To</w:t>
      </w:r>
      <w:r w:rsidR="002C6EB6" w:rsidRPr="00F10391">
        <w:t xml:space="preserve"> Louise.</w:t>
      </w:r>
    </w:p>
    <w:p w14:paraId="7E90FF76" w14:textId="77777777" w:rsidR="0067668F" w:rsidRPr="00F10391" w:rsidRDefault="0067668F" w:rsidP="00494A9A">
      <w:pPr>
        <w:pStyle w:val="Heading2"/>
      </w:pPr>
      <w:bookmarkStart w:id="4" w:name="_Toc313187802"/>
      <w:bookmarkStart w:id="5" w:name="_Toc453595410"/>
      <w:bookmarkStart w:id="6" w:name="_Toc476241505"/>
      <w:r w:rsidRPr="00F10391">
        <w:lastRenderedPageBreak/>
        <w:t>Contents</w:t>
      </w:r>
      <w:bookmarkEnd w:id="4"/>
      <w:bookmarkEnd w:id="5"/>
      <w:bookmarkEnd w:id="6"/>
    </w:p>
    <w:p w14:paraId="1BA5596A" w14:textId="77777777" w:rsidR="0067668F" w:rsidRPr="00F10391" w:rsidRDefault="0067668F" w:rsidP="00494A9A">
      <w:pPr>
        <w:pStyle w:val="TOC2"/>
      </w:pPr>
    </w:p>
    <w:p w14:paraId="546F14D3" w14:textId="34922BB0" w:rsidR="00E516A2" w:rsidRDefault="00175183">
      <w:pPr>
        <w:pStyle w:val="TOC2"/>
        <w:rPr>
          <w:rFonts w:asciiTheme="minorHAnsi" w:eastAsiaTheme="minorEastAsia" w:hAnsiTheme="minorHAnsi" w:cstheme="minorBidi"/>
          <w:b w:val="0"/>
          <w:noProof/>
          <w:sz w:val="22"/>
          <w:szCs w:val="22"/>
          <w:lang w:val="en-IE" w:eastAsia="en-IE"/>
        </w:rPr>
      </w:pPr>
      <w:r w:rsidRPr="00F476AF">
        <w:rPr>
          <w:sz w:val="22"/>
          <w:szCs w:val="22"/>
        </w:rPr>
        <w:fldChar w:fldCharType="begin"/>
      </w:r>
      <w:r w:rsidRPr="00F476AF">
        <w:rPr>
          <w:sz w:val="22"/>
          <w:szCs w:val="22"/>
        </w:rPr>
        <w:instrText xml:space="preserve"> TOC \o "1-5" </w:instrText>
      </w:r>
      <w:r w:rsidRPr="00F476AF">
        <w:rPr>
          <w:sz w:val="22"/>
          <w:szCs w:val="22"/>
        </w:rPr>
        <w:fldChar w:fldCharType="separate"/>
      </w:r>
      <w:r w:rsidR="00E516A2">
        <w:rPr>
          <w:noProof/>
        </w:rPr>
        <w:t>Contents</w:t>
      </w:r>
      <w:r w:rsidR="00E516A2">
        <w:rPr>
          <w:noProof/>
        </w:rPr>
        <w:tab/>
      </w:r>
      <w:r w:rsidR="00E516A2">
        <w:rPr>
          <w:noProof/>
        </w:rPr>
        <w:fldChar w:fldCharType="begin"/>
      </w:r>
      <w:r w:rsidR="00E516A2">
        <w:rPr>
          <w:noProof/>
        </w:rPr>
        <w:instrText xml:space="preserve"> PAGEREF _Toc476241505 \h </w:instrText>
      </w:r>
      <w:r w:rsidR="00E516A2">
        <w:rPr>
          <w:noProof/>
        </w:rPr>
      </w:r>
      <w:r w:rsidR="00E516A2">
        <w:rPr>
          <w:noProof/>
        </w:rPr>
        <w:fldChar w:fldCharType="separate"/>
      </w:r>
      <w:r w:rsidR="00E516A2">
        <w:rPr>
          <w:noProof/>
        </w:rPr>
        <w:t>iii</w:t>
      </w:r>
      <w:r w:rsidR="00E516A2">
        <w:rPr>
          <w:noProof/>
        </w:rPr>
        <w:fldChar w:fldCharType="end"/>
      </w:r>
    </w:p>
    <w:p w14:paraId="447ED884" w14:textId="107FDAAD" w:rsidR="00E516A2" w:rsidRDefault="00E516A2">
      <w:pPr>
        <w:pStyle w:val="TOC2"/>
        <w:rPr>
          <w:rFonts w:asciiTheme="minorHAnsi" w:eastAsiaTheme="minorEastAsia" w:hAnsiTheme="minorHAnsi" w:cstheme="minorBidi"/>
          <w:b w:val="0"/>
          <w:noProof/>
          <w:sz w:val="22"/>
          <w:szCs w:val="22"/>
          <w:lang w:val="en-IE" w:eastAsia="en-IE"/>
        </w:rPr>
      </w:pPr>
      <w:r w:rsidRPr="00342E21">
        <w:rPr>
          <w:noProof/>
          <w:lang w:val="en-IE"/>
        </w:rPr>
        <w:t>Abstract</w:t>
      </w:r>
      <w:r>
        <w:rPr>
          <w:noProof/>
        </w:rPr>
        <w:tab/>
      </w:r>
      <w:r>
        <w:rPr>
          <w:noProof/>
        </w:rPr>
        <w:fldChar w:fldCharType="begin"/>
      </w:r>
      <w:r>
        <w:rPr>
          <w:noProof/>
        </w:rPr>
        <w:instrText xml:space="preserve"> PAGEREF _Toc476241506 \h </w:instrText>
      </w:r>
      <w:r>
        <w:rPr>
          <w:noProof/>
        </w:rPr>
      </w:r>
      <w:r>
        <w:rPr>
          <w:noProof/>
        </w:rPr>
        <w:fldChar w:fldCharType="separate"/>
      </w:r>
      <w:r>
        <w:rPr>
          <w:noProof/>
        </w:rPr>
        <w:t>viii</w:t>
      </w:r>
      <w:r>
        <w:rPr>
          <w:noProof/>
        </w:rPr>
        <w:fldChar w:fldCharType="end"/>
      </w:r>
    </w:p>
    <w:p w14:paraId="51450F14" w14:textId="31B71184" w:rsidR="00E516A2" w:rsidRDefault="00E516A2">
      <w:pPr>
        <w:pStyle w:val="TOC2"/>
        <w:rPr>
          <w:rFonts w:asciiTheme="minorHAnsi" w:eastAsiaTheme="minorEastAsia" w:hAnsiTheme="minorHAnsi" w:cstheme="minorBidi"/>
          <w:b w:val="0"/>
          <w:noProof/>
          <w:sz w:val="22"/>
          <w:szCs w:val="22"/>
          <w:lang w:val="en-IE" w:eastAsia="en-IE"/>
        </w:rPr>
      </w:pPr>
      <w:r>
        <w:rPr>
          <w:noProof/>
        </w:rPr>
        <w:t>Acknowledgements</w:t>
      </w:r>
      <w:r>
        <w:rPr>
          <w:noProof/>
        </w:rPr>
        <w:tab/>
      </w:r>
      <w:r>
        <w:rPr>
          <w:noProof/>
        </w:rPr>
        <w:fldChar w:fldCharType="begin"/>
      </w:r>
      <w:r>
        <w:rPr>
          <w:noProof/>
        </w:rPr>
        <w:instrText xml:space="preserve"> PAGEREF _Toc476241507 \h </w:instrText>
      </w:r>
      <w:r>
        <w:rPr>
          <w:noProof/>
        </w:rPr>
      </w:r>
      <w:r>
        <w:rPr>
          <w:noProof/>
        </w:rPr>
        <w:fldChar w:fldCharType="separate"/>
      </w:r>
      <w:r>
        <w:rPr>
          <w:noProof/>
        </w:rPr>
        <w:t>ix</w:t>
      </w:r>
      <w:r>
        <w:rPr>
          <w:noProof/>
        </w:rPr>
        <w:fldChar w:fldCharType="end"/>
      </w:r>
    </w:p>
    <w:p w14:paraId="616044E9" w14:textId="2B91664D" w:rsidR="00E516A2" w:rsidRDefault="00E516A2">
      <w:pPr>
        <w:pStyle w:val="TOC2"/>
        <w:rPr>
          <w:rFonts w:asciiTheme="minorHAnsi" w:eastAsiaTheme="minorEastAsia" w:hAnsiTheme="minorHAnsi" w:cstheme="minorBidi"/>
          <w:b w:val="0"/>
          <w:noProof/>
          <w:sz w:val="22"/>
          <w:szCs w:val="22"/>
          <w:lang w:val="en-IE" w:eastAsia="en-IE"/>
        </w:rPr>
      </w:pPr>
      <w:r>
        <w:rPr>
          <w:noProof/>
        </w:rPr>
        <w:t>List of acronyms</w:t>
      </w:r>
      <w:r>
        <w:rPr>
          <w:noProof/>
        </w:rPr>
        <w:tab/>
      </w:r>
      <w:r>
        <w:rPr>
          <w:noProof/>
        </w:rPr>
        <w:fldChar w:fldCharType="begin"/>
      </w:r>
      <w:r>
        <w:rPr>
          <w:noProof/>
        </w:rPr>
        <w:instrText xml:space="preserve"> PAGEREF _Toc476241508 \h </w:instrText>
      </w:r>
      <w:r>
        <w:rPr>
          <w:noProof/>
        </w:rPr>
      </w:r>
      <w:r>
        <w:rPr>
          <w:noProof/>
        </w:rPr>
        <w:fldChar w:fldCharType="separate"/>
      </w:r>
      <w:r>
        <w:rPr>
          <w:noProof/>
        </w:rPr>
        <w:t>xi</w:t>
      </w:r>
      <w:r>
        <w:rPr>
          <w:noProof/>
        </w:rPr>
        <w:fldChar w:fldCharType="end"/>
      </w:r>
    </w:p>
    <w:p w14:paraId="454085E5" w14:textId="374E1FF6" w:rsidR="00E516A2" w:rsidRDefault="00E516A2">
      <w:pPr>
        <w:pStyle w:val="TOC2"/>
        <w:rPr>
          <w:rFonts w:asciiTheme="minorHAnsi" w:eastAsiaTheme="minorEastAsia" w:hAnsiTheme="minorHAnsi" w:cstheme="minorBidi"/>
          <w:b w:val="0"/>
          <w:noProof/>
          <w:sz w:val="22"/>
          <w:szCs w:val="22"/>
          <w:lang w:val="en-IE" w:eastAsia="en-IE"/>
        </w:rPr>
      </w:pPr>
      <w:r>
        <w:rPr>
          <w:noProof/>
        </w:rPr>
        <w:t>List of tables</w:t>
      </w:r>
      <w:r>
        <w:rPr>
          <w:noProof/>
        </w:rPr>
        <w:tab/>
      </w:r>
      <w:r>
        <w:rPr>
          <w:noProof/>
        </w:rPr>
        <w:fldChar w:fldCharType="begin"/>
      </w:r>
      <w:r>
        <w:rPr>
          <w:noProof/>
        </w:rPr>
        <w:instrText xml:space="preserve"> PAGEREF _Toc476241509 \h </w:instrText>
      </w:r>
      <w:r>
        <w:rPr>
          <w:noProof/>
        </w:rPr>
      </w:r>
      <w:r>
        <w:rPr>
          <w:noProof/>
        </w:rPr>
        <w:fldChar w:fldCharType="separate"/>
      </w:r>
      <w:r>
        <w:rPr>
          <w:noProof/>
        </w:rPr>
        <w:t>xiv</w:t>
      </w:r>
      <w:r>
        <w:rPr>
          <w:noProof/>
        </w:rPr>
        <w:fldChar w:fldCharType="end"/>
      </w:r>
    </w:p>
    <w:p w14:paraId="575D8791" w14:textId="17BB529A" w:rsidR="00E516A2" w:rsidRDefault="00E516A2">
      <w:pPr>
        <w:pStyle w:val="TOC2"/>
        <w:rPr>
          <w:rFonts w:asciiTheme="minorHAnsi" w:eastAsiaTheme="minorEastAsia" w:hAnsiTheme="minorHAnsi" w:cstheme="minorBidi"/>
          <w:b w:val="0"/>
          <w:noProof/>
          <w:sz w:val="22"/>
          <w:szCs w:val="22"/>
          <w:lang w:val="en-IE" w:eastAsia="en-IE"/>
        </w:rPr>
      </w:pPr>
      <w:r>
        <w:rPr>
          <w:noProof/>
        </w:rPr>
        <w:t>List of figures</w:t>
      </w:r>
      <w:r>
        <w:rPr>
          <w:noProof/>
        </w:rPr>
        <w:tab/>
      </w:r>
      <w:r>
        <w:rPr>
          <w:noProof/>
        </w:rPr>
        <w:fldChar w:fldCharType="begin"/>
      </w:r>
      <w:r>
        <w:rPr>
          <w:noProof/>
        </w:rPr>
        <w:instrText xml:space="preserve"> PAGEREF _Toc476241510 \h </w:instrText>
      </w:r>
      <w:r>
        <w:rPr>
          <w:noProof/>
        </w:rPr>
      </w:r>
      <w:r>
        <w:rPr>
          <w:noProof/>
        </w:rPr>
        <w:fldChar w:fldCharType="separate"/>
      </w:r>
      <w:r>
        <w:rPr>
          <w:noProof/>
        </w:rPr>
        <w:t>xvi</w:t>
      </w:r>
      <w:r>
        <w:rPr>
          <w:noProof/>
        </w:rPr>
        <w:fldChar w:fldCharType="end"/>
      </w:r>
    </w:p>
    <w:p w14:paraId="3A26BCAA" w14:textId="62942A49" w:rsidR="00E516A2" w:rsidRDefault="00E516A2">
      <w:pPr>
        <w:pStyle w:val="TOC2"/>
        <w:rPr>
          <w:rFonts w:asciiTheme="minorHAnsi" w:eastAsiaTheme="minorEastAsia" w:hAnsiTheme="minorHAnsi" w:cstheme="minorBidi"/>
          <w:b w:val="0"/>
          <w:noProof/>
          <w:sz w:val="22"/>
          <w:szCs w:val="22"/>
          <w:lang w:val="en-IE" w:eastAsia="en-IE"/>
        </w:rPr>
      </w:pPr>
      <w:r>
        <w:rPr>
          <w:noProof/>
        </w:rPr>
        <w:t>Dissemination</w:t>
      </w:r>
      <w:r>
        <w:rPr>
          <w:noProof/>
        </w:rPr>
        <w:tab/>
      </w:r>
      <w:r>
        <w:rPr>
          <w:noProof/>
        </w:rPr>
        <w:fldChar w:fldCharType="begin"/>
      </w:r>
      <w:r>
        <w:rPr>
          <w:noProof/>
        </w:rPr>
        <w:instrText xml:space="preserve"> PAGEREF _Toc476241511 \h </w:instrText>
      </w:r>
      <w:r>
        <w:rPr>
          <w:noProof/>
        </w:rPr>
      </w:r>
      <w:r>
        <w:rPr>
          <w:noProof/>
        </w:rPr>
        <w:fldChar w:fldCharType="separate"/>
      </w:r>
      <w:r>
        <w:rPr>
          <w:noProof/>
        </w:rPr>
        <w:t>xviii</w:t>
      </w:r>
      <w:r>
        <w:rPr>
          <w:noProof/>
        </w:rPr>
        <w:fldChar w:fldCharType="end"/>
      </w:r>
    </w:p>
    <w:p w14:paraId="7B208A50" w14:textId="19F53864" w:rsidR="00E516A2" w:rsidRDefault="00E516A2">
      <w:pPr>
        <w:pStyle w:val="TOC3"/>
        <w:tabs>
          <w:tab w:val="right" w:leader="dot" w:pos="9016"/>
        </w:tabs>
        <w:rPr>
          <w:rFonts w:asciiTheme="minorHAnsi" w:eastAsiaTheme="minorEastAsia" w:hAnsiTheme="minorHAnsi" w:cstheme="minorBidi"/>
          <w:noProof/>
          <w:sz w:val="22"/>
          <w:szCs w:val="22"/>
          <w:lang w:val="en-IE" w:eastAsia="en-IE"/>
        </w:rPr>
      </w:pPr>
      <w:r>
        <w:rPr>
          <w:noProof/>
        </w:rPr>
        <w:t>Papers</w:t>
      </w:r>
      <w:r>
        <w:rPr>
          <w:noProof/>
        </w:rPr>
        <w:tab/>
      </w:r>
      <w:r>
        <w:rPr>
          <w:noProof/>
        </w:rPr>
        <w:fldChar w:fldCharType="begin"/>
      </w:r>
      <w:r>
        <w:rPr>
          <w:noProof/>
        </w:rPr>
        <w:instrText xml:space="preserve"> PAGEREF _Toc476241512 \h </w:instrText>
      </w:r>
      <w:r>
        <w:rPr>
          <w:noProof/>
        </w:rPr>
      </w:r>
      <w:r>
        <w:rPr>
          <w:noProof/>
        </w:rPr>
        <w:fldChar w:fldCharType="separate"/>
      </w:r>
      <w:r>
        <w:rPr>
          <w:noProof/>
        </w:rPr>
        <w:t>xviii</w:t>
      </w:r>
      <w:r>
        <w:rPr>
          <w:noProof/>
        </w:rPr>
        <w:fldChar w:fldCharType="end"/>
      </w:r>
    </w:p>
    <w:p w14:paraId="2A6726FC" w14:textId="4471375F" w:rsidR="00E516A2" w:rsidRDefault="00E516A2">
      <w:pPr>
        <w:pStyle w:val="TOC3"/>
        <w:tabs>
          <w:tab w:val="right" w:leader="dot" w:pos="9016"/>
        </w:tabs>
        <w:rPr>
          <w:rFonts w:asciiTheme="minorHAnsi" w:eastAsiaTheme="minorEastAsia" w:hAnsiTheme="minorHAnsi" w:cstheme="minorBidi"/>
          <w:noProof/>
          <w:sz w:val="22"/>
          <w:szCs w:val="22"/>
          <w:lang w:val="en-IE" w:eastAsia="en-IE"/>
        </w:rPr>
      </w:pPr>
      <w:r>
        <w:rPr>
          <w:noProof/>
        </w:rPr>
        <w:t>Book chapter</w:t>
      </w:r>
      <w:r>
        <w:rPr>
          <w:noProof/>
        </w:rPr>
        <w:tab/>
      </w:r>
      <w:r>
        <w:rPr>
          <w:noProof/>
        </w:rPr>
        <w:fldChar w:fldCharType="begin"/>
      </w:r>
      <w:r>
        <w:rPr>
          <w:noProof/>
        </w:rPr>
        <w:instrText xml:space="preserve"> PAGEREF _Toc476241513 \h </w:instrText>
      </w:r>
      <w:r>
        <w:rPr>
          <w:noProof/>
        </w:rPr>
      </w:r>
      <w:r>
        <w:rPr>
          <w:noProof/>
        </w:rPr>
        <w:fldChar w:fldCharType="separate"/>
      </w:r>
      <w:r>
        <w:rPr>
          <w:noProof/>
        </w:rPr>
        <w:t>xviii</w:t>
      </w:r>
      <w:r>
        <w:rPr>
          <w:noProof/>
        </w:rPr>
        <w:fldChar w:fldCharType="end"/>
      </w:r>
    </w:p>
    <w:p w14:paraId="524F5834" w14:textId="522518DA" w:rsidR="00E516A2" w:rsidRDefault="00E516A2">
      <w:pPr>
        <w:pStyle w:val="TOC3"/>
        <w:tabs>
          <w:tab w:val="right" w:leader="dot" w:pos="9016"/>
        </w:tabs>
        <w:rPr>
          <w:rFonts w:asciiTheme="minorHAnsi" w:eastAsiaTheme="minorEastAsia" w:hAnsiTheme="minorHAnsi" w:cstheme="minorBidi"/>
          <w:noProof/>
          <w:sz w:val="22"/>
          <w:szCs w:val="22"/>
          <w:lang w:val="en-IE" w:eastAsia="en-IE"/>
        </w:rPr>
      </w:pPr>
      <w:r>
        <w:rPr>
          <w:noProof/>
        </w:rPr>
        <w:t>Conference presentations and first authoured posters</w:t>
      </w:r>
      <w:r>
        <w:rPr>
          <w:noProof/>
        </w:rPr>
        <w:tab/>
      </w:r>
      <w:r>
        <w:rPr>
          <w:noProof/>
        </w:rPr>
        <w:fldChar w:fldCharType="begin"/>
      </w:r>
      <w:r>
        <w:rPr>
          <w:noProof/>
        </w:rPr>
        <w:instrText xml:space="preserve"> PAGEREF _Toc476241514 \h </w:instrText>
      </w:r>
      <w:r>
        <w:rPr>
          <w:noProof/>
        </w:rPr>
      </w:r>
      <w:r>
        <w:rPr>
          <w:noProof/>
        </w:rPr>
        <w:fldChar w:fldCharType="separate"/>
      </w:r>
      <w:r>
        <w:rPr>
          <w:noProof/>
        </w:rPr>
        <w:t>xviii</w:t>
      </w:r>
      <w:r>
        <w:rPr>
          <w:noProof/>
        </w:rPr>
        <w:fldChar w:fldCharType="end"/>
      </w:r>
    </w:p>
    <w:p w14:paraId="48F7A7BE" w14:textId="08F07422"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rPr>
        <w:t>Chapter 1:</w:t>
      </w:r>
      <w:r>
        <w:rPr>
          <w:rFonts w:asciiTheme="minorHAnsi" w:eastAsiaTheme="minorEastAsia" w:hAnsiTheme="minorHAnsi" w:cstheme="minorBidi"/>
          <w:b w:val="0"/>
          <w:caps w:val="0"/>
          <w:noProof/>
          <w:sz w:val="22"/>
          <w:szCs w:val="22"/>
          <w:lang w:val="en-IE" w:eastAsia="en-IE"/>
        </w:rPr>
        <w:tab/>
      </w:r>
      <w:r>
        <w:rPr>
          <w:noProof/>
        </w:rPr>
        <w:t xml:space="preserve"> Thesis overview</w:t>
      </w:r>
      <w:r>
        <w:rPr>
          <w:noProof/>
        </w:rPr>
        <w:tab/>
      </w:r>
      <w:r>
        <w:rPr>
          <w:noProof/>
        </w:rPr>
        <w:fldChar w:fldCharType="begin"/>
      </w:r>
      <w:r>
        <w:rPr>
          <w:noProof/>
        </w:rPr>
        <w:instrText xml:space="preserve"> PAGEREF _Toc476241515 \h </w:instrText>
      </w:r>
      <w:r>
        <w:rPr>
          <w:noProof/>
        </w:rPr>
      </w:r>
      <w:r>
        <w:rPr>
          <w:noProof/>
        </w:rPr>
        <w:fldChar w:fldCharType="separate"/>
      </w:r>
      <w:r>
        <w:rPr>
          <w:noProof/>
        </w:rPr>
        <w:t>1</w:t>
      </w:r>
      <w:r>
        <w:rPr>
          <w:noProof/>
        </w:rPr>
        <w:fldChar w:fldCharType="end"/>
      </w:r>
    </w:p>
    <w:p w14:paraId="5FEB1098" w14:textId="28B086A9"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1.1</w:t>
      </w:r>
      <w:r>
        <w:rPr>
          <w:rFonts w:asciiTheme="minorHAnsi" w:eastAsiaTheme="minorEastAsia" w:hAnsiTheme="minorHAnsi" w:cstheme="minorBidi"/>
          <w:b w:val="0"/>
          <w:noProof/>
          <w:sz w:val="22"/>
          <w:szCs w:val="22"/>
          <w:lang w:val="en-IE" w:eastAsia="en-IE"/>
        </w:rPr>
        <w:tab/>
      </w:r>
      <w:r>
        <w:rPr>
          <w:noProof/>
        </w:rPr>
        <w:t xml:space="preserve"> Background and problem specification</w:t>
      </w:r>
      <w:r>
        <w:rPr>
          <w:noProof/>
        </w:rPr>
        <w:tab/>
      </w:r>
      <w:r>
        <w:rPr>
          <w:noProof/>
        </w:rPr>
        <w:fldChar w:fldCharType="begin"/>
      </w:r>
      <w:r>
        <w:rPr>
          <w:noProof/>
        </w:rPr>
        <w:instrText xml:space="preserve"> PAGEREF _Toc476241516 \h </w:instrText>
      </w:r>
      <w:r>
        <w:rPr>
          <w:noProof/>
        </w:rPr>
      </w:r>
      <w:r>
        <w:rPr>
          <w:noProof/>
        </w:rPr>
        <w:fldChar w:fldCharType="separate"/>
      </w:r>
      <w:r>
        <w:rPr>
          <w:noProof/>
        </w:rPr>
        <w:t>1</w:t>
      </w:r>
      <w:r>
        <w:rPr>
          <w:noProof/>
        </w:rPr>
        <w:fldChar w:fldCharType="end"/>
      </w:r>
    </w:p>
    <w:p w14:paraId="57E878A0" w14:textId="5CB45D52"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1.2</w:t>
      </w:r>
      <w:r>
        <w:rPr>
          <w:rFonts w:asciiTheme="minorHAnsi" w:eastAsiaTheme="minorEastAsia" w:hAnsiTheme="minorHAnsi" w:cstheme="minorBidi"/>
          <w:b w:val="0"/>
          <w:noProof/>
          <w:sz w:val="22"/>
          <w:szCs w:val="22"/>
          <w:lang w:val="en-IE" w:eastAsia="en-IE"/>
        </w:rPr>
        <w:tab/>
      </w:r>
      <w:r>
        <w:rPr>
          <w:noProof/>
        </w:rPr>
        <w:t xml:space="preserve"> Methods and research model</w:t>
      </w:r>
      <w:r>
        <w:rPr>
          <w:noProof/>
        </w:rPr>
        <w:tab/>
      </w:r>
      <w:r>
        <w:rPr>
          <w:noProof/>
        </w:rPr>
        <w:fldChar w:fldCharType="begin"/>
      </w:r>
      <w:r>
        <w:rPr>
          <w:noProof/>
        </w:rPr>
        <w:instrText xml:space="preserve"> PAGEREF _Toc476241517 \h </w:instrText>
      </w:r>
      <w:r>
        <w:rPr>
          <w:noProof/>
        </w:rPr>
      </w:r>
      <w:r>
        <w:rPr>
          <w:noProof/>
        </w:rPr>
        <w:fldChar w:fldCharType="separate"/>
      </w:r>
      <w:r>
        <w:rPr>
          <w:noProof/>
        </w:rPr>
        <w:t>3</w:t>
      </w:r>
      <w:r>
        <w:rPr>
          <w:noProof/>
        </w:rPr>
        <w:fldChar w:fldCharType="end"/>
      </w:r>
    </w:p>
    <w:p w14:paraId="0C687110" w14:textId="04DE213B"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1.3</w:t>
      </w:r>
      <w:r>
        <w:rPr>
          <w:rFonts w:asciiTheme="minorHAnsi" w:eastAsiaTheme="minorEastAsia" w:hAnsiTheme="minorHAnsi" w:cstheme="minorBidi"/>
          <w:b w:val="0"/>
          <w:noProof/>
          <w:sz w:val="22"/>
          <w:szCs w:val="22"/>
          <w:lang w:val="en-IE" w:eastAsia="en-IE"/>
        </w:rPr>
        <w:tab/>
      </w:r>
      <w:r>
        <w:rPr>
          <w:noProof/>
        </w:rPr>
        <w:t xml:space="preserve"> Conceptual framework and research objectives</w:t>
      </w:r>
      <w:r>
        <w:rPr>
          <w:noProof/>
        </w:rPr>
        <w:tab/>
      </w:r>
      <w:r>
        <w:rPr>
          <w:noProof/>
        </w:rPr>
        <w:fldChar w:fldCharType="begin"/>
      </w:r>
      <w:r>
        <w:rPr>
          <w:noProof/>
        </w:rPr>
        <w:instrText xml:space="preserve"> PAGEREF _Toc476241518 \h </w:instrText>
      </w:r>
      <w:r>
        <w:rPr>
          <w:noProof/>
        </w:rPr>
      </w:r>
      <w:r>
        <w:rPr>
          <w:noProof/>
        </w:rPr>
        <w:fldChar w:fldCharType="separate"/>
      </w:r>
      <w:r>
        <w:rPr>
          <w:noProof/>
        </w:rPr>
        <w:t>5</w:t>
      </w:r>
      <w:r>
        <w:rPr>
          <w:noProof/>
        </w:rPr>
        <w:fldChar w:fldCharType="end"/>
      </w:r>
    </w:p>
    <w:p w14:paraId="1DC62B9C" w14:textId="15ADF706"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1.4</w:t>
      </w:r>
      <w:r>
        <w:rPr>
          <w:rFonts w:asciiTheme="minorHAnsi" w:eastAsiaTheme="minorEastAsia" w:hAnsiTheme="minorHAnsi" w:cstheme="minorBidi"/>
          <w:b w:val="0"/>
          <w:noProof/>
          <w:sz w:val="22"/>
          <w:szCs w:val="22"/>
          <w:lang w:val="en-IE" w:eastAsia="en-IE"/>
        </w:rPr>
        <w:tab/>
      </w:r>
      <w:r>
        <w:rPr>
          <w:noProof/>
        </w:rPr>
        <w:t xml:space="preserve"> Research questions</w:t>
      </w:r>
      <w:r>
        <w:rPr>
          <w:noProof/>
        </w:rPr>
        <w:tab/>
      </w:r>
      <w:r>
        <w:rPr>
          <w:noProof/>
        </w:rPr>
        <w:fldChar w:fldCharType="begin"/>
      </w:r>
      <w:r>
        <w:rPr>
          <w:noProof/>
        </w:rPr>
        <w:instrText xml:space="preserve"> PAGEREF _Toc476241519 \h </w:instrText>
      </w:r>
      <w:r>
        <w:rPr>
          <w:noProof/>
        </w:rPr>
      </w:r>
      <w:r>
        <w:rPr>
          <w:noProof/>
        </w:rPr>
        <w:fldChar w:fldCharType="separate"/>
      </w:r>
      <w:r>
        <w:rPr>
          <w:noProof/>
        </w:rPr>
        <w:t>6</w:t>
      </w:r>
      <w:r>
        <w:rPr>
          <w:noProof/>
        </w:rPr>
        <w:fldChar w:fldCharType="end"/>
      </w:r>
    </w:p>
    <w:p w14:paraId="5683CD5F" w14:textId="345964B3"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1.5</w:t>
      </w:r>
      <w:r>
        <w:rPr>
          <w:rFonts w:asciiTheme="minorHAnsi" w:eastAsiaTheme="minorEastAsia" w:hAnsiTheme="minorHAnsi" w:cstheme="minorBidi"/>
          <w:b w:val="0"/>
          <w:noProof/>
          <w:sz w:val="22"/>
          <w:szCs w:val="22"/>
          <w:lang w:val="en-IE" w:eastAsia="en-IE"/>
        </w:rPr>
        <w:tab/>
      </w:r>
      <w:r>
        <w:rPr>
          <w:noProof/>
        </w:rPr>
        <w:t xml:space="preserve"> Research design</w:t>
      </w:r>
      <w:r>
        <w:rPr>
          <w:noProof/>
        </w:rPr>
        <w:tab/>
      </w:r>
      <w:r>
        <w:rPr>
          <w:noProof/>
        </w:rPr>
        <w:fldChar w:fldCharType="begin"/>
      </w:r>
      <w:r>
        <w:rPr>
          <w:noProof/>
        </w:rPr>
        <w:instrText xml:space="preserve"> PAGEREF _Toc476241520 \h </w:instrText>
      </w:r>
      <w:r>
        <w:rPr>
          <w:noProof/>
        </w:rPr>
      </w:r>
      <w:r>
        <w:rPr>
          <w:noProof/>
        </w:rPr>
        <w:fldChar w:fldCharType="separate"/>
      </w:r>
      <w:r>
        <w:rPr>
          <w:noProof/>
        </w:rPr>
        <w:t>8</w:t>
      </w:r>
      <w:r>
        <w:rPr>
          <w:noProof/>
        </w:rPr>
        <w:fldChar w:fldCharType="end"/>
      </w:r>
    </w:p>
    <w:p w14:paraId="196A9D37" w14:textId="1184D1ED"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1.6</w:t>
      </w:r>
      <w:r>
        <w:rPr>
          <w:rFonts w:asciiTheme="minorHAnsi" w:eastAsiaTheme="minorEastAsia" w:hAnsiTheme="minorHAnsi" w:cstheme="minorBidi"/>
          <w:b w:val="0"/>
          <w:noProof/>
          <w:sz w:val="22"/>
          <w:szCs w:val="22"/>
          <w:lang w:val="en-IE" w:eastAsia="en-IE"/>
        </w:rPr>
        <w:tab/>
      </w:r>
      <w:r>
        <w:rPr>
          <w:noProof/>
        </w:rPr>
        <w:t xml:space="preserve"> Closing comments</w:t>
      </w:r>
      <w:r>
        <w:rPr>
          <w:noProof/>
        </w:rPr>
        <w:tab/>
      </w:r>
      <w:r>
        <w:rPr>
          <w:noProof/>
        </w:rPr>
        <w:fldChar w:fldCharType="begin"/>
      </w:r>
      <w:r>
        <w:rPr>
          <w:noProof/>
        </w:rPr>
        <w:instrText xml:space="preserve"> PAGEREF _Toc476241521 \h </w:instrText>
      </w:r>
      <w:r>
        <w:rPr>
          <w:noProof/>
        </w:rPr>
      </w:r>
      <w:r>
        <w:rPr>
          <w:noProof/>
        </w:rPr>
        <w:fldChar w:fldCharType="separate"/>
      </w:r>
      <w:r>
        <w:rPr>
          <w:noProof/>
        </w:rPr>
        <w:t>10</w:t>
      </w:r>
      <w:r>
        <w:rPr>
          <w:noProof/>
        </w:rPr>
        <w:fldChar w:fldCharType="end"/>
      </w:r>
    </w:p>
    <w:p w14:paraId="2A1E0972" w14:textId="645456D4"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rPr>
        <w:t>Chapter 2 :</w:t>
      </w:r>
      <w:r>
        <w:rPr>
          <w:rFonts w:asciiTheme="minorHAnsi" w:eastAsiaTheme="minorEastAsia" w:hAnsiTheme="minorHAnsi" w:cstheme="minorBidi"/>
          <w:b w:val="0"/>
          <w:caps w:val="0"/>
          <w:noProof/>
          <w:sz w:val="22"/>
          <w:szCs w:val="22"/>
          <w:lang w:val="en-IE" w:eastAsia="en-IE"/>
        </w:rPr>
        <w:tab/>
      </w:r>
      <w:r>
        <w:rPr>
          <w:noProof/>
        </w:rPr>
        <w:t>An introduction to the decision support techniques used in public health</w:t>
      </w:r>
      <w:r>
        <w:rPr>
          <w:noProof/>
        </w:rPr>
        <w:tab/>
      </w:r>
      <w:r>
        <w:rPr>
          <w:noProof/>
        </w:rPr>
        <w:fldChar w:fldCharType="begin"/>
      </w:r>
      <w:r>
        <w:rPr>
          <w:noProof/>
        </w:rPr>
        <w:instrText xml:space="preserve"> PAGEREF _Toc476241522 \h </w:instrText>
      </w:r>
      <w:r>
        <w:rPr>
          <w:noProof/>
        </w:rPr>
      </w:r>
      <w:r>
        <w:rPr>
          <w:noProof/>
        </w:rPr>
        <w:fldChar w:fldCharType="separate"/>
      </w:r>
      <w:r>
        <w:rPr>
          <w:noProof/>
        </w:rPr>
        <w:t>11</w:t>
      </w:r>
      <w:r>
        <w:rPr>
          <w:noProof/>
        </w:rPr>
        <w:fldChar w:fldCharType="end"/>
      </w:r>
    </w:p>
    <w:p w14:paraId="5D5D124F" w14:textId="507DAD59"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2.1</w:t>
      </w:r>
      <w:r>
        <w:rPr>
          <w:rFonts w:asciiTheme="minorHAnsi" w:eastAsiaTheme="minorEastAsia" w:hAnsiTheme="minorHAnsi" w:cstheme="minorBidi"/>
          <w:b w:val="0"/>
          <w:noProof/>
          <w:sz w:val="22"/>
          <w:szCs w:val="22"/>
          <w:lang w:val="en-IE" w:eastAsia="en-IE"/>
        </w:rPr>
        <w:tab/>
      </w:r>
      <w:r>
        <w:rPr>
          <w:noProof/>
        </w:rPr>
        <w:t xml:space="preserve"> Background</w:t>
      </w:r>
      <w:r>
        <w:rPr>
          <w:noProof/>
        </w:rPr>
        <w:tab/>
      </w:r>
      <w:r>
        <w:rPr>
          <w:noProof/>
        </w:rPr>
        <w:fldChar w:fldCharType="begin"/>
      </w:r>
      <w:r>
        <w:rPr>
          <w:noProof/>
        </w:rPr>
        <w:instrText xml:space="preserve"> PAGEREF _Toc476241523 \h </w:instrText>
      </w:r>
      <w:r>
        <w:rPr>
          <w:noProof/>
        </w:rPr>
      </w:r>
      <w:r>
        <w:rPr>
          <w:noProof/>
        </w:rPr>
        <w:fldChar w:fldCharType="separate"/>
      </w:r>
      <w:r>
        <w:rPr>
          <w:noProof/>
        </w:rPr>
        <w:t>11</w:t>
      </w:r>
      <w:r>
        <w:rPr>
          <w:noProof/>
        </w:rPr>
        <w:fldChar w:fldCharType="end"/>
      </w:r>
    </w:p>
    <w:p w14:paraId="56944DDE" w14:textId="6436B900"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2.2</w:t>
      </w:r>
      <w:r>
        <w:rPr>
          <w:rFonts w:asciiTheme="minorHAnsi" w:eastAsiaTheme="minorEastAsia" w:hAnsiTheme="minorHAnsi" w:cstheme="minorBidi"/>
          <w:b w:val="0"/>
          <w:noProof/>
          <w:sz w:val="22"/>
          <w:szCs w:val="22"/>
          <w:lang w:val="en-IE" w:eastAsia="en-IE"/>
        </w:rPr>
        <w:tab/>
      </w:r>
      <w:r>
        <w:rPr>
          <w:noProof/>
        </w:rPr>
        <w:t xml:space="preserve"> Evidence-based healthcare</w:t>
      </w:r>
      <w:r>
        <w:rPr>
          <w:noProof/>
        </w:rPr>
        <w:tab/>
      </w:r>
      <w:r>
        <w:rPr>
          <w:noProof/>
        </w:rPr>
        <w:fldChar w:fldCharType="begin"/>
      </w:r>
      <w:r>
        <w:rPr>
          <w:noProof/>
        </w:rPr>
        <w:instrText xml:space="preserve"> PAGEREF _Toc476241524 \h </w:instrText>
      </w:r>
      <w:r>
        <w:rPr>
          <w:noProof/>
        </w:rPr>
      </w:r>
      <w:r>
        <w:rPr>
          <w:noProof/>
        </w:rPr>
        <w:fldChar w:fldCharType="separate"/>
      </w:r>
      <w:r>
        <w:rPr>
          <w:noProof/>
        </w:rPr>
        <w:t>14</w:t>
      </w:r>
      <w:r>
        <w:rPr>
          <w:noProof/>
        </w:rPr>
        <w:fldChar w:fldCharType="end"/>
      </w:r>
    </w:p>
    <w:p w14:paraId="127C3071" w14:textId="76F2C4B3"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2.3</w:t>
      </w:r>
      <w:r>
        <w:rPr>
          <w:rFonts w:asciiTheme="minorHAnsi" w:eastAsiaTheme="minorEastAsia" w:hAnsiTheme="minorHAnsi" w:cstheme="minorBidi"/>
          <w:b w:val="0"/>
          <w:noProof/>
          <w:sz w:val="22"/>
          <w:szCs w:val="22"/>
          <w:lang w:val="en-IE" w:eastAsia="en-IE"/>
        </w:rPr>
        <w:tab/>
      </w:r>
      <w:r>
        <w:rPr>
          <w:noProof/>
        </w:rPr>
        <w:t xml:space="preserve"> Evidence-based approaches to decision-making</w:t>
      </w:r>
      <w:r>
        <w:rPr>
          <w:noProof/>
        </w:rPr>
        <w:tab/>
      </w:r>
      <w:r>
        <w:rPr>
          <w:noProof/>
        </w:rPr>
        <w:fldChar w:fldCharType="begin"/>
      </w:r>
      <w:r>
        <w:rPr>
          <w:noProof/>
        </w:rPr>
        <w:instrText xml:space="preserve"> PAGEREF _Toc476241525 \h </w:instrText>
      </w:r>
      <w:r>
        <w:rPr>
          <w:noProof/>
        </w:rPr>
      </w:r>
      <w:r>
        <w:rPr>
          <w:noProof/>
        </w:rPr>
        <w:fldChar w:fldCharType="separate"/>
      </w:r>
      <w:r>
        <w:rPr>
          <w:noProof/>
        </w:rPr>
        <w:t>16</w:t>
      </w:r>
      <w:r>
        <w:rPr>
          <w:noProof/>
        </w:rPr>
        <w:fldChar w:fldCharType="end"/>
      </w:r>
    </w:p>
    <w:p w14:paraId="415B1D04" w14:textId="3BD9237F"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2.4</w:t>
      </w:r>
      <w:r>
        <w:rPr>
          <w:rFonts w:asciiTheme="minorHAnsi" w:eastAsiaTheme="minorEastAsia" w:hAnsiTheme="minorHAnsi" w:cstheme="minorBidi"/>
          <w:b w:val="0"/>
          <w:noProof/>
          <w:sz w:val="22"/>
          <w:szCs w:val="22"/>
          <w:lang w:val="en-IE" w:eastAsia="en-IE"/>
        </w:rPr>
        <w:tab/>
      </w:r>
      <w:r>
        <w:rPr>
          <w:noProof/>
        </w:rPr>
        <w:t xml:space="preserve"> Common health economic approaches</w:t>
      </w:r>
      <w:r>
        <w:rPr>
          <w:noProof/>
        </w:rPr>
        <w:tab/>
      </w:r>
      <w:r>
        <w:rPr>
          <w:noProof/>
        </w:rPr>
        <w:fldChar w:fldCharType="begin"/>
      </w:r>
      <w:r>
        <w:rPr>
          <w:noProof/>
        </w:rPr>
        <w:instrText xml:space="preserve"> PAGEREF _Toc476241526 \h </w:instrText>
      </w:r>
      <w:r>
        <w:rPr>
          <w:noProof/>
        </w:rPr>
      </w:r>
      <w:r>
        <w:rPr>
          <w:noProof/>
        </w:rPr>
        <w:fldChar w:fldCharType="separate"/>
      </w:r>
      <w:r>
        <w:rPr>
          <w:noProof/>
        </w:rPr>
        <w:t>20</w:t>
      </w:r>
      <w:r>
        <w:rPr>
          <w:noProof/>
        </w:rPr>
        <w:fldChar w:fldCharType="end"/>
      </w:r>
    </w:p>
    <w:p w14:paraId="5F75049C" w14:textId="19302FA0"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2.4.1</w:t>
      </w:r>
      <w:r>
        <w:rPr>
          <w:rFonts w:asciiTheme="minorHAnsi" w:eastAsiaTheme="minorEastAsia" w:hAnsiTheme="minorHAnsi" w:cstheme="minorBidi"/>
          <w:noProof/>
          <w:sz w:val="22"/>
          <w:szCs w:val="22"/>
          <w:lang w:val="en-IE" w:eastAsia="en-IE"/>
        </w:rPr>
        <w:tab/>
      </w:r>
      <w:r>
        <w:rPr>
          <w:noProof/>
        </w:rPr>
        <w:t xml:space="preserve"> Cost-effectiveness Analysis (CEA) and Cost-utility analysis (CUA)</w:t>
      </w:r>
      <w:r>
        <w:rPr>
          <w:noProof/>
        </w:rPr>
        <w:tab/>
      </w:r>
      <w:r>
        <w:rPr>
          <w:noProof/>
        </w:rPr>
        <w:fldChar w:fldCharType="begin"/>
      </w:r>
      <w:r>
        <w:rPr>
          <w:noProof/>
        </w:rPr>
        <w:instrText xml:space="preserve"> PAGEREF _Toc476241527 \h </w:instrText>
      </w:r>
      <w:r>
        <w:rPr>
          <w:noProof/>
        </w:rPr>
      </w:r>
      <w:r>
        <w:rPr>
          <w:noProof/>
        </w:rPr>
        <w:fldChar w:fldCharType="separate"/>
      </w:r>
      <w:r>
        <w:rPr>
          <w:noProof/>
        </w:rPr>
        <w:t>21</w:t>
      </w:r>
      <w:r>
        <w:rPr>
          <w:noProof/>
        </w:rPr>
        <w:fldChar w:fldCharType="end"/>
      </w:r>
    </w:p>
    <w:p w14:paraId="273EAC91" w14:textId="56DFE0C2"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2.4.2</w:t>
      </w:r>
      <w:r>
        <w:rPr>
          <w:rFonts w:asciiTheme="minorHAnsi" w:eastAsiaTheme="minorEastAsia" w:hAnsiTheme="minorHAnsi" w:cstheme="minorBidi"/>
          <w:noProof/>
          <w:sz w:val="22"/>
          <w:szCs w:val="22"/>
          <w:lang w:val="en-IE" w:eastAsia="en-IE"/>
        </w:rPr>
        <w:tab/>
      </w:r>
      <w:r>
        <w:rPr>
          <w:noProof/>
        </w:rPr>
        <w:t xml:space="preserve"> Cost-benefit analysis (CBA)</w:t>
      </w:r>
      <w:r>
        <w:rPr>
          <w:noProof/>
        </w:rPr>
        <w:tab/>
      </w:r>
      <w:r>
        <w:rPr>
          <w:noProof/>
        </w:rPr>
        <w:fldChar w:fldCharType="begin"/>
      </w:r>
      <w:r>
        <w:rPr>
          <w:noProof/>
        </w:rPr>
        <w:instrText xml:space="preserve"> PAGEREF _Toc476241528 \h </w:instrText>
      </w:r>
      <w:r>
        <w:rPr>
          <w:noProof/>
        </w:rPr>
      </w:r>
      <w:r>
        <w:rPr>
          <w:noProof/>
        </w:rPr>
        <w:fldChar w:fldCharType="separate"/>
      </w:r>
      <w:r>
        <w:rPr>
          <w:noProof/>
        </w:rPr>
        <w:t>23</w:t>
      </w:r>
      <w:r>
        <w:rPr>
          <w:noProof/>
        </w:rPr>
        <w:fldChar w:fldCharType="end"/>
      </w:r>
    </w:p>
    <w:p w14:paraId="2A6EECA0" w14:textId="52A7986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2.4.3</w:t>
      </w:r>
      <w:r>
        <w:rPr>
          <w:rFonts w:asciiTheme="minorHAnsi" w:eastAsiaTheme="minorEastAsia" w:hAnsiTheme="minorHAnsi" w:cstheme="minorBidi"/>
          <w:noProof/>
          <w:sz w:val="22"/>
          <w:szCs w:val="22"/>
          <w:lang w:val="en-IE" w:eastAsia="en-IE"/>
        </w:rPr>
        <w:tab/>
      </w:r>
      <w:r>
        <w:rPr>
          <w:noProof/>
        </w:rPr>
        <w:t xml:space="preserve"> Cost-consequence analysis (CCA)</w:t>
      </w:r>
      <w:r>
        <w:rPr>
          <w:noProof/>
        </w:rPr>
        <w:tab/>
      </w:r>
      <w:r>
        <w:rPr>
          <w:noProof/>
        </w:rPr>
        <w:fldChar w:fldCharType="begin"/>
      </w:r>
      <w:r>
        <w:rPr>
          <w:noProof/>
        </w:rPr>
        <w:instrText xml:space="preserve"> PAGEREF _Toc476241529 \h </w:instrText>
      </w:r>
      <w:r>
        <w:rPr>
          <w:noProof/>
        </w:rPr>
      </w:r>
      <w:r>
        <w:rPr>
          <w:noProof/>
        </w:rPr>
        <w:fldChar w:fldCharType="separate"/>
      </w:r>
      <w:r>
        <w:rPr>
          <w:noProof/>
        </w:rPr>
        <w:t>24</w:t>
      </w:r>
      <w:r>
        <w:rPr>
          <w:noProof/>
        </w:rPr>
        <w:fldChar w:fldCharType="end"/>
      </w:r>
    </w:p>
    <w:p w14:paraId="7C788792" w14:textId="2736D7EA"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2.4.4</w:t>
      </w:r>
      <w:r>
        <w:rPr>
          <w:rFonts w:asciiTheme="minorHAnsi" w:eastAsiaTheme="minorEastAsia" w:hAnsiTheme="minorHAnsi" w:cstheme="minorBidi"/>
          <w:noProof/>
          <w:sz w:val="22"/>
          <w:szCs w:val="22"/>
          <w:lang w:val="en-IE" w:eastAsia="en-IE"/>
        </w:rPr>
        <w:tab/>
      </w:r>
      <w:r>
        <w:rPr>
          <w:noProof/>
        </w:rPr>
        <w:t xml:space="preserve"> Discussion of economic evaluation approaches</w:t>
      </w:r>
      <w:r>
        <w:rPr>
          <w:noProof/>
        </w:rPr>
        <w:tab/>
      </w:r>
      <w:r>
        <w:rPr>
          <w:noProof/>
        </w:rPr>
        <w:fldChar w:fldCharType="begin"/>
      </w:r>
      <w:r>
        <w:rPr>
          <w:noProof/>
        </w:rPr>
        <w:instrText xml:space="preserve"> PAGEREF _Toc476241530 \h </w:instrText>
      </w:r>
      <w:r>
        <w:rPr>
          <w:noProof/>
        </w:rPr>
      </w:r>
      <w:r>
        <w:rPr>
          <w:noProof/>
        </w:rPr>
        <w:fldChar w:fldCharType="separate"/>
      </w:r>
      <w:r>
        <w:rPr>
          <w:noProof/>
        </w:rPr>
        <w:t>25</w:t>
      </w:r>
      <w:r>
        <w:rPr>
          <w:noProof/>
        </w:rPr>
        <w:fldChar w:fldCharType="end"/>
      </w:r>
    </w:p>
    <w:p w14:paraId="36F5D6E3" w14:textId="42EE1A20"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2.5</w:t>
      </w:r>
      <w:r>
        <w:rPr>
          <w:rFonts w:asciiTheme="minorHAnsi" w:eastAsiaTheme="minorEastAsia" w:hAnsiTheme="minorHAnsi" w:cstheme="minorBidi"/>
          <w:b w:val="0"/>
          <w:noProof/>
          <w:sz w:val="22"/>
          <w:szCs w:val="22"/>
          <w:lang w:val="en-IE" w:eastAsia="en-IE"/>
        </w:rPr>
        <w:tab/>
      </w:r>
      <w:r>
        <w:rPr>
          <w:noProof/>
        </w:rPr>
        <w:t xml:space="preserve"> Defining MCDA</w:t>
      </w:r>
      <w:r>
        <w:rPr>
          <w:noProof/>
        </w:rPr>
        <w:tab/>
      </w:r>
      <w:r>
        <w:rPr>
          <w:noProof/>
        </w:rPr>
        <w:fldChar w:fldCharType="begin"/>
      </w:r>
      <w:r>
        <w:rPr>
          <w:noProof/>
        </w:rPr>
        <w:instrText xml:space="preserve"> PAGEREF _Toc476241531 \h </w:instrText>
      </w:r>
      <w:r>
        <w:rPr>
          <w:noProof/>
        </w:rPr>
      </w:r>
      <w:r>
        <w:rPr>
          <w:noProof/>
        </w:rPr>
        <w:fldChar w:fldCharType="separate"/>
      </w:r>
      <w:r>
        <w:rPr>
          <w:noProof/>
        </w:rPr>
        <w:t>27</w:t>
      </w:r>
      <w:r>
        <w:rPr>
          <w:noProof/>
        </w:rPr>
        <w:fldChar w:fldCharType="end"/>
      </w:r>
    </w:p>
    <w:p w14:paraId="10419D35" w14:textId="4CBC6FCC"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2.5.1</w:t>
      </w:r>
      <w:r>
        <w:rPr>
          <w:rFonts w:asciiTheme="minorHAnsi" w:eastAsiaTheme="minorEastAsia" w:hAnsiTheme="minorHAnsi" w:cstheme="minorBidi"/>
          <w:noProof/>
          <w:sz w:val="22"/>
          <w:szCs w:val="22"/>
          <w:lang w:val="en-IE" w:eastAsia="en-IE"/>
        </w:rPr>
        <w:tab/>
      </w:r>
      <w:r>
        <w:rPr>
          <w:noProof/>
        </w:rPr>
        <w:t xml:space="preserve"> Background to MCDA use in health settings</w:t>
      </w:r>
      <w:r>
        <w:rPr>
          <w:noProof/>
        </w:rPr>
        <w:tab/>
      </w:r>
      <w:r>
        <w:rPr>
          <w:noProof/>
        </w:rPr>
        <w:fldChar w:fldCharType="begin"/>
      </w:r>
      <w:r>
        <w:rPr>
          <w:noProof/>
        </w:rPr>
        <w:instrText xml:space="preserve"> PAGEREF _Toc476241532 \h </w:instrText>
      </w:r>
      <w:r>
        <w:rPr>
          <w:noProof/>
        </w:rPr>
      </w:r>
      <w:r>
        <w:rPr>
          <w:noProof/>
        </w:rPr>
        <w:fldChar w:fldCharType="separate"/>
      </w:r>
      <w:r>
        <w:rPr>
          <w:noProof/>
        </w:rPr>
        <w:t>27</w:t>
      </w:r>
      <w:r>
        <w:rPr>
          <w:noProof/>
        </w:rPr>
        <w:fldChar w:fldCharType="end"/>
      </w:r>
    </w:p>
    <w:p w14:paraId="4038AC75" w14:textId="1A748550"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2.5.2</w:t>
      </w:r>
      <w:r>
        <w:rPr>
          <w:rFonts w:asciiTheme="minorHAnsi" w:eastAsiaTheme="minorEastAsia" w:hAnsiTheme="minorHAnsi" w:cstheme="minorBidi"/>
          <w:noProof/>
          <w:sz w:val="22"/>
          <w:szCs w:val="22"/>
          <w:lang w:val="en-IE" w:eastAsia="en-IE"/>
        </w:rPr>
        <w:tab/>
      </w:r>
      <w:r>
        <w:rPr>
          <w:noProof/>
        </w:rPr>
        <w:t xml:space="preserve"> MCDA overview</w:t>
      </w:r>
      <w:r>
        <w:rPr>
          <w:noProof/>
        </w:rPr>
        <w:tab/>
      </w:r>
      <w:r>
        <w:rPr>
          <w:noProof/>
        </w:rPr>
        <w:fldChar w:fldCharType="begin"/>
      </w:r>
      <w:r>
        <w:rPr>
          <w:noProof/>
        </w:rPr>
        <w:instrText xml:space="preserve"> PAGEREF _Toc476241533 \h </w:instrText>
      </w:r>
      <w:r>
        <w:rPr>
          <w:noProof/>
        </w:rPr>
      </w:r>
      <w:r>
        <w:rPr>
          <w:noProof/>
        </w:rPr>
        <w:fldChar w:fldCharType="separate"/>
      </w:r>
      <w:r>
        <w:rPr>
          <w:noProof/>
        </w:rPr>
        <w:t>28</w:t>
      </w:r>
      <w:r>
        <w:rPr>
          <w:noProof/>
        </w:rPr>
        <w:fldChar w:fldCharType="end"/>
      </w:r>
    </w:p>
    <w:p w14:paraId="593CD2CE" w14:textId="2864A913"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lastRenderedPageBreak/>
        <w:t>2.5.3</w:t>
      </w:r>
      <w:r>
        <w:rPr>
          <w:rFonts w:asciiTheme="minorHAnsi" w:eastAsiaTheme="minorEastAsia" w:hAnsiTheme="minorHAnsi" w:cstheme="minorBidi"/>
          <w:noProof/>
          <w:sz w:val="22"/>
          <w:szCs w:val="22"/>
          <w:lang w:val="en-IE" w:eastAsia="en-IE"/>
        </w:rPr>
        <w:tab/>
      </w:r>
      <w:r>
        <w:rPr>
          <w:noProof/>
        </w:rPr>
        <w:t xml:space="preserve"> Value measurement models</w:t>
      </w:r>
      <w:r>
        <w:rPr>
          <w:noProof/>
        </w:rPr>
        <w:tab/>
      </w:r>
      <w:r>
        <w:rPr>
          <w:noProof/>
        </w:rPr>
        <w:fldChar w:fldCharType="begin"/>
      </w:r>
      <w:r>
        <w:rPr>
          <w:noProof/>
        </w:rPr>
        <w:instrText xml:space="preserve"> PAGEREF _Toc476241534 \h </w:instrText>
      </w:r>
      <w:r>
        <w:rPr>
          <w:noProof/>
        </w:rPr>
      </w:r>
      <w:r>
        <w:rPr>
          <w:noProof/>
        </w:rPr>
        <w:fldChar w:fldCharType="separate"/>
      </w:r>
      <w:r>
        <w:rPr>
          <w:noProof/>
        </w:rPr>
        <w:t>31</w:t>
      </w:r>
      <w:r>
        <w:rPr>
          <w:noProof/>
        </w:rPr>
        <w:fldChar w:fldCharType="end"/>
      </w:r>
    </w:p>
    <w:p w14:paraId="0D6FFB8F" w14:textId="63337B67"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2.5.3.1</w:t>
      </w:r>
      <w:r>
        <w:rPr>
          <w:rFonts w:asciiTheme="minorHAnsi" w:eastAsiaTheme="minorEastAsia" w:hAnsiTheme="minorHAnsi" w:cstheme="minorBidi"/>
          <w:noProof/>
          <w:sz w:val="22"/>
          <w:szCs w:val="22"/>
          <w:lang w:val="en-IE" w:eastAsia="en-IE"/>
        </w:rPr>
        <w:tab/>
      </w:r>
      <w:r>
        <w:rPr>
          <w:noProof/>
        </w:rPr>
        <w:t xml:space="preserve"> Linear Additive approach</w:t>
      </w:r>
      <w:r>
        <w:rPr>
          <w:noProof/>
        </w:rPr>
        <w:tab/>
      </w:r>
      <w:r>
        <w:rPr>
          <w:noProof/>
        </w:rPr>
        <w:fldChar w:fldCharType="begin"/>
      </w:r>
      <w:r>
        <w:rPr>
          <w:noProof/>
        </w:rPr>
        <w:instrText xml:space="preserve"> PAGEREF _Toc476241535 \h </w:instrText>
      </w:r>
      <w:r>
        <w:rPr>
          <w:noProof/>
        </w:rPr>
      </w:r>
      <w:r>
        <w:rPr>
          <w:noProof/>
        </w:rPr>
        <w:fldChar w:fldCharType="separate"/>
      </w:r>
      <w:r>
        <w:rPr>
          <w:noProof/>
        </w:rPr>
        <w:t>31</w:t>
      </w:r>
      <w:r>
        <w:rPr>
          <w:noProof/>
        </w:rPr>
        <w:fldChar w:fldCharType="end"/>
      </w:r>
    </w:p>
    <w:p w14:paraId="1C1264CF" w14:textId="555340C5"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2.5.3.2</w:t>
      </w:r>
      <w:r>
        <w:rPr>
          <w:rFonts w:asciiTheme="minorHAnsi" w:eastAsiaTheme="minorEastAsia" w:hAnsiTheme="minorHAnsi" w:cstheme="minorBidi"/>
          <w:noProof/>
          <w:sz w:val="22"/>
          <w:szCs w:val="22"/>
          <w:lang w:val="en-IE" w:eastAsia="en-IE"/>
        </w:rPr>
        <w:tab/>
      </w:r>
      <w:r>
        <w:rPr>
          <w:noProof/>
        </w:rPr>
        <w:t xml:space="preserve"> Analytic Hierarchy Process (AHP)</w:t>
      </w:r>
      <w:r>
        <w:rPr>
          <w:noProof/>
        </w:rPr>
        <w:tab/>
      </w:r>
      <w:r>
        <w:rPr>
          <w:noProof/>
        </w:rPr>
        <w:fldChar w:fldCharType="begin"/>
      </w:r>
      <w:r>
        <w:rPr>
          <w:noProof/>
        </w:rPr>
        <w:instrText xml:space="preserve"> PAGEREF _Toc476241536 \h </w:instrText>
      </w:r>
      <w:r>
        <w:rPr>
          <w:noProof/>
        </w:rPr>
      </w:r>
      <w:r>
        <w:rPr>
          <w:noProof/>
        </w:rPr>
        <w:fldChar w:fldCharType="separate"/>
      </w:r>
      <w:r>
        <w:rPr>
          <w:noProof/>
        </w:rPr>
        <w:t>34</w:t>
      </w:r>
      <w:r>
        <w:rPr>
          <w:noProof/>
        </w:rPr>
        <w:fldChar w:fldCharType="end"/>
      </w:r>
    </w:p>
    <w:p w14:paraId="08B21419" w14:textId="7C515B3F"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2.5.3.3</w:t>
      </w:r>
      <w:r>
        <w:rPr>
          <w:rFonts w:asciiTheme="minorHAnsi" w:eastAsiaTheme="minorEastAsia" w:hAnsiTheme="minorHAnsi" w:cstheme="minorBidi"/>
          <w:noProof/>
          <w:sz w:val="22"/>
          <w:szCs w:val="22"/>
          <w:lang w:val="en-IE" w:eastAsia="en-IE"/>
        </w:rPr>
        <w:tab/>
      </w:r>
      <w:r>
        <w:rPr>
          <w:noProof/>
        </w:rPr>
        <w:t xml:space="preserve"> Discrete-choice experiments (DCEs)</w:t>
      </w:r>
      <w:r>
        <w:rPr>
          <w:noProof/>
        </w:rPr>
        <w:tab/>
      </w:r>
      <w:r>
        <w:rPr>
          <w:noProof/>
        </w:rPr>
        <w:fldChar w:fldCharType="begin"/>
      </w:r>
      <w:r>
        <w:rPr>
          <w:noProof/>
        </w:rPr>
        <w:instrText xml:space="preserve"> PAGEREF _Toc476241537 \h </w:instrText>
      </w:r>
      <w:r>
        <w:rPr>
          <w:noProof/>
        </w:rPr>
      </w:r>
      <w:r>
        <w:rPr>
          <w:noProof/>
        </w:rPr>
        <w:fldChar w:fldCharType="separate"/>
      </w:r>
      <w:r>
        <w:rPr>
          <w:noProof/>
        </w:rPr>
        <w:t>35</w:t>
      </w:r>
      <w:r>
        <w:rPr>
          <w:noProof/>
        </w:rPr>
        <w:fldChar w:fldCharType="end"/>
      </w:r>
    </w:p>
    <w:p w14:paraId="32B9ADB8" w14:textId="56CAD296"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2.5.4</w:t>
      </w:r>
      <w:r>
        <w:rPr>
          <w:rFonts w:asciiTheme="minorHAnsi" w:eastAsiaTheme="minorEastAsia" w:hAnsiTheme="minorHAnsi" w:cstheme="minorBidi"/>
          <w:noProof/>
          <w:sz w:val="22"/>
          <w:szCs w:val="22"/>
          <w:lang w:val="en-IE" w:eastAsia="en-IE"/>
        </w:rPr>
        <w:tab/>
      </w:r>
      <w:r>
        <w:rPr>
          <w:noProof/>
        </w:rPr>
        <w:t xml:space="preserve"> Outranking models</w:t>
      </w:r>
      <w:r>
        <w:rPr>
          <w:noProof/>
        </w:rPr>
        <w:tab/>
      </w:r>
      <w:r>
        <w:rPr>
          <w:noProof/>
        </w:rPr>
        <w:fldChar w:fldCharType="begin"/>
      </w:r>
      <w:r>
        <w:rPr>
          <w:noProof/>
        </w:rPr>
        <w:instrText xml:space="preserve"> PAGEREF _Toc476241538 \h </w:instrText>
      </w:r>
      <w:r>
        <w:rPr>
          <w:noProof/>
        </w:rPr>
      </w:r>
      <w:r>
        <w:rPr>
          <w:noProof/>
        </w:rPr>
        <w:fldChar w:fldCharType="separate"/>
      </w:r>
      <w:r>
        <w:rPr>
          <w:noProof/>
        </w:rPr>
        <w:t>36</w:t>
      </w:r>
      <w:r>
        <w:rPr>
          <w:noProof/>
        </w:rPr>
        <w:fldChar w:fldCharType="end"/>
      </w:r>
    </w:p>
    <w:p w14:paraId="184A2CE2" w14:textId="46D8073B"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2.5.4.1</w:t>
      </w:r>
      <w:r>
        <w:rPr>
          <w:rFonts w:asciiTheme="minorHAnsi" w:eastAsiaTheme="minorEastAsia" w:hAnsiTheme="minorHAnsi" w:cstheme="minorBidi"/>
          <w:noProof/>
          <w:sz w:val="22"/>
          <w:szCs w:val="22"/>
          <w:lang w:val="en-IE" w:eastAsia="en-IE"/>
        </w:rPr>
        <w:tab/>
      </w:r>
      <w:r>
        <w:rPr>
          <w:noProof/>
        </w:rPr>
        <w:t xml:space="preserve"> Example using ELECTRE 1</w:t>
      </w:r>
      <w:r>
        <w:rPr>
          <w:noProof/>
        </w:rPr>
        <w:tab/>
      </w:r>
      <w:r>
        <w:rPr>
          <w:noProof/>
        </w:rPr>
        <w:fldChar w:fldCharType="begin"/>
      </w:r>
      <w:r>
        <w:rPr>
          <w:noProof/>
        </w:rPr>
        <w:instrText xml:space="preserve"> PAGEREF _Toc476241539 \h </w:instrText>
      </w:r>
      <w:r>
        <w:rPr>
          <w:noProof/>
        </w:rPr>
      </w:r>
      <w:r>
        <w:rPr>
          <w:noProof/>
        </w:rPr>
        <w:fldChar w:fldCharType="separate"/>
      </w:r>
      <w:r>
        <w:rPr>
          <w:noProof/>
        </w:rPr>
        <w:t>37</w:t>
      </w:r>
      <w:r>
        <w:rPr>
          <w:noProof/>
        </w:rPr>
        <w:fldChar w:fldCharType="end"/>
      </w:r>
    </w:p>
    <w:p w14:paraId="70A8A70D" w14:textId="7F970024"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2.5.5</w:t>
      </w:r>
      <w:r>
        <w:rPr>
          <w:rFonts w:asciiTheme="minorHAnsi" w:eastAsiaTheme="minorEastAsia" w:hAnsiTheme="minorHAnsi" w:cstheme="minorBidi"/>
          <w:noProof/>
          <w:sz w:val="22"/>
          <w:szCs w:val="22"/>
          <w:lang w:val="en-IE" w:eastAsia="en-IE"/>
        </w:rPr>
        <w:tab/>
      </w:r>
      <w:r>
        <w:rPr>
          <w:noProof/>
        </w:rPr>
        <w:t xml:space="preserve"> Goal programming methods</w:t>
      </w:r>
      <w:r>
        <w:rPr>
          <w:noProof/>
        </w:rPr>
        <w:tab/>
      </w:r>
      <w:r>
        <w:rPr>
          <w:noProof/>
        </w:rPr>
        <w:fldChar w:fldCharType="begin"/>
      </w:r>
      <w:r>
        <w:rPr>
          <w:noProof/>
        </w:rPr>
        <w:instrText xml:space="preserve"> PAGEREF _Toc476241540 \h </w:instrText>
      </w:r>
      <w:r>
        <w:rPr>
          <w:noProof/>
        </w:rPr>
      </w:r>
      <w:r>
        <w:rPr>
          <w:noProof/>
        </w:rPr>
        <w:fldChar w:fldCharType="separate"/>
      </w:r>
      <w:r>
        <w:rPr>
          <w:noProof/>
        </w:rPr>
        <w:t>40</w:t>
      </w:r>
      <w:r>
        <w:rPr>
          <w:noProof/>
        </w:rPr>
        <w:fldChar w:fldCharType="end"/>
      </w:r>
    </w:p>
    <w:p w14:paraId="111D8C78" w14:textId="5558E13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2.5.6</w:t>
      </w:r>
      <w:r>
        <w:rPr>
          <w:rFonts w:asciiTheme="minorHAnsi" w:eastAsiaTheme="minorEastAsia" w:hAnsiTheme="minorHAnsi" w:cstheme="minorBidi"/>
          <w:noProof/>
          <w:sz w:val="22"/>
          <w:szCs w:val="22"/>
          <w:lang w:val="en-IE" w:eastAsia="en-IE"/>
        </w:rPr>
        <w:tab/>
      </w:r>
      <w:r>
        <w:rPr>
          <w:noProof/>
        </w:rPr>
        <w:t xml:space="preserve"> Programme budgeting and marginal analysis (PBMA)</w:t>
      </w:r>
      <w:r>
        <w:rPr>
          <w:noProof/>
        </w:rPr>
        <w:tab/>
      </w:r>
      <w:r>
        <w:rPr>
          <w:noProof/>
        </w:rPr>
        <w:fldChar w:fldCharType="begin"/>
      </w:r>
      <w:r>
        <w:rPr>
          <w:noProof/>
        </w:rPr>
        <w:instrText xml:space="preserve"> PAGEREF _Toc476241541 \h </w:instrText>
      </w:r>
      <w:r>
        <w:rPr>
          <w:noProof/>
        </w:rPr>
      </w:r>
      <w:r>
        <w:rPr>
          <w:noProof/>
        </w:rPr>
        <w:fldChar w:fldCharType="separate"/>
      </w:r>
      <w:r>
        <w:rPr>
          <w:noProof/>
        </w:rPr>
        <w:t>41</w:t>
      </w:r>
      <w:r>
        <w:rPr>
          <w:noProof/>
        </w:rPr>
        <w:fldChar w:fldCharType="end"/>
      </w:r>
    </w:p>
    <w:p w14:paraId="35A29D0E" w14:textId="0AF5CC3E"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2.6</w:t>
      </w:r>
      <w:r>
        <w:rPr>
          <w:rFonts w:asciiTheme="minorHAnsi" w:eastAsiaTheme="minorEastAsia" w:hAnsiTheme="minorHAnsi" w:cstheme="minorBidi"/>
          <w:b w:val="0"/>
          <w:noProof/>
          <w:sz w:val="22"/>
          <w:szCs w:val="22"/>
          <w:lang w:val="en-IE" w:eastAsia="en-IE"/>
        </w:rPr>
        <w:tab/>
      </w:r>
      <w:r>
        <w:rPr>
          <w:noProof/>
        </w:rPr>
        <w:t xml:space="preserve"> Previous use at various (quasi-)governmental levels</w:t>
      </w:r>
      <w:r>
        <w:rPr>
          <w:noProof/>
        </w:rPr>
        <w:tab/>
      </w:r>
      <w:r>
        <w:rPr>
          <w:noProof/>
        </w:rPr>
        <w:fldChar w:fldCharType="begin"/>
      </w:r>
      <w:r>
        <w:rPr>
          <w:noProof/>
        </w:rPr>
        <w:instrText xml:space="preserve"> PAGEREF _Toc476241542 \h </w:instrText>
      </w:r>
      <w:r>
        <w:rPr>
          <w:noProof/>
        </w:rPr>
      </w:r>
      <w:r>
        <w:rPr>
          <w:noProof/>
        </w:rPr>
        <w:fldChar w:fldCharType="separate"/>
      </w:r>
      <w:r>
        <w:rPr>
          <w:noProof/>
        </w:rPr>
        <w:t>43</w:t>
      </w:r>
      <w:r>
        <w:rPr>
          <w:noProof/>
        </w:rPr>
        <w:fldChar w:fldCharType="end"/>
      </w:r>
    </w:p>
    <w:p w14:paraId="3A6FE42C" w14:textId="7E0F0FE2"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2.7</w:t>
      </w:r>
      <w:r>
        <w:rPr>
          <w:rFonts w:asciiTheme="minorHAnsi" w:eastAsiaTheme="minorEastAsia" w:hAnsiTheme="minorHAnsi" w:cstheme="minorBidi"/>
          <w:b w:val="0"/>
          <w:noProof/>
          <w:sz w:val="22"/>
          <w:szCs w:val="22"/>
          <w:lang w:val="en-IE" w:eastAsia="en-IE"/>
        </w:rPr>
        <w:tab/>
      </w:r>
      <w:r>
        <w:rPr>
          <w:noProof/>
        </w:rPr>
        <w:t xml:space="preserve"> Summary</w:t>
      </w:r>
      <w:r>
        <w:rPr>
          <w:noProof/>
        </w:rPr>
        <w:tab/>
      </w:r>
      <w:r>
        <w:rPr>
          <w:noProof/>
        </w:rPr>
        <w:fldChar w:fldCharType="begin"/>
      </w:r>
      <w:r>
        <w:rPr>
          <w:noProof/>
        </w:rPr>
        <w:instrText xml:space="preserve"> PAGEREF _Toc476241543 \h </w:instrText>
      </w:r>
      <w:r>
        <w:rPr>
          <w:noProof/>
        </w:rPr>
      </w:r>
      <w:r>
        <w:rPr>
          <w:noProof/>
        </w:rPr>
        <w:fldChar w:fldCharType="separate"/>
      </w:r>
      <w:r>
        <w:rPr>
          <w:noProof/>
        </w:rPr>
        <w:t>45</w:t>
      </w:r>
      <w:r>
        <w:rPr>
          <w:noProof/>
        </w:rPr>
        <w:fldChar w:fldCharType="end"/>
      </w:r>
    </w:p>
    <w:p w14:paraId="71914DC3" w14:textId="3666ACC6" w:rsidR="00E516A2" w:rsidRDefault="00E516A2">
      <w:pPr>
        <w:pStyle w:val="TOC1"/>
        <w:tabs>
          <w:tab w:val="left" w:pos="1599"/>
          <w:tab w:val="right" w:leader="dot" w:pos="9016"/>
        </w:tabs>
        <w:rPr>
          <w:rFonts w:asciiTheme="minorHAnsi" w:eastAsiaTheme="minorEastAsia" w:hAnsiTheme="minorHAnsi" w:cstheme="minorBidi"/>
          <w:b w:val="0"/>
          <w:caps w:val="0"/>
          <w:noProof/>
          <w:sz w:val="22"/>
          <w:szCs w:val="22"/>
          <w:lang w:val="en-IE" w:eastAsia="en-IE"/>
        </w:rPr>
      </w:pPr>
      <w:r>
        <w:rPr>
          <w:noProof/>
        </w:rPr>
        <w:t>Chapter 3 :</w:t>
      </w:r>
      <w:r>
        <w:rPr>
          <w:rFonts w:asciiTheme="minorHAnsi" w:eastAsiaTheme="minorEastAsia" w:hAnsiTheme="minorHAnsi" w:cstheme="minorBidi"/>
          <w:b w:val="0"/>
          <w:caps w:val="0"/>
          <w:noProof/>
          <w:sz w:val="22"/>
          <w:szCs w:val="22"/>
          <w:lang w:val="en-IE" w:eastAsia="en-IE"/>
        </w:rPr>
        <w:tab/>
      </w:r>
      <w:r>
        <w:rPr>
          <w:noProof/>
        </w:rPr>
        <w:t>Systematic review of the previous use of MCDA techniques in public health</w:t>
      </w:r>
      <w:r>
        <w:rPr>
          <w:noProof/>
        </w:rPr>
        <w:tab/>
      </w:r>
      <w:r>
        <w:rPr>
          <w:noProof/>
        </w:rPr>
        <w:fldChar w:fldCharType="begin"/>
      </w:r>
      <w:r>
        <w:rPr>
          <w:noProof/>
        </w:rPr>
        <w:instrText xml:space="preserve"> PAGEREF _Toc476241544 \h </w:instrText>
      </w:r>
      <w:r>
        <w:rPr>
          <w:noProof/>
        </w:rPr>
      </w:r>
      <w:r>
        <w:rPr>
          <w:noProof/>
        </w:rPr>
        <w:fldChar w:fldCharType="separate"/>
      </w:r>
      <w:r>
        <w:rPr>
          <w:noProof/>
        </w:rPr>
        <w:t>46</w:t>
      </w:r>
      <w:r>
        <w:rPr>
          <w:noProof/>
        </w:rPr>
        <w:fldChar w:fldCharType="end"/>
      </w:r>
    </w:p>
    <w:p w14:paraId="6E61339D" w14:textId="20ABD779" w:rsidR="00E516A2" w:rsidRDefault="00E516A2">
      <w:pPr>
        <w:pStyle w:val="TOC2"/>
        <w:tabs>
          <w:tab w:val="left" w:pos="1100"/>
        </w:tabs>
        <w:rPr>
          <w:rFonts w:asciiTheme="minorHAnsi" w:eastAsiaTheme="minorEastAsia" w:hAnsiTheme="minorHAnsi" w:cstheme="minorBidi"/>
          <w:b w:val="0"/>
          <w:noProof/>
          <w:sz w:val="22"/>
          <w:szCs w:val="22"/>
          <w:lang w:val="en-IE" w:eastAsia="en-IE"/>
        </w:rPr>
      </w:pPr>
      <w:r>
        <w:rPr>
          <w:noProof/>
        </w:rPr>
        <w:t xml:space="preserve">Part 1: </w:t>
      </w:r>
      <w:r>
        <w:rPr>
          <w:rFonts w:asciiTheme="minorHAnsi" w:eastAsiaTheme="minorEastAsia" w:hAnsiTheme="minorHAnsi" w:cstheme="minorBidi"/>
          <w:b w:val="0"/>
          <w:noProof/>
          <w:sz w:val="22"/>
          <w:szCs w:val="22"/>
          <w:lang w:val="en-IE" w:eastAsia="en-IE"/>
        </w:rPr>
        <w:tab/>
      </w:r>
      <w:r>
        <w:rPr>
          <w:noProof/>
        </w:rPr>
        <w:t xml:space="preserve"> Narrative review</w:t>
      </w:r>
      <w:r>
        <w:rPr>
          <w:noProof/>
        </w:rPr>
        <w:tab/>
      </w:r>
      <w:r>
        <w:rPr>
          <w:noProof/>
        </w:rPr>
        <w:fldChar w:fldCharType="begin"/>
      </w:r>
      <w:r>
        <w:rPr>
          <w:noProof/>
        </w:rPr>
        <w:instrText xml:space="preserve"> PAGEREF _Toc476241545 \h </w:instrText>
      </w:r>
      <w:r>
        <w:rPr>
          <w:noProof/>
        </w:rPr>
      </w:r>
      <w:r>
        <w:rPr>
          <w:noProof/>
        </w:rPr>
        <w:fldChar w:fldCharType="separate"/>
      </w:r>
      <w:r>
        <w:rPr>
          <w:noProof/>
        </w:rPr>
        <w:t>49</w:t>
      </w:r>
      <w:r>
        <w:rPr>
          <w:noProof/>
        </w:rPr>
        <w:fldChar w:fldCharType="end"/>
      </w:r>
    </w:p>
    <w:p w14:paraId="2205FEF4" w14:textId="7A755760" w:rsidR="00E516A2" w:rsidRDefault="00E516A2">
      <w:pPr>
        <w:pStyle w:val="TOC3"/>
        <w:tabs>
          <w:tab w:val="left" w:pos="880"/>
          <w:tab w:val="right" w:leader="dot" w:pos="9016"/>
        </w:tabs>
        <w:rPr>
          <w:rFonts w:asciiTheme="minorHAnsi" w:eastAsiaTheme="minorEastAsia" w:hAnsiTheme="minorHAnsi" w:cstheme="minorBidi"/>
          <w:noProof/>
          <w:sz w:val="22"/>
          <w:szCs w:val="22"/>
          <w:lang w:val="en-IE" w:eastAsia="en-IE"/>
        </w:rPr>
      </w:pPr>
      <w:r>
        <w:rPr>
          <w:noProof/>
        </w:rPr>
        <w:t>3.1</w:t>
      </w:r>
      <w:r>
        <w:rPr>
          <w:rFonts w:asciiTheme="minorHAnsi" w:eastAsiaTheme="minorEastAsia" w:hAnsiTheme="minorHAnsi" w:cstheme="minorBidi"/>
          <w:noProof/>
          <w:sz w:val="22"/>
          <w:szCs w:val="22"/>
          <w:lang w:val="en-IE" w:eastAsia="en-IE"/>
        </w:rPr>
        <w:tab/>
      </w:r>
      <w:r>
        <w:rPr>
          <w:noProof/>
        </w:rPr>
        <w:t xml:space="preserve"> Background</w:t>
      </w:r>
      <w:r>
        <w:rPr>
          <w:noProof/>
        </w:rPr>
        <w:tab/>
      </w:r>
      <w:r>
        <w:rPr>
          <w:noProof/>
        </w:rPr>
        <w:fldChar w:fldCharType="begin"/>
      </w:r>
      <w:r>
        <w:rPr>
          <w:noProof/>
        </w:rPr>
        <w:instrText xml:space="preserve"> PAGEREF _Toc476241546 \h </w:instrText>
      </w:r>
      <w:r>
        <w:rPr>
          <w:noProof/>
        </w:rPr>
      </w:r>
      <w:r>
        <w:rPr>
          <w:noProof/>
        </w:rPr>
        <w:fldChar w:fldCharType="separate"/>
      </w:r>
      <w:r>
        <w:rPr>
          <w:noProof/>
        </w:rPr>
        <w:t>49</w:t>
      </w:r>
      <w:r>
        <w:rPr>
          <w:noProof/>
        </w:rPr>
        <w:fldChar w:fldCharType="end"/>
      </w:r>
    </w:p>
    <w:p w14:paraId="5B12A64A" w14:textId="34A99BAB" w:rsidR="00E516A2" w:rsidRDefault="00E516A2">
      <w:pPr>
        <w:pStyle w:val="TOC3"/>
        <w:tabs>
          <w:tab w:val="left" w:pos="880"/>
          <w:tab w:val="right" w:leader="dot" w:pos="9016"/>
        </w:tabs>
        <w:rPr>
          <w:rFonts w:asciiTheme="minorHAnsi" w:eastAsiaTheme="minorEastAsia" w:hAnsiTheme="minorHAnsi" w:cstheme="minorBidi"/>
          <w:noProof/>
          <w:sz w:val="22"/>
          <w:szCs w:val="22"/>
          <w:lang w:val="en-IE" w:eastAsia="en-IE"/>
        </w:rPr>
      </w:pPr>
      <w:r>
        <w:rPr>
          <w:noProof/>
        </w:rPr>
        <w:t>3.2</w:t>
      </w:r>
      <w:r>
        <w:rPr>
          <w:rFonts w:asciiTheme="minorHAnsi" w:eastAsiaTheme="minorEastAsia" w:hAnsiTheme="minorHAnsi" w:cstheme="minorBidi"/>
          <w:noProof/>
          <w:sz w:val="22"/>
          <w:szCs w:val="22"/>
          <w:lang w:val="en-IE" w:eastAsia="en-IE"/>
        </w:rPr>
        <w:tab/>
      </w:r>
      <w:r>
        <w:rPr>
          <w:noProof/>
        </w:rPr>
        <w:t xml:space="preserve"> Objectives</w:t>
      </w:r>
      <w:r>
        <w:rPr>
          <w:noProof/>
        </w:rPr>
        <w:tab/>
      </w:r>
      <w:r>
        <w:rPr>
          <w:noProof/>
        </w:rPr>
        <w:fldChar w:fldCharType="begin"/>
      </w:r>
      <w:r>
        <w:rPr>
          <w:noProof/>
        </w:rPr>
        <w:instrText xml:space="preserve"> PAGEREF _Toc476241547 \h </w:instrText>
      </w:r>
      <w:r>
        <w:rPr>
          <w:noProof/>
        </w:rPr>
      </w:r>
      <w:r>
        <w:rPr>
          <w:noProof/>
        </w:rPr>
        <w:fldChar w:fldCharType="separate"/>
      </w:r>
      <w:r>
        <w:rPr>
          <w:noProof/>
        </w:rPr>
        <w:t>50</w:t>
      </w:r>
      <w:r>
        <w:rPr>
          <w:noProof/>
        </w:rPr>
        <w:fldChar w:fldCharType="end"/>
      </w:r>
    </w:p>
    <w:p w14:paraId="758241F1" w14:textId="63F20B95" w:rsidR="00E516A2" w:rsidRDefault="00E516A2">
      <w:pPr>
        <w:pStyle w:val="TOC3"/>
        <w:tabs>
          <w:tab w:val="left" w:pos="880"/>
          <w:tab w:val="right" w:leader="dot" w:pos="9016"/>
        </w:tabs>
        <w:rPr>
          <w:rFonts w:asciiTheme="minorHAnsi" w:eastAsiaTheme="minorEastAsia" w:hAnsiTheme="minorHAnsi" w:cstheme="minorBidi"/>
          <w:noProof/>
          <w:sz w:val="22"/>
          <w:szCs w:val="22"/>
          <w:lang w:val="en-IE" w:eastAsia="en-IE"/>
        </w:rPr>
      </w:pPr>
      <w:r>
        <w:rPr>
          <w:noProof/>
        </w:rPr>
        <w:t>3.3</w:t>
      </w:r>
      <w:r>
        <w:rPr>
          <w:rFonts w:asciiTheme="minorHAnsi" w:eastAsiaTheme="minorEastAsia" w:hAnsiTheme="minorHAnsi" w:cstheme="minorBidi"/>
          <w:noProof/>
          <w:sz w:val="22"/>
          <w:szCs w:val="22"/>
          <w:lang w:val="en-IE" w:eastAsia="en-IE"/>
        </w:rPr>
        <w:tab/>
      </w:r>
      <w:r>
        <w:rPr>
          <w:noProof/>
        </w:rPr>
        <w:t xml:space="preserve"> Methods</w:t>
      </w:r>
      <w:r>
        <w:rPr>
          <w:noProof/>
        </w:rPr>
        <w:tab/>
      </w:r>
      <w:r>
        <w:rPr>
          <w:noProof/>
        </w:rPr>
        <w:fldChar w:fldCharType="begin"/>
      </w:r>
      <w:r>
        <w:rPr>
          <w:noProof/>
        </w:rPr>
        <w:instrText xml:space="preserve"> PAGEREF _Toc476241548 \h </w:instrText>
      </w:r>
      <w:r>
        <w:rPr>
          <w:noProof/>
        </w:rPr>
      </w:r>
      <w:r>
        <w:rPr>
          <w:noProof/>
        </w:rPr>
        <w:fldChar w:fldCharType="separate"/>
      </w:r>
      <w:r>
        <w:rPr>
          <w:noProof/>
        </w:rPr>
        <w:t>50</w:t>
      </w:r>
      <w:r>
        <w:rPr>
          <w:noProof/>
        </w:rPr>
        <w:fldChar w:fldCharType="end"/>
      </w:r>
    </w:p>
    <w:p w14:paraId="2128AB52" w14:textId="13E748B2"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3.3.1</w:t>
      </w:r>
      <w:r>
        <w:rPr>
          <w:rFonts w:asciiTheme="minorHAnsi" w:eastAsiaTheme="minorEastAsia" w:hAnsiTheme="minorHAnsi" w:cstheme="minorBidi"/>
          <w:noProof/>
          <w:sz w:val="22"/>
          <w:szCs w:val="22"/>
          <w:lang w:val="en-IE" w:eastAsia="en-IE"/>
        </w:rPr>
        <w:tab/>
      </w:r>
      <w:r>
        <w:rPr>
          <w:noProof/>
        </w:rPr>
        <w:t xml:space="preserve"> Types of studies</w:t>
      </w:r>
      <w:r>
        <w:rPr>
          <w:noProof/>
        </w:rPr>
        <w:tab/>
      </w:r>
      <w:r>
        <w:rPr>
          <w:noProof/>
        </w:rPr>
        <w:fldChar w:fldCharType="begin"/>
      </w:r>
      <w:r>
        <w:rPr>
          <w:noProof/>
        </w:rPr>
        <w:instrText xml:space="preserve"> PAGEREF _Toc476241549 \h </w:instrText>
      </w:r>
      <w:r>
        <w:rPr>
          <w:noProof/>
        </w:rPr>
      </w:r>
      <w:r>
        <w:rPr>
          <w:noProof/>
        </w:rPr>
        <w:fldChar w:fldCharType="separate"/>
      </w:r>
      <w:r>
        <w:rPr>
          <w:noProof/>
        </w:rPr>
        <w:t>50</w:t>
      </w:r>
      <w:r>
        <w:rPr>
          <w:noProof/>
        </w:rPr>
        <w:fldChar w:fldCharType="end"/>
      </w:r>
    </w:p>
    <w:p w14:paraId="30412A81" w14:textId="68B8E640"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3.3.2</w:t>
      </w:r>
      <w:r>
        <w:rPr>
          <w:rFonts w:asciiTheme="minorHAnsi" w:eastAsiaTheme="minorEastAsia" w:hAnsiTheme="minorHAnsi" w:cstheme="minorBidi"/>
          <w:noProof/>
          <w:sz w:val="22"/>
          <w:szCs w:val="22"/>
          <w:lang w:val="en-IE" w:eastAsia="en-IE"/>
        </w:rPr>
        <w:tab/>
      </w:r>
      <w:r>
        <w:rPr>
          <w:noProof/>
        </w:rPr>
        <w:t xml:space="preserve"> Outcome measures used</w:t>
      </w:r>
      <w:r>
        <w:rPr>
          <w:noProof/>
        </w:rPr>
        <w:tab/>
      </w:r>
      <w:r>
        <w:rPr>
          <w:noProof/>
        </w:rPr>
        <w:fldChar w:fldCharType="begin"/>
      </w:r>
      <w:r>
        <w:rPr>
          <w:noProof/>
        </w:rPr>
        <w:instrText xml:space="preserve"> PAGEREF _Toc476241550 \h </w:instrText>
      </w:r>
      <w:r>
        <w:rPr>
          <w:noProof/>
        </w:rPr>
      </w:r>
      <w:r>
        <w:rPr>
          <w:noProof/>
        </w:rPr>
        <w:fldChar w:fldCharType="separate"/>
      </w:r>
      <w:r>
        <w:rPr>
          <w:noProof/>
        </w:rPr>
        <w:t>50</w:t>
      </w:r>
      <w:r>
        <w:rPr>
          <w:noProof/>
        </w:rPr>
        <w:fldChar w:fldCharType="end"/>
      </w:r>
    </w:p>
    <w:p w14:paraId="4F0855CD" w14:textId="1D39D88C"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3.3.3</w:t>
      </w:r>
      <w:r>
        <w:rPr>
          <w:rFonts w:asciiTheme="minorHAnsi" w:eastAsiaTheme="minorEastAsia" w:hAnsiTheme="minorHAnsi" w:cstheme="minorBidi"/>
          <w:noProof/>
          <w:sz w:val="22"/>
          <w:szCs w:val="22"/>
          <w:lang w:val="en-IE" w:eastAsia="en-IE"/>
        </w:rPr>
        <w:tab/>
      </w:r>
      <w:r>
        <w:rPr>
          <w:noProof/>
        </w:rPr>
        <w:t xml:space="preserve"> Search methods</w:t>
      </w:r>
      <w:r>
        <w:rPr>
          <w:noProof/>
        </w:rPr>
        <w:tab/>
      </w:r>
      <w:r>
        <w:rPr>
          <w:noProof/>
        </w:rPr>
        <w:fldChar w:fldCharType="begin"/>
      </w:r>
      <w:r>
        <w:rPr>
          <w:noProof/>
        </w:rPr>
        <w:instrText xml:space="preserve"> PAGEREF _Toc476241551 \h </w:instrText>
      </w:r>
      <w:r>
        <w:rPr>
          <w:noProof/>
        </w:rPr>
      </w:r>
      <w:r>
        <w:rPr>
          <w:noProof/>
        </w:rPr>
        <w:fldChar w:fldCharType="separate"/>
      </w:r>
      <w:r>
        <w:rPr>
          <w:noProof/>
        </w:rPr>
        <w:t>51</w:t>
      </w:r>
      <w:r>
        <w:rPr>
          <w:noProof/>
        </w:rPr>
        <w:fldChar w:fldCharType="end"/>
      </w:r>
    </w:p>
    <w:p w14:paraId="0DD0897E" w14:textId="44CD45C2"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3.3.4</w:t>
      </w:r>
      <w:r>
        <w:rPr>
          <w:rFonts w:asciiTheme="minorHAnsi" w:eastAsiaTheme="minorEastAsia" w:hAnsiTheme="minorHAnsi" w:cstheme="minorBidi"/>
          <w:noProof/>
          <w:sz w:val="22"/>
          <w:szCs w:val="22"/>
          <w:lang w:val="en-IE" w:eastAsia="en-IE"/>
        </w:rPr>
        <w:tab/>
      </w:r>
      <w:r>
        <w:rPr>
          <w:noProof/>
        </w:rPr>
        <w:t xml:space="preserve"> Data synthesis</w:t>
      </w:r>
      <w:r>
        <w:rPr>
          <w:noProof/>
        </w:rPr>
        <w:tab/>
      </w:r>
      <w:r>
        <w:rPr>
          <w:noProof/>
        </w:rPr>
        <w:fldChar w:fldCharType="begin"/>
      </w:r>
      <w:r>
        <w:rPr>
          <w:noProof/>
        </w:rPr>
        <w:instrText xml:space="preserve"> PAGEREF _Toc476241552 \h </w:instrText>
      </w:r>
      <w:r>
        <w:rPr>
          <w:noProof/>
        </w:rPr>
      </w:r>
      <w:r>
        <w:rPr>
          <w:noProof/>
        </w:rPr>
        <w:fldChar w:fldCharType="separate"/>
      </w:r>
      <w:r>
        <w:rPr>
          <w:noProof/>
        </w:rPr>
        <w:t>52</w:t>
      </w:r>
      <w:r>
        <w:rPr>
          <w:noProof/>
        </w:rPr>
        <w:fldChar w:fldCharType="end"/>
      </w:r>
    </w:p>
    <w:p w14:paraId="14376F75" w14:textId="407D46D2" w:rsidR="00E516A2" w:rsidRDefault="00E516A2">
      <w:pPr>
        <w:pStyle w:val="TOC3"/>
        <w:tabs>
          <w:tab w:val="left" w:pos="880"/>
          <w:tab w:val="right" w:leader="dot" w:pos="9016"/>
        </w:tabs>
        <w:rPr>
          <w:rFonts w:asciiTheme="minorHAnsi" w:eastAsiaTheme="minorEastAsia" w:hAnsiTheme="minorHAnsi" w:cstheme="minorBidi"/>
          <w:noProof/>
          <w:sz w:val="22"/>
          <w:szCs w:val="22"/>
          <w:lang w:val="en-IE" w:eastAsia="en-IE"/>
        </w:rPr>
      </w:pPr>
      <w:r>
        <w:rPr>
          <w:noProof/>
        </w:rPr>
        <w:t>3.4</w:t>
      </w:r>
      <w:r>
        <w:rPr>
          <w:rFonts w:asciiTheme="minorHAnsi" w:eastAsiaTheme="minorEastAsia" w:hAnsiTheme="minorHAnsi" w:cstheme="minorBidi"/>
          <w:noProof/>
          <w:sz w:val="22"/>
          <w:szCs w:val="22"/>
          <w:lang w:val="en-IE" w:eastAsia="en-IE"/>
        </w:rPr>
        <w:tab/>
      </w:r>
      <w:r>
        <w:rPr>
          <w:noProof/>
        </w:rPr>
        <w:t xml:space="preserve"> Results</w:t>
      </w:r>
      <w:r>
        <w:rPr>
          <w:noProof/>
        </w:rPr>
        <w:tab/>
      </w:r>
      <w:r>
        <w:rPr>
          <w:noProof/>
        </w:rPr>
        <w:fldChar w:fldCharType="begin"/>
      </w:r>
      <w:r>
        <w:rPr>
          <w:noProof/>
        </w:rPr>
        <w:instrText xml:space="preserve"> PAGEREF _Toc476241553 \h </w:instrText>
      </w:r>
      <w:r>
        <w:rPr>
          <w:noProof/>
        </w:rPr>
      </w:r>
      <w:r>
        <w:rPr>
          <w:noProof/>
        </w:rPr>
        <w:fldChar w:fldCharType="separate"/>
      </w:r>
      <w:r>
        <w:rPr>
          <w:noProof/>
        </w:rPr>
        <w:t>52</w:t>
      </w:r>
      <w:r>
        <w:rPr>
          <w:noProof/>
        </w:rPr>
        <w:fldChar w:fldCharType="end"/>
      </w:r>
    </w:p>
    <w:p w14:paraId="2DBB9653" w14:textId="6561DAAE"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3.4.1</w:t>
      </w:r>
      <w:r>
        <w:rPr>
          <w:rFonts w:asciiTheme="minorHAnsi" w:eastAsiaTheme="minorEastAsia" w:hAnsiTheme="minorHAnsi" w:cstheme="minorBidi"/>
          <w:noProof/>
          <w:sz w:val="22"/>
          <w:szCs w:val="22"/>
          <w:lang w:val="en-IE" w:eastAsia="en-IE"/>
        </w:rPr>
        <w:tab/>
      </w:r>
      <w:r>
        <w:rPr>
          <w:noProof/>
        </w:rPr>
        <w:t xml:space="preserve"> Overall discussion papers</w:t>
      </w:r>
      <w:r>
        <w:rPr>
          <w:noProof/>
        </w:rPr>
        <w:tab/>
      </w:r>
      <w:r>
        <w:rPr>
          <w:noProof/>
        </w:rPr>
        <w:fldChar w:fldCharType="begin"/>
      </w:r>
      <w:r>
        <w:rPr>
          <w:noProof/>
        </w:rPr>
        <w:instrText xml:space="preserve"> PAGEREF _Toc476241554 \h </w:instrText>
      </w:r>
      <w:r>
        <w:rPr>
          <w:noProof/>
        </w:rPr>
      </w:r>
      <w:r>
        <w:rPr>
          <w:noProof/>
        </w:rPr>
        <w:fldChar w:fldCharType="separate"/>
      </w:r>
      <w:r>
        <w:rPr>
          <w:noProof/>
        </w:rPr>
        <w:t>53</w:t>
      </w:r>
      <w:r>
        <w:rPr>
          <w:noProof/>
        </w:rPr>
        <w:fldChar w:fldCharType="end"/>
      </w:r>
    </w:p>
    <w:p w14:paraId="1082B82F" w14:textId="3DC80027"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3.4.2</w:t>
      </w:r>
      <w:r>
        <w:rPr>
          <w:rFonts w:asciiTheme="minorHAnsi" w:eastAsiaTheme="minorEastAsia" w:hAnsiTheme="minorHAnsi" w:cstheme="minorBidi"/>
          <w:noProof/>
          <w:sz w:val="22"/>
          <w:szCs w:val="22"/>
          <w:lang w:val="en-IE" w:eastAsia="en-IE"/>
        </w:rPr>
        <w:tab/>
      </w:r>
      <w:r>
        <w:rPr>
          <w:noProof/>
        </w:rPr>
        <w:t xml:space="preserve"> Value measurement models</w:t>
      </w:r>
      <w:r>
        <w:rPr>
          <w:noProof/>
        </w:rPr>
        <w:tab/>
      </w:r>
      <w:r>
        <w:rPr>
          <w:noProof/>
        </w:rPr>
        <w:fldChar w:fldCharType="begin"/>
      </w:r>
      <w:r>
        <w:rPr>
          <w:noProof/>
        </w:rPr>
        <w:instrText xml:space="preserve"> PAGEREF _Toc476241555 \h </w:instrText>
      </w:r>
      <w:r>
        <w:rPr>
          <w:noProof/>
        </w:rPr>
      </w:r>
      <w:r>
        <w:rPr>
          <w:noProof/>
        </w:rPr>
        <w:fldChar w:fldCharType="separate"/>
      </w:r>
      <w:r>
        <w:rPr>
          <w:noProof/>
        </w:rPr>
        <w:t>54</w:t>
      </w:r>
      <w:r>
        <w:rPr>
          <w:noProof/>
        </w:rPr>
        <w:fldChar w:fldCharType="end"/>
      </w:r>
    </w:p>
    <w:p w14:paraId="01E0A83D" w14:textId="612949F3" w:rsidR="00E516A2" w:rsidRDefault="00E516A2">
      <w:pPr>
        <w:pStyle w:val="TOC5"/>
        <w:rPr>
          <w:rFonts w:asciiTheme="minorHAnsi" w:eastAsiaTheme="minorEastAsia" w:hAnsiTheme="minorHAnsi" w:cstheme="minorBidi"/>
          <w:noProof/>
          <w:sz w:val="22"/>
          <w:szCs w:val="22"/>
          <w:lang w:val="en-IE" w:eastAsia="en-IE"/>
        </w:rPr>
      </w:pPr>
      <w:r>
        <w:rPr>
          <w:noProof/>
        </w:rPr>
        <w:t>3.4.2.1</w:t>
      </w:r>
      <w:r>
        <w:rPr>
          <w:rFonts w:asciiTheme="minorHAnsi" w:eastAsiaTheme="minorEastAsia" w:hAnsiTheme="minorHAnsi" w:cstheme="minorBidi"/>
          <w:noProof/>
          <w:sz w:val="22"/>
          <w:szCs w:val="22"/>
          <w:lang w:val="en-IE" w:eastAsia="en-IE"/>
        </w:rPr>
        <w:tab/>
      </w:r>
      <w:r>
        <w:rPr>
          <w:noProof/>
        </w:rPr>
        <w:t xml:space="preserve"> Linear additive method</w:t>
      </w:r>
      <w:r>
        <w:rPr>
          <w:noProof/>
        </w:rPr>
        <w:tab/>
      </w:r>
      <w:r>
        <w:rPr>
          <w:noProof/>
        </w:rPr>
        <w:fldChar w:fldCharType="begin"/>
      </w:r>
      <w:r>
        <w:rPr>
          <w:noProof/>
        </w:rPr>
        <w:instrText xml:space="preserve"> PAGEREF _Toc476241556 \h </w:instrText>
      </w:r>
      <w:r>
        <w:rPr>
          <w:noProof/>
        </w:rPr>
      </w:r>
      <w:r>
        <w:rPr>
          <w:noProof/>
        </w:rPr>
        <w:fldChar w:fldCharType="separate"/>
      </w:r>
      <w:r>
        <w:rPr>
          <w:noProof/>
        </w:rPr>
        <w:t>54</w:t>
      </w:r>
      <w:r>
        <w:rPr>
          <w:noProof/>
        </w:rPr>
        <w:fldChar w:fldCharType="end"/>
      </w:r>
    </w:p>
    <w:p w14:paraId="22A2D260" w14:textId="08F68336" w:rsidR="00E516A2" w:rsidRDefault="00E516A2">
      <w:pPr>
        <w:pStyle w:val="TOC5"/>
        <w:rPr>
          <w:rFonts w:asciiTheme="minorHAnsi" w:eastAsiaTheme="minorEastAsia" w:hAnsiTheme="minorHAnsi" w:cstheme="minorBidi"/>
          <w:noProof/>
          <w:sz w:val="22"/>
          <w:szCs w:val="22"/>
          <w:lang w:val="en-IE" w:eastAsia="en-IE"/>
        </w:rPr>
      </w:pPr>
      <w:r>
        <w:rPr>
          <w:noProof/>
        </w:rPr>
        <w:t>3.4.2.2</w:t>
      </w:r>
      <w:r>
        <w:rPr>
          <w:rFonts w:asciiTheme="minorHAnsi" w:eastAsiaTheme="minorEastAsia" w:hAnsiTheme="minorHAnsi" w:cstheme="minorBidi"/>
          <w:noProof/>
          <w:sz w:val="22"/>
          <w:szCs w:val="22"/>
          <w:lang w:val="en-IE" w:eastAsia="en-IE"/>
        </w:rPr>
        <w:tab/>
      </w:r>
      <w:r>
        <w:rPr>
          <w:noProof/>
        </w:rPr>
        <w:t xml:space="preserve"> Analytic Hierarchy Process</w:t>
      </w:r>
      <w:r>
        <w:rPr>
          <w:noProof/>
        </w:rPr>
        <w:tab/>
      </w:r>
      <w:r>
        <w:rPr>
          <w:noProof/>
        </w:rPr>
        <w:fldChar w:fldCharType="begin"/>
      </w:r>
      <w:r>
        <w:rPr>
          <w:noProof/>
        </w:rPr>
        <w:instrText xml:space="preserve"> PAGEREF _Toc476241557 \h </w:instrText>
      </w:r>
      <w:r>
        <w:rPr>
          <w:noProof/>
        </w:rPr>
      </w:r>
      <w:r>
        <w:rPr>
          <w:noProof/>
        </w:rPr>
        <w:fldChar w:fldCharType="separate"/>
      </w:r>
      <w:r>
        <w:rPr>
          <w:noProof/>
        </w:rPr>
        <w:t>55</w:t>
      </w:r>
      <w:r>
        <w:rPr>
          <w:noProof/>
        </w:rPr>
        <w:fldChar w:fldCharType="end"/>
      </w:r>
    </w:p>
    <w:p w14:paraId="5B6D78C7" w14:textId="4B7D15FB" w:rsidR="00E516A2" w:rsidRDefault="00E516A2">
      <w:pPr>
        <w:pStyle w:val="TOC5"/>
        <w:rPr>
          <w:rFonts w:asciiTheme="minorHAnsi" w:eastAsiaTheme="minorEastAsia" w:hAnsiTheme="minorHAnsi" w:cstheme="minorBidi"/>
          <w:noProof/>
          <w:sz w:val="22"/>
          <w:szCs w:val="22"/>
          <w:lang w:val="en-IE" w:eastAsia="en-IE"/>
        </w:rPr>
      </w:pPr>
      <w:r>
        <w:rPr>
          <w:noProof/>
        </w:rPr>
        <w:t>3.4.2.3</w:t>
      </w:r>
      <w:r>
        <w:rPr>
          <w:rFonts w:asciiTheme="minorHAnsi" w:eastAsiaTheme="minorEastAsia" w:hAnsiTheme="minorHAnsi" w:cstheme="minorBidi"/>
          <w:noProof/>
          <w:sz w:val="22"/>
          <w:szCs w:val="22"/>
          <w:lang w:val="en-IE" w:eastAsia="en-IE"/>
        </w:rPr>
        <w:tab/>
      </w:r>
      <w:r>
        <w:rPr>
          <w:noProof/>
        </w:rPr>
        <w:t xml:space="preserve"> Fuzzy AHP (FAHP)</w:t>
      </w:r>
      <w:r>
        <w:rPr>
          <w:noProof/>
        </w:rPr>
        <w:tab/>
      </w:r>
      <w:r>
        <w:rPr>
          <w:noProof/>
        </w:rPr>
        <w:fldChar w:fldCharType="begin"/>
      </w:r>
      <w:r>
        <w:rPr>
          <w:noProof/>
        </w:rPr>
        <w:instrText xml:space="preserve"> PAGEREF _Toc476241558 \h </w:instrText>
      </w:r>
      <w:r>
        <w:rPr>
          <w:noProof/>
        </w:rPr>
      </w:r>
      <w:r>
        <w:rPr>
          <w:noProof/>
        </w:rPr>
        <w:fldChar w:fldCharType="separate"/>
      </w:r>
      <w:r>
        <w:rPr>
          <w:noProof/>
        </w:rPr>
        <w:t>55</w:t>
      </w:r>
      <w:r>
        <w:rPr>
          <w:noProof/>
        </w:rPr>
        <w:fldChar w:fldCharType="end"/>
      </w:r>
    </w:p>
    <w:p w14:paraId="11BF5B37" w14:textId="40790A3C" w:rsidR="00E516A2" w:rsidRDefault="00E516A2">
      <w:pPr>
        <w:pStyle w:val="TOC5"/>
        <w:rPr>
          <w:rFonts w:asciiTheme="minorHAnsi" w:eastAsiaTheme="minorEastAsia" w:hAnsiTheme="minorHAnsi" w:cstheme="minorBidi"/>
          <w:noProof/>
          <w:sz w:val="22"/>
          <w:szCs w:val="22"/>
          <w:lang w:val="en-IE" w:eastAsia="en-IE"/>
        </w:rPr>
      </w:pPr>
      <w:r>
        <w:rPr>
          <w:noProof/>
        </w:rPr>
        <w:t>3.4.2.4</w:t>
      </w:r>
      <w:r>
        <w:rPr>
          <w:rFonts w:asciiTheme="minorHAnsi" w:eastAsiaTheme="minorEastAsia" w:hAnsiTheme="minorHAnsi" w:cstheme="minorBidi"/>
          <w:noProof/>
          <w:sz w:val="22"/>
          <w:szCs w:val="22"/>
          <w:lang w:val="en-IE" w:eastAsia="en-IE"/>
        </w:rPr>
        <w:tab/>
      </w:r>
      <w:r>
        <w:rPr>
          <w:noProof/>
        </w:rPr>
        <w:t xml:space="preserve"> Discrete choice experiments</w:t>
      </w:r>
      <w:r>
        <w:rPr>
          <w:noProof/>
        </w:rPr>
        <w:tab/>
      </w:r>
      <w:r>
        <w:rPr>
          <w:noProof/>
        </w:rPr>
        <w:fldChar w:fldCharType="begin"/>
      </w:r>
      <w:r>
        <w:rPr>
          <w:noProof/>
        </w:rPr>
        <w:instrText xml:space="preserve"> PAGEREF _Toc476241559 \h </w:instrText>
      </w:r>
      <w:r>
        <w:rPr>
          <w:noProof/>
        </w:rPr>
      </w:r>
      <w:r>
        <w:rPr>
          <w:noProof/>
        </w:rPr>
        <w:fldChar w:fldCharType="separate"/>
      </w:r>
      <w:r>
        <w:rPr>
          <w:noProof/>
        </w:rPr>
        <w:t>56</w:t>
      </w:r>
      <w:r>
        <w:rPr>
          <w:noProof/>
        </w:rPr>
        <w:fldChar w:fldCharType="end"/>
      </w:r>
    </w:p>
    <w:p w14:paraId="751AF630" w14:textId="20D97A5B" w:rsidR="00E516A2" w:rsidRDefault="00E516A2">
      <w:pPr>
        <w:pStyle w:val="TOC5"/>
        <w:rPr>
          <w:rFonts w:asciiTheme="minorHAnsi" w:eastAsiaTheme="minorEastAsia" w:hAnsiTheme="minorHAnsi" w:cstheme="minorBidi"/>
          <w:noProof/>
          <w:sz w:val="22"/>
          <w:szCs w:val="22"/>
          <w:lang w:val="en-IE" w:eastAsia="en-IE"/>
        </w:rPr>
      </w:pPr>
      <w:r>
        <w:rPr>
          <w:noProof/>
        </w:rPr>
        <w:t>3.4.2.5</w:t>
      </w:r>
      <w:r>
        <w:rPr>
          <w:rFonts w:asciiTheme="minorHAnsi" w:eastAsiaTheme="minorEastAsia" w:hAnsiTheme="minorHAnsi" w:cstheme="minorBidi"/>
          <w:noProof/>
          <w:sz w:val="22"/>
          <w:szCs w:val="22"/>
          <w:lang w:val="en-IE" w:eastAsia="en-IE"/>
        </w:rPr>
        <w:tab/>
      </w:r>
      <w:r>
        <w:rPr>
          <w:noProof/>
        </w:rPr>
        <w:t xml:space="preserve"> Simple multi attribute rating technique (SMART)</w:t>
      </w:r>
      <w:r>
        <w:rPr>
          <w:noProof/>
        </w:rPr>
        <w:tab/>
      </w:r>
      <w:r>
        <w:rPr>
          <w:noProof/>
        </w:rPr>
        <w:fldChar w:fldCharType="begin"/>
      </w:r>
      <w:r>
        <w:rPr>
          <w:noProof/>
        </w:rPr>
        <w:instrText xml:space="preserve"> PAGEREF _Toc476241560 \h </w:instrText>
      </w:r>
      <w:r>
        <w:rPr>
          <w:noProof/>
        </w:rPr>
      </w:r>
      <w:r>
        <w:rPr>
          <w:noProof/>
        </w:rPr>
        <w:fldChar w:fldCharType="separate"/>
      </w:r>
      <w:r>
        <w:rPr>
          <w:noProof/>
        </w:rPr>
        <w:t>56</w:t>
      </w:r>
      <w:r>
        <w:rPr>
          <w:noProof/>
        </w:rPr>
        <w:fldChar w:fldCharType="end"/>
      </w:r>
    </w:p>
    <w:p w14:paraId="26638BE5" w14:textId="3E5A49A5"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3.4.3</w:t>
      </w:r>
      <w:r>
        <w:rPr>
          <w:rFonts w:asciiTheme="minorHAnsi" w:eastAsiaTheme="minorEastAsia" w:hAnsiTheme="minorHAnsi" w:cstheme="minorBidi"/>
          <w:noProof/>
          <w:sz w:val="22"/>
          <w:szCs w:val="22"/>
          <w:lang w:val="en-IE" w:eastAsia="en-IE"/>
        </w:rPr>
        <w:tab/>
      </w:r>
      <w:r>
        <w:rPr>
          <w:noProof/>
        </w:rPr>
        <w:t xml:space="preserve"> Outranking models</w:t>
      </w:r>
      <w:r>
        <w:rPr>
          <w:noProof/>
        </w:rPr>
        <w:tab/>
      </w:r>
      <w:r>
        <w:rPr>
          <w:noProof/>
        </w:rPr>
        <w:fldChar w:fldCharType="begin"/>
      </w:r>
      <w:r>
        <w:rPr>
          <w:noProof/>
        </w:rPr>
        <w:instrText xml:space="preserve"> PAGEREF _Toc476241561 \h </w:instrText>
      </w:r>
      <w:r>
        <w:rPr>
          <w:noProof/>
        </w:rPr>
      </w:r>
      <w:r>
        <w:rPr>
          <w:noProof/>
        </w:rPr>
        <w:fldChar w:fldCharType="separate"/>
      </w:r>
      <w:r>
        <w:rPr>
          <w:noProof/>
        </w:rPr>
        <w:t>57</w:t>
      </w:r>
      <w:r>
        <w:rPr>
          <w:noProof/>
        </w:rPr>
        <w:fldChar w:fldCharType="end"/>
      </w:r>
    </w:p>
    <w:p w14:paraId="53FA9ECA" w14:textId="20B33396" w:rsidR="00E516A2" w:rsidRDefault="00E516A2">
      <w:pPr>
        <w:pStyle w:val="TOC5"/>
        <w:rPr>
          <w:rFonts w:asciiTheme="minorHAnsi" w:eastAsiaTheme="minorEastAsia" w:hAnsiTheme="minorHAnsi" w:cstheme="minorBidi"/>
          <w:noProof/>
          <w:sz w:val="22"/>
          <w:szCs w:val="22"/>
          <w:lang w:val="en-IE" w:eastAsia="en-IE"/>
        </w:rPr>
      </w:pPr>
      <w:r>
        <w:rPr>
          <w:noProof/>
        </w:rPr>
        <w:t>3.4.3.1</w:t>
      </w:r>
      <w:r>
        <w:rPr>
          <w:rFonts w:asciiTheme="minorHAnsi" w:eastAsiaTheme="minorEastAsia" w:hAnsiTheme="minorHAnsi" w:cstheme="minorBidi"/>
          <w:noProof/>
          <w:sz w:val="22"/>
          <w:szCs w:val="22"/>
          <w:lang w:val="en-IE" w:eastAsia="en-IE"/>
        </w:rPr>
        <w:tab/>
      </w:r>
      <w:r>
        <w:rPr>
          <w:noProof/>
        </w:rPr>
        <w:t xml:space="preserve"> PROMETHEE</w:t>
      </w:r>
      <w:r>
        <w:rPr>
          <w:noProof/>
        </w:rPr>
        <w:tab/>
      </w:r>
      <w:r>
        <w:rPr>
          <w:noProof/>
        </w:rPr>
        <w:fldChar w:fldCharType="begin"/>
      </w:r>
      <w:r>
        <w:rPr>
          <w:noProof/>
        </w:rPr>
        <w:instrText xml:space="preserve"> PAGEREF _Toc476241562 \h </w:instrText>
      </w:r>
      <w:r>
        <w:rPr>
          <w:noProof/>
        </w:rPr>
      </w:r>
      <w:r>
        <w:rPr>
          <w:noProof/>
        </w:rPr>
        <w:fldChar w:fldCharType="separate"/>
      </w:r>
      <w:r>
        <w:rPr>
          <w:noProof/>
        </w:rPr>
        <w:t>57</w:t>
      </w:r>
      <w:r>
        <w:rPr>
          <w:noProof/>
        </w:rPr>
        <w:fldChar w:fldCharType="end"/>
      </w:r>
    </w:p>
    <w:p w14:paraId="50AA99FA" w14:textId="3A45AE9F" w:rsidR="00E516A2" w:rsidRDefault="00E516A2">
      <w:pPr>
        <w:pStyle w:val="TOC5"/>
        <w:rPr>
          <w:rFonts w:asciiTheme="minorHAnsi" w:eastAsiaTheme="minorEastAsia" w:hAnsiTheme="minorHAnsi" w:cstheme="minorBidi"/>
          <w:noProof/>
          <w:sz w:val="22"/>
          <w:szCs w:val="22"/>
          <w:lang w:val="en-IE" w:eastAsia="en-IE"/>
        </w:rPr>
      </w:pPr>
      <w:r>
        <w:rPr>
          <w:noProof/>
        </w:rPr>
        <w:t>3.4.3.2</w:t>
      </w:r>
      <w:r>
        <w:rPr>
          <w:rFonts w:asciiTheme="minorHAnsi" w:eastAsiaTheme="minorEastAsia" w:hAnsiTheme="minorHAnsi" w:cstheme="minorBidi"/>
          <w:noProof/>
          <w:sz w:val="22"/>
          <w:szCs w:val="22"/>
          <w:lang w:val="en-IE" w:eastAsia="en-IE"/>
        </w:rPr>
        <w:tab/>
      </w:r>
      <w:r>
        <w:rPr>
          <w:noProof/>
        </w:rPr>
        <w:t xml:space="preserve"> TODIM</w:t>
      </w:r>
      <w:r>
        <w:rPr>
          <w:noProof/>
        </w:rPr>
        <w:tab/>
      </w:r>
      <w:r>
        <w:rPr>
          <w:noProof/>
        </w:rPr>
        <w:fldChar w:fldCharType="begin"/>
      </w:r>
      <w:r>
        <w:rPr>
          <w:noProof/>
        </w:rPr>
        <w:instrText xml:space="preserve"> PAGEREF _Toc476241563 \h </w:instrText>
      </w:r>
      <w:r>
        <w:rPr>
          <w:noProof/>
        </w:rPr>
      </w:r>
      <w:r>
        <w:rPr>
          <w:noProof/>
        </w:rPr>
        <w:fldChar w:fldCharType="separate"/>
      </w:r>
      <w:r>
        <w:rPr>
          <w:noProof/>
        </w:rPr>
        <w:t>57</w:t>
      </w:r>
      <w:r>
        <w:rPr>
          <w:noProof/>
        </w:rPr>
        <w:fldChar w:fldCharType="end"/>
      </w:r>
    </w:p>
    <w:p w14:paraId="3BE1E98E" w14:textId="6E47917E"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3.4.4</w:t>
      </w:r>
      <w:r>
        <w:rPr>
          <w:rFonts w:asciiTheme="minorHAnsi" w:eastAsiaTheme="minorEastAsia" w:hAnsiTheme="minorHAnsi" w:cstheme="minorBidi"/>
          <w:noProof/>
          <w:sz w:val="22"/>
          <w:szCs w:val="22"/>
          <w:lang w:val="en-IE" w:eastAsia="en-IE"/>
        </w:rPr>
        <w:tab/>
      </w:r>
      <w:r>
        <w:rPr>
          <w:noProof/>
        </w:rPr>
        <w:t xml:space="preserve"> Goal programming</w:t>
      </w:r>
      <w:r>
        <w:rPr>
          <w:noProof/>
        </w:rPr>
        <w:tab/>
      </w:r>
      <w:r>
        <w:rPr>
          <w:noProof/>
        </w:rPr>
        <w:fldChar w:fldCharType="begin"/>
      </w:r>
      <w:r>
        <w:rPr>
          <w:noProof/>
        </w:rPr>
        <w:instrText xml:space="preserve"> PAGEREF _Toc476241564 \h </w:instrText>
      </w:r>
      <w:r>
        <w:rPr>
          <w:noProof/>
        </w:rPr>
      </w:r>
      <w:r>
        <w:rPr>
          <w:noProof/>
        </w:rPr>
        <w:fldChar w:fldCharType="separate"/>
      </w:r>
      <w:r>
        <w:rPr>
          <w:noProof/>
        </w:rPr>
        <w:t>57</w:t>
      </w:r>
      <w:r>
        <w:rPr>
          <w:noProof/>
        </w:rPr>
        <w:fldChar w:fldCharType="end"/>
      </w:r>
    </w:p>
    <w:p w14:paraId="64C9CF57" w14:textId="4AFAEF1F"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3.4.5</w:t>
      </w:r>
      <w:r>
        <w:rPr>
          <w:rFonts w:asciiTheme="minorHAnsi" w:eastAsiaTheme="minorEastAsia" w:hAnsiTheme="minorHAnsi" w:cstheme="minorBidi"/>
          <w:noProof/>
          <w:sz w:val="22"/>
          <w:szCs w:val="22"/>
          <w:lang w:val="en-IE" w:eastAsia="en-IE"/>
        </w:rPr>
        <w:tab/>
      </w:r>
      <w:r>
        <w:rPr>
          <w:noProof/>
        </w:rPr>
        <w:t xml:space="preserve"> Other methods – PBMA</w:t>
      </w:r>
      <w:r>
        <w:rPr>
          <w:noProof/>
        </w:rPr>
        <w:tab/>
      </w:r>
      <w:r>
        <w:rPr>
          <w:noProof/>
        </w:rPr>
        <w:fldChar w:fldCharType="begin"/>
      </w:r>
      <w:r>
        <w:rPr>
          <w:noProof/>
        </w:rPr>
        <w:instrText xml:space="preserve"> PAGEREF _Toc476241565 \h </w:instrText>
      </w:r>
      <w:r>
        <w:rPr>
          <w:noProof/>
        </w:rPr>
      </w:r>
      <w:r>
        <w:rPr>
          <w:noProof/>
        </w:rPr>
        <w:fldChar w:fldCharType="separate"/>
      </w:r>
      <w:r>
        <w:rPr>
          <w:noProof/>
        </w:rPr>
        <w:t>58</w:t>
      </w:r>
      <w:r>
        <w:rPr>
          <w:noProof/>
        </w:rPr>
        <w:fldChar w:fldCharType="end"/>
      </w:r>
    </w:p>
    <w:p w14:paraId="2D2425E2" w14:textId="7B48A66B" w:rsidR="00E516A2" w:rsidRDefault="00E516A2">
      <w:pPr>
        <w:pStyle w:val="TOC3"/>
        <w:tabs>
          <w:tab w:val="left" w:pos="880"/>
          <w:tab w:val="right" w:leader="dot" w:pos="9016"/>
        </w:tabs>
        <w:rPr>
          <w:rFonts w:asciiTheme="minorHAnsi" w:eastAsiaTheme="minorEastAsia" w:hAnsiTheme="minorHAnsi" w:cstheme="minorBidi"/>
          <w:noProof/>
          <w:sz w:val="22"/>
          <w:szCs w:val="22"/>
          <w:lang w:val="en-IE" w:eastAsia="en-IE"/>
        </w:rPr>
      </w:pPr>
      <w:r>
        <w:rPr>
          <w:noProof/>
        </w:rPr>
        <w:t>3.5</w:t>
      </w:r>
      <w:r>
        <w:rPr>
          <w:rFonts w:asciiTheme="minorHAnsi" w:eastAsiaTheme="minorEastAsia" w:hAnsiTheme="minorHAnsi" w:cstheme="minorBidi"/>
          <w:noProof/>
          <w:sz w:val="22"/>
          <w:szCs w:val="22"/>
          <w:lang w:val="en-IE" w:eastAsia="en-IE"/>
        </w:rPr>
        <w:tab/>
      </w:r>
      <w:r>
        <w:rPr>
          <w:noProof/>
        </w:rPr>
        <w:t xml:space="preserve"> Discussion</w:t>
      </w:r>
      <w:r>
        <w:rPr>
          <w:noProof/>
        </w:rPr>
        <w:tab/>
      </w:r>
      <w:r>
        <w:rPr>
          <w:noProof/>
        </w:rPr>
        <w:fldChar w:fldCharType="begin"/>
      </w:r>
      <w:r>
        <w:rPr>
          <w:noProof/>
        </w:rPr>
        <w:instrText xml:space="preserve"> PAGEREF _Toc476241566 \h </w:instrText>
      </w:r>
      <w:r>
        <w:rPr>
          <w:noProof/>
        </w:rPr>
      </w:r>
      <w:r>
        <w:rPr>
          <w:noProof/>
        </w:rPr>
        <w:fldChar w:fldCharType="separate"/>
      </w:r>
      <w:r>
        <w:rPr>
          <w:noProof/>
        </w:rPr>
        <w:t>60</w:t>
      </w:r>
      <w:r>
        <w:rPr>
          <w:noProof/>
        </w:rPr>
        <w:fldChar w:fldCharType="end"/>
      </w:r>
    </w:p>
    <w:p w14:paraId="5ECE0A71" w14:textId="090C4DCC"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3.5.1</w:t>
      </w:r>
      <w:r>
        <w:rPr>
          <w:rFonts w:asciiTheme="minorHAnsi" w:eastAsiaTheme="minorEastAsia" w:hAnsiTheme="minorHAnsi" w:cstheme="minorBidi"/>
          <w:noProof/>
          <w:sz w:val="22"/>
          <w:szCs w:val="22"/>
          <w:lang w:val="en-IE" w:eastAsia="en-IE"/>
        </w:rPr>
        <w:tab/>
      </w:r>
      <w:r>
        <w:rPr>
          <w:noProof/>
        </w:rPr>
        <w:t xml:space="preserve"> Summary of main results</w:t>
      </w:r>
      <w:r>
        <w:rPr>
          <w:noProof/>
        </w:rPr>
        <w:tab/>
      </w:r>
      <w:r>
        <w:rPr>
          <w:noProof/>
        </w:rPr>
        <w:fldChar w:fldCharType="begin"/>
      </w:r>
      <w:r>
        <w:rPr>
          <w:noProof/>
        </w:rPr>
        <w:instrText xml:space="preserve"> PAGEREF _Toc476241567 \h </w:instrText>
      </w:r>
      <w:r>
        <w:rPr>
          <w:noProof/>
        </w:rPr>
      </w:r>
      <w:r>
        <w:rPr>
          <w:noProof/>
        </w:rPr>
        <w:fldChar w:fldCharType="separate"/>
      </w:r>
      <w:r>
        <w:rPr>
          <w:noProof/>
        </w:rPr>
        <w:t>60</w:t>
      </w:r>
      <w:r>
        <w:rPr>
          <w:noProof/>
        </w:rPr>
        <w:fldChar w:fldCharType="end"/>
      </w:r>
    </w:p>
    <w:p w14:paraId="21738BDC" w14:textId="0AE257EA"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3.5.2</w:t>
      </w:r>
      <w:r>
        <w:rPr>
          <w:rFonts w:asciiTheme="minorHAnsi" w:eastAsiaTheme="minorEastAsia" w:hAnsiTheme="minorHAnsi" w:cstheme="minorBidi"/>
          <w:noProof/>
          <w:sz w:val="22"/>
          <w:szCs w:val="22"/>
          <w:lang w:val="en-IE" w:eastAsia="en-IE"/>
        </w:rPr>
        <w:tab/>
      </w:r>
      <w:r>
        <w:rPr>
          <w:noProof/>
        </w:rPr>
        <w:t xml:space="preserve"> Quality of evidence and potential biases</w:t>
      </w:r>
      <w:r>
        <w:rPr>
          <w:noProof/>
        </w:rPr>
        <w:tab/>
      </w:r>
      <w:r>
        <w:rPr>
          <w:noProof/>
        </w:rPr>
        <w:fldChar w:fldCharType="begin"/>
      </w:r>
      <w:r>
        <w:rPr>
          <w:noProof/>
        </w:rPr>
        <w:instrText xml:space="preserve"> PAGEREF _Toc476241568 \h </w:instrText>
      </w:r>
      <w:r>
        <w:rPr>
          <w:noProof/>
        </w:rPr>
      </w:r>
      <w:r>
        <w:rPr>
          <w:noProof/>
        </w:rPr>
        <w:fldChar w:fldCharType="separate"/>
      </w:r>
      <w:r>
        <w:rPr>
          <w:noProof/>
        </w:rPr>
        <w:t>61</w:t>
      </w:r>
      <w:r>
        <w:rPr>
          <w:noProof/>
        </w:rPr>
        <w:fldChar w:fldCharType="end"/>
      </w:r>
    </w:p>
    <w:p w14:paraId="68C94598" w14:textId="228E3DB2"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3.5.3</w:t>
      </w:r>
      <w:r>
        <w:rPr>
          <w:rFonts w:asciiTheme="minorHAnsi" w:eastAsiaTheme="minorEastAsia" w:hAnsiTheme="minorHAnsi" w:cstheme="minorBidi"/>
          <w:noProof/>
          <w:sz w:val="22"/>
          <w:szCs w:val="22"/>
          <w:lang w:val="en-IE" w:eastAsia="en-IE"/>
        </w:rPr>
        <w:tab/>
      </w:r>
      <w:r>
        <w:rPr>
          <w:noProof/>
        </w:rPr>
        <w:t xml:space="preserve"> Conclusions on this section</w:t>
      </w:r>
      <w:r>
        <w:rPr>
          <w:noProof/>
        </w:rPr>
        <w:tab/>
      </w:r>
      <w:r>
        <w:rPr>
          <w:noProof/>
        </w:rPr>
        <w:fldChar w:fldCharType="begin"/>
      </w:r>
      <w:r>
        <w:rPr>
          <w:noProof/>
        </w:rPr>
        <w:instrText xml:space="preserve"> PAGEREF _Toc476241569 \h </w:instrText>
      </w:r>
      <w:r>
        <w:rPr>
          <w:noProof/>
        </w:rPr>
      </w:r>
      <w:r>
        <w:rPr>
          <w:noProof/>
        </w:rPr>
        <w:fldChar w:fldCharType="separate"/>
      </w:r>
      <w:r>
        <w:rPr>
          <w:noProof/>
        </w:rPr>
        <w:t>62</w:t>
      </w:r>
      <w:r>
        <w:rPr>
          <w:noProof/>
        </w:rPr>
        <w:fldChar w:fldCharType="end"/>
      </w:r>
    </w:p>
    <w:p w14:paraId="0C7FCDC9" w14:textId="78541BE0" w:rsidR="00E516A2" w:rsidRDefault="00E516A2">
      <w:pPr>
        <w:pStyle w:val="TOC2"/>
        <w:tabs>
          <w:tab w:val="left" w:pos="1100"/>
        </w:tabs>
        <w:rPr>
          <w:rFonts w:asciiTheme="minorHAnsi" w:eastAsiaTheme="minorEastAsia" w:hAnsiTheme="minorHAnsi" w:cstheme="minorBidi"/>
          <w:b w:val="0"/>
          <w:noProof/>
          <w:sz w:val="22"/>
          <w:szCs w:val="22"/>
          <w:lang w:val="en-IE" w:eastAsia="en-IE"/>
        </w:rPr>
      </w:pPr>
      <w:r>
        <w:rPr>
          <w:noProof/>
        </w:rPr>
        <w:t xml:space="preserve">Part 2: </w:t>
      </w:r>
      <w:r>
        <w:rPr>
          <w:rFonts w:asciiTheme="minorHAnsi" w:eastAsiaTheme="minorEastAsia" w:hAnsiTheme="minorHAnsi" w:cstheme="minorBidi"/>
          <w:b w:val="0"/>
          <w:noProof/>
          <w:sz w:val="22"/>
          <w:szCs w:val="22"/>
          <w:lang w:val="en-IE" w:eastAsia="en-IE"/>
        </w:rPr>
        <w:tab/>
      </w:r>
      <w:r>
        <w:rPr>
          <w:noProof/>
        </w:rPr>
        <w:t>Bibliometric analysis of issues covered up to December 2014</w:t>
      </w:r>
      <w:r>
        <w:rPr>
          <w:noProof/>
        </w:rPr>
        <w:tab/>
      </w:r>
      <w:r>
        <w:rPr>
          <w:noProof/>
        </w:rPr>
        <w:fldChar w:fldCharType="begin"/>
      </w:r>
      <w:r>
        <w:rPr>
          <w:noProof/>
        </w:rPr>
        <w:instrText xml:space="preserve"> PAGEREF _Toc476241570 \h </w:instrText>
      </w:r>
      <w:r>
        <w:rPr>
          <w:noProof/>
        </w:rPr>
      </w:r>
      <w:r>
        <w:rPr>
          <w:noProof/>
        </w:rPr>
        <w:fldChar w:fldCharType="separate"/>
      </w:r>
      <w:r>
        <w:rPr>
          <w:noProof/>
        </w:rPr>
        <w:t>63</w:t>
      </w:r>
      <w:r>
        <w:rPr>
          <w:noProof/>
        </w:rPr>
        <w:fldChar w:fldCharType="end"/>
      </w:r>
    </w:p>
    <w:p w14:paraId="1E064B46" w14:textId="1C18B91A" w:rsidR="00E516A2" w:rsidRDefault="00E516A2">
      <w:pPr>
        <w:pStyle w:val="TOC2"/>
        <w:tabs>
          <w:tab w:val="left" w:pos="1100"/>
        </w:tabs>
        <w:rPr>
          <w:rFonts w:asciiTheme="minorHAnsi" w:eastAsiaTheme="minorEastAsia" w:hAnsiTheme="minorHAnsi" w:cstheme="minorBidi"/>
          <w:b w:val="0"/>
          <w:noProof/>
          <w:sz w:val="22"/>
          <w:szCs w:val="22"/>
          <w:lang w:val="en-IE" w:eastAsia="en-IE"/>
        </w:rPr>
      </w:pPr>
      <w:r>
        <w:rPr>
          <w:noProof/>
        </w:rPr>
        <w:t xml:space="preserve">Part 3: </w:t>
      </w:r>
      <w:r>
        <w:rPr>
          <w:rFonts w:asciiTheme="minorHAnsi" w:eastAsiaTheme="minorEastAsia" w:hAnsiTheme="minorHAnsi" w:cstheme="minorBidi"/>
          <w:b w:val="0"/>
          <w:noProof/>
          <w:sz w:val="22"/>
          <w:szCs w:val="22"/>
          <w:lang w:val="en-IE" w:eastAsia="en-IE"/>
        </w:rPr>
        <w:tab/>
      </w:r>
      <w:r>
        <w:rPr>
          <w:noProof/>
        </w:rPr>
        <w:t>Overall conclusions from the chapter</w:t>
      </w:r>
      <w:r>
        <w:rPr>
          <w:noProof/>
        </w:rPr>
        <w:tab/>
      </w:r>
      <w:r>
        <w:rPr>
          <w:noProof/>
        </w:rPr>
        <w:fldChar w:fldCharType="begin"/>
      </w:r>
      <w:r>
        <w:rPr>
          <w:noProof/>
        </w:rPr>
        <w:instrText xml:space="preserve"> PAGEREF _Toc476241571 \h </w:instrText>
      </w:r>
      <w:r>
        <w:rPr>
          <w:noProof/>
        </w:rPr>
      </w:r>
      <w:r>
        <w:rPr>
          <w:noProof/>
        </w:rPr>
        <w:fldChar w:fldCharType="separate"/>
      </w:r>
      <w:r>
        <w:rPr>
          <w:noProof/>
        </w:rPr>
        <w:t>67</w:t>
      </w:r>
      <w:r>
        <w:rPr>
          <w:noProof/>
        </w:rPr>
        <w:fldChar w:fldCharType="end"/>
      </w:r>
    </w:p>
    <w:p w14:paraId="72827932" w14:textId="41F0186D"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rPr>
        <w:t>Chapter 4 :</w:t>
      </w:r>
      <w:r>
        <w:rPr>
          <w:rFonts w:asciiTheme="minorHAnsi" w:eastAsiaTheme="minorEastAsia" w:hAnsiTheme="minorHAnsi" w:cstheme="minorBidi"/>
          <w:b w:val="0"/>
          <w:caps w:val="0"/>
          <w:noProof/>
          <w:sz w:val="22"/>
          <w:szCs w:val="22"/>
          <w:lang w:val="en-IE" w:eastAsia="en-IE"/>
        </w:rPr>
        <w:tab/>
      </w:r>
      <w:r>
        <w:rPr>
          <w:noProof/>
        </w:rPr>
        <w:t>Public health decision-making in NICE</w:t>
      </w:r>
      <w:r>
        <w:rPr>
          <w:noProof/>
        </w:rPr>
        <w:tab/>
      </w:r>
      <w:r>
        <w:rPr>
          <w:noProof/>
        </w:rPr>
        <w:fldChar w:fldCharType="begin"/>
      </w:r>
      <w:r>
        <w:rPr>
          <w:noProof/>
        </w:rPr>
        <w:instrText xml:space="preserve"> PAGEREF _Toc476241572 \h </w:instrText>
      </w:r>
      <w:r>
        <w:rPr>
          <w:noProof/>
        </w:rPr>
      </w:r>
      <w:r>
        <w:rPr>
          <w:noProof/>
        </w:rPr>
        <w:fldChar w:fldCharType="separate"/>
      </w:r>
      <w:r>
        <w:rPr>
          <w:noProof/>
        </w:rPr>
        <w:t>72</w:t>
      </w:r>
      <w:r>
        <w:rPr>
          <w:noProof/>
        </w:rPr>
        <w:fldChar w:fldCharType="end"/>
      </w:r>
    </w:p>
    <w:p w14:paraId="127058EB" w14:textId="39B5BC4F"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4.1</w:t>
      </w:r>
      <w:r>
        <w:rPr>
          <w:rFonts w:asciiTheme="minorHAnsi" w:eastAsiaTheme="minorEastAsia" w:hAnsiTheme="minorHAnsi" w:cstheme="minorBidi"/>
          <w:b w:val="0"/>
          <w:noProof/>
          <w:sz w:val="22"/>
          <w:szCs w:val="22"/>
          <w:lang w:val="en-IE" w:eastAsia="en-IE"/>
        </w:rPr>
        <w:tab/>
      </w:r>
      <w:r>
        <w:rPr>
          <w:noProof/>
        </w:rPr>
        <w:t xml:space="preserve"> Introduction</w:t>
      </w:r>
      <w:r>
        <w:rPr>
          <w:noProof/>
        </w:rPr>
        <w:tab/>
      </w:r>
      <w:r>
        <w:rPr>
          <w:noProof/>
        </w:rPr>
        <w:fldChar w:fldCharType="begin"/>
      </w:r>
      <w:r>
        <w:rPr>
          <w:noProof/>
        </w:rPr>
        <w:instrText xml:space="preserve"> PAGEREF _Toc476241573 \h </w:instrText>
      </w:r>
      <w:r>
        <w:rPr>
          <w:noProof/>
        </w:rPr>
      </w:r>
      <w:r>
        <w:rPr>
          <w:noProof/>
        </w:rPr>
        <w:fldChar w:fldCharType="separate"/>
      </w:r>
      <w:r>
        <w:rPr>
          <w:noProof/>
        </w:rPr>
        <w:t>72</w:t>
      </w:r>
      <w:r>
        <w:rPr>
          <w:noProof/>
        </w:rPr>
        <w:fldChar w:fldCharType="end"/>
      </w:r>
    </w:p>
    <w:p w14:paraId="7B0FFC9E" w14:textId="59A82EFB"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4.1.1</w:t>
      </w:r>
      <w:r>
        <w:rPr>
          <w:rFonts w:asciiTheme="minorHAnsi" w:eastAsiaTheme="minorEastAsia" w:hAnsiTheme="minorHAnsi" w:cstheme="minorBidi"/>
          <w:noProof/>
          <w:sz w:val="22"/>
          <w:szCs w:val="22"/>
          <w:lang w:val="en-IE" w:eastAsia="en-IE"/>
        </w:rPr>
        <w:tab/>
      </w:r>
      <w:r>
        <w:rPr>
          <w:noProof/>
        </w:rPr>
        <w:t xml:space="preserve"> Research questions and methods</w:t>
      </w:r>
      <w:r>
        <w:rPr>
          <w:noProof/>
        </w:rPr>
        <w:tab/>
      </w:r>
      <w:r>
        <w:rPr>
          <w:noProof/>
        </w:rPr>
        <w:fldChar w:fldCharType="begin"/>
      </w:r>
      <w:r>
        <w:rPr>
          <w:noProof/>
        </w:rPr>
        <w:instrText xml:space="preserve"> PAGEREF _Toc476241574 \h </w:instrText>
      </w:r>
      <w:r>
        <w:rPr>
          <w:noProof/>
        </w:rPr>
      </w:r>
      <w:r>
        <w:rPr>
          <w:noProof/>
        </w:rPr>
        <w:fldChar w:fldCharType="separate"/>
      </w:r>
      <w:r>
        <w:rPr>
          <w:noProof/>
        </w:rPr>
        <w:t>72</w:t>
      </w:r>
      <w:r>
        <w:rPr>
          <w:noProof/>
        </w:rPr>
        <w:fldChar w:fldCharType="end"/>
      </w:r>
    </w:p>
    <w:p w14:paraId="2F5B4404" w14:textId="5C3FC324"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4.1.2</w:t>
      </w:r>
      <w:r>
        <w:rPr>
          <w:rFonts w:asciiTheme="minorHAnsi" w:eastAsiaTheme="minorEastAsia" w:hAnsiTheme="minorHAnsi" w:cstheme="minorBidi"/>
          <w:noProof/>
          <w:sz w:val="22"/>
          <w:szCs w:val="22"/>
          <w:lang w:val="en-IE" w:eastAsia="en-IE"/>
        </w:rPr>
        <w:tab/>
      </w:r>
      <w:r>
        <w:rPr>
          <w:noProof/>
        </w:rPr>
        <w:t xml:space="preserve"> Background</w:t>
      </w:r>
      <w:r>
        <w:rPr>
          <w:noProof/>
        </w:rPr>
        <w:tab/>
      </w:r>
      <w:r>
        <w:rPr>
          <w:noProof/>
        </w:rPr>
        <w:fldChar w:fldCharType="begin"/>
      </w:r>
      <w:r>
        <w:rPr>
          <w:noProof/>
        </w:rPr>
        <w:instrText xml:space="preserve"> PAGEREF _Toc476241575 \h </w:instrText>
      </w:r>
      <w:r>
        <w:rPr>
          <w:noProof/>
        </w:rPr>
      </w:r>
      <w:r>
        <w:rPr>
          <w:noProof/>
        </w:rPr>
        <w:fldChar w:fldCharType="separate"/>
      </w:r>
      <w:r>
        <w:rPr>
          <w:noProof/>
        </w:rPr>
        <w:t>74</w:t>
      </w:r>
      <w:r>
        <w:rPr>
          <w:noProof/>
        </w:rPr>
        <w:fldChar w:fldCharType="end"/>
      </w:r>
    </w:p>
    <w:p w14:paraId="5B4D28CA" w14:textId="27810236"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4.1.3</w:t>
      </w:r>
      <w:r>
        <w:rPr>
          <w:rFonts w:asciiTheme="minorHAnsi" w:eastAsiaTheme="minorEastAsia" w:hAnsiTheme="minorHAnsi" w:cstheme="minorBidi"/>
          <w:noProof/>
          <w:sz w:val="22"/>
          <w:szCs w:val="22"/>
          <w:lang w:val="en-IE" w:eastAsia="en-IE"/>
        </w:rPr>
        <w:tab/>
      </w:r>
      <w:r>
        <w:rPr>
          <w:noProof/>
        </w:rPr>
        <w:t xml:space="preserve"> NICE’s role</w:t>
      </w:r>
      <w:r>
        <w:rPr>
          <w:noProof/>
        </w:rPr>
        <w:tab/>
      </w:r>
      <w:r>
        <w:rPr>
          <w:noProof/>
        </w:rPr>
        <w:fldChar w:fldCharType="begin"/>
      </w:r>
      <w:r>
        <w:rPr>
          <w:noProof/>
        </w:rPr>
        <w:instrText xml:space="preserve"> PAGEREF _Toc476241576 \h </w:instrText>
      </w:r>
      <w:r>
        <w:rPr>
          <w:noProof/>
        </w:rPr>
      </w:r>
      <w:r>
        <w:rPr>
          <w:noProof/>
        </w:rPr>
        <w:fldChar w:fldCharType="separate"/>
      </w:r>
      <w:r>
        <w:rPr>
          <w:noProof/>
        </w:rPr>
        <w:t>76</w:t>
      </w:r>
      <w:r>
        <w:rPr>
          <w:noProof/>
        </w:rPr>
        <w:fldChar w:fldCharType="end"/>
      </w:r>
    </w:p>
    <w:p w14:paraId="3A22B755" w14:textId="4DB4BFA4"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lastRenderedPageBreak/>
        <w:t>4.2</w:t>
      </w:r>
      <w:r>
        <w:rPr>
          <w:rFonts w:asciiTheme="minorHAnsi" w:eastAsiaTheme="minorEastAsia" w:hAnsiTheme="minorHAnsi" w:cstheme="minorBidi"/>
          <w:b w:val="0"/>
          <w:noProof/>
          <w:sz w:val="22"/>
          <w:szCs w:val="22"/>
          <w:lang w:val="en-IE" w:eastAsia="en-IE"/>
        </w:rPr>
        <w:tab/>
      </w:r>
      <w:r>
        <w:rPr>
          <w:noProof/>
        </w:rPr>
        <w:t xml:space="preserve"> Overview of current decision-making process in the CPH</w:t>
      </w:r>
      <w:r>
        <w:rPr>
          <w:noProof/>
        </w:rPr>
        <w:tab/>
      </w:r>
      <w:r>
        <w:rPr>
          <w:noProof/>
        </w:rPr>
        <w:fldChar w:fldCharType="begin"/>
      </w:r>
      <w:r>
        <w:rPr>
          <w:noProof/>
        </w:rPr>
        <w:instrText xml:space="preserve"> PAGEREF _Toc476241577 \h </w:instrText>
      </w:r>
      <w:r>
        <w:rPr>
          <w:noProof/>
        </w:rPr>
      </w:r>
      <w:r>
        <w:rPr>
          <w:noProof/>
        </w:rPr>
        <w:fldChar w:fldCharType="separate"/>
      </w:r>
      <w:r>
        <w:rPr>
          <w:noProof/>
        </w:rPr>
        <w:t>78</w:t>
      </w:r>
      <w:r>
        <w:rPr>
          <w:noProof/>
        </w:rPr>
        <w:fldChar w:fldCharType="end"/>
      </w:r>
    </w:p>
    <w:p w14:paraId="60E00B92" w14:textId="7CE152BE"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4.2.1</w:t>
      </w:r>
      <w:r>
        <w:rPr>
          <w:rFonts w:asciiTheme="minorHAnsi" w:eastAsiaTheme="minorEastAsia" w:hAnsiTheme="minorHAnsi" w:cstheme="minorBidi"/>
          <w:noProof/>
          <w:sz w:val="22"/>
          <w:szCs w:val="22"/>
          <w:lang w:val="en-IE" w:eastAsia="en-IE"/>
        </w:rPr>
        <w:tab/>
      </w:r>
      <w:r>
        <w:rPr>
          <w:noProof/>
        </w:rPr>
        <w:t xml:space="preserve"> Stakeholders and decision-makers</w:t>
      </w:r>
      <w:r>
        <w:rPr>
          <w:noProof/>
        </w:rPr>
        <w:tab/>
      </w:r>
      <w:r>
        <w:rPr>
          <w:noProof/>
        </w:rPr>
        <w:fldChar w:fldCharType="begin"/>
      </w:r>
      <w:r>
        <w:rPr>
          <w:noProof/>
        </w:rPr>
        <w:instrText xml:space="preserve"> PAGEREF _Toc476241578 \h </w:instrText>
      </w:r>
      <w:r>
        <w:rPr>
          <w:noProof/>
        </w:rPr>
      </w:r>
      <w:r>
        <w:rPr>
          <w:noProof/>
        </w:rPr>
        <w:fldChar w:fldCharType="separate"/>
      </w:r>
      <w:r>
        <w:rPr>
          <w:noProof/>
        </w:rPr>
        <w:t>78</w:t>
      </w:r>
      <w:r>
        <w:rPr>
          <w:noProof/>
        </w:rPr>
        <w:fldChar w:fldCharType="end"/>
      </w:r>
    </w:p>
    <w:p w14:paraId="0E28DC20" w14:textId="36D78B13"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4.2.2</w:t>
      </w:r>
      <w:r>
        <w:rPr>
          <w:rFonts w:asciiTheme="minorHAnsi" w:eastAsiaTheme="minorEastAsia" w:hAnsiTheme="minorHAnsi" w:cstheme="minorBidi"/>
          <w:noProof/>
          <w:sz w:val="22"/>
          <w:szCs w:val="22"/>
          <w:lang w:val="en-IE" w:eastAsia="en-IE"/>
        </w:rPr>
        <w:tab/>
      </w:r>
      <w:r>
        <w:rPr>
          <w:noProof/>
        </w:rPr>
        <w:t xml:space="preserve"> Stages in the public health guidance development process</w:t>
      </w:r>
      <w:r>
        <w:rPr>
          <w:noProof/>
        </w:rPr>
        <w:tab/>
      </w:r>
      <w:r>
        <w:rPr>
          <w:noProof/>
        </w:rPr>
        <w:fldChar w:fldCharType="begin"/>
      </w:r>
      <w:r>
        <w:rPr>
          <w:noProof/>
        </w:rPr>
        <w:instrText xml:space="preserve"> PAGEREF _Toc476241579 \h </w:instrText>
      </w:r>
      <w:r>
        <w:rPr>
          <w:noProof/>
        </w:rPr>
      </w:r>
      <w:r>
        <w:rPr>
          <w:noProof/>
        </w:rPr>
        <w:fldChar w:fldCharType="separate"/>
      </w:r>
      <w:r>
        <w:rPr>
          <w:noProof/>
        </w:rPr>
        <w:t>79</w:t>
      </w:r>
      <w:r>
        <w:rPr>
          <w:noProof/>
        </w:rPr>
        <w:fldChar w:fldCharType="end"/>
      </w:r>
    </w:p>
    <w:p w14:paraId="5091634F" w14:textId="29B6DC9D"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4.2.3</w:t>
      </w:r>
      <w:r>
        <w:rPr>
          <w:rFonts w:asciiTheme="minorHAnsi" w:eastAsiaTheme="minorEastAsia" w:hAnsiTheme="minorHAnsi" w:cstheme="minorBidi"/>
          <w:noProof/>
          <w:sz w:val="22"/>
          <w:szCs w:val="22"/>
          <w:lang w:val="en-IE" w:eastAsia="en-IE"/>
        </w:rPr>
        <w:tab/>
      </w:r>
      <w:r>
        <w:rPr>
          <w:noProof/>
        </w:rPr>
        <w:t xml:space="preserve"> Decision frameworks used in the public health guidance development process</w:t>
      </w:r>
      <w:r>
        <w:rPr>
          <w:noProof/>
        </w:rPr>
        <w:tab/>
      </w:r>
      <w:r>
        <w:rPr>
          <w:noProof/>
        </w:rPr>
        <w:fldChar w:fldCharType="begin"/>
      </w:r>
      <w:r>
        <w:rPr>
          <w:noProof/>
        </w:rPr>
        <w:instrText xml:space="preserve"> PAGEREF _Toc476241580 \h </w:instrText>
      </w:r>
      <w:r>
        <w:rPr>
          <w:noProof/>
        </w:rPr>
      </w:r>
      <w:r>
        <w:rPr>
          <w:noProof/>
        </w:rPr>
        <w:fldChar w:fldCharType="separate"/>
      </w:r>
      <w:r>
        <w:rPr>
          <w:noProof/>
        </w:rPr>
        <w:t>82</w:t>
      </w:r>
      <w:r>
        <w:rPr>
          <w:noProof/>
        </w:rPr>
        <w:fldChar w:fldCharType="end"/>
      </w:r>
    </w:p>
    <w:p w14:paraId="749BA390" w14:textId="3D4BBC9B"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4.2.4</w:t>
      </w:r>
      <w:r>
        <w:rPr>
          <w:rFonts w:asciiTheme="minorHAnsi" w:eastAsiaTheme="minorEastAsia" w:hAnsiTheme="minorHAnsi" w:cstheme="minorBidi"/>
          <w:noProof/>
          <w:sz w:val="22"/>
          <w:szCs w:val="22"/>
          <w:lang w:val="en-IE" w:eastAsia="en-IE"/>
        </w:rPr>
        <w:tab/>
      </w:r>
      <w:r>
        <w:rPr>
          <w:noProof/>
        </w:rPr>
        <w:t xml:space="preserve"> NICE as a national healthcare resource manager</w:t>
      </w:r>
      <w:r>
        <w:rPr>
          <w:noProof/>
        </w:rPr>
        <w:tab/>
      </w:r>
      <w:r>
        <w:rPr>
          <w:noProof/>
        </w:rPr>
        <w:fldChar w:fldCharType="begin"/>
      </w:r>
      <w:r>
        <w:rPr>
          <w:noProof/>
        </w:rPr>
        <w:instrText xml:space="preserve"> PAGEREF _Toc476241581 \h </w:instrText>
      </w:r>
      <w:r>
        <w:rPr>
          <w:noProof/>
        </w:rPr>
      </w:r>
      <w:r>
        <w:rPr>
          <w:noProof/>
        </w:rPr>
        <w:fldChar w:fldCharType="separate"/>
      </w:r>
      <w:r>
        <w:rPr>
          <w:noProof/>
        </w:rPr>
        <w:t>88</w:t>
      </w:r>
      <w:r>
        <w:rPr>
          <w:noProof/>
        </w:rPr>
        <w:fldChar w:fldCharType="end"/>
      </w:r>
    </w:p>
    <w:p w14:paraId="11DED1A9" w14:textId="211A9B76"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4.3</w:t>
      </w:r>
      <w:r>
        <w:rPr>
          <w:rFonts w:asciiTheme="minorHAnsi" w:eastAsiaTheme="minorEastAsia" w:hAnsiTheme="minorHAnsi" w:cstheme="minorBidi"/>
          <w:b w:val="0"/>
          <w:noProof/>
          <w:sz w:val="22"/>
          <w:szCs w:val="22"/>
          <w:lang w:val="en-IE" w:eastAsia="en-IE"/>
        </w:rPr>
        <w:tab/>
      </w:r>
      <w:r>
        <w:rPr>
          <w:noProof/>
        </w:rPr>
        <w:t xml:space="preserve"> Practical issues with current NICE approaches</w:t>
      </w:r>
      <w:r>
        <w:rPr>
          <w:noProof/>
        </w:rPr>
        <w:tab/>
      </w:r>
      <w:r>
        <w:rPr>
          <w:noProof/>
        </w:rPr>
        <w:fldChar w:fldCharType="begin"/>
      </w:r>
      <w:r>
        <w:rPr>
          <w:noProof/>
        </w:rPr>
        <w:instrText xml:space="preserve"> PAGEREF _Toc476241582 \h </w:instrText>
      </w:r>
      <w:r>
        <w:rPr>
          <w:noProof/>
        </w:rPr>
      </w:r>
      <w:r>
        <w:rPr>
          <w:noProof/>
        </w:rPr>
        <w:fldChar w:fldCharType="separate"/>
      </w:r>
      <w:r>
        <w:rPr>
          <w:noProof/>
        </w:rPr>
        <w:t>88</w:t>
      </w:r>
      <w:r>
        <w:rPr>
          <w:noProof/>
        </w:rPr>
        <w:fldChar w:fldCharType="end"/>
      </w:r>
    </w:p>
    <w:p w14:paraId="2C1E0E19" w14:textId="40E538EA"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4.3.1</w:t>
      </w:r>
      <w:r>
        <w:rPr>
          <w:rFonts w:asciiTheme="minorHAnsi" w:eastAsiaTheme="minorEastAsia" w:hAnsiTheme="minorHAnsi" w:cstheme="minorBidi"/>
          <w:noProof/>
          <w:sz w:val="22"/>
          <w:szCs w:val="22"/>
          <w:lang w:val="en-IE" w:eastAsia="en-IE"/>
        </w:rPr>
        <w:tab/>
      </w:r>
      <w:r>
        <w:rPr>
          <w:noProof/>
        </w:rPr>
        <w:t xml:space="preserve"> The use of multiple criteria</w:t>
      </w:r>
      <w:r>
        <w:rPr>
          <w:noProof/>
        </w:rPr>
        <w:tab/>
      </w:r>
      <w:r>
        <w:rPr>
          <w:noProof/>
        </w:rPr>
        <w:fldChar w:fldCharType="begin"/>
      </w:r>
      <w:r>
        <w:rPr>
          <w:noProof/>
        </w:rPr>
        <w:instrText xml:space="preserve"> PAGEREF _Toc476241583 \h </w:instrText>
      </w:r>
      <w:r>
        <w:rPr>
          <w:noProof/>
        </w:rPr>
      </w:r>
      <w:r>
        <w:rPr>
          <w:noProof/>
        </w:rPr>
        <w:fldChar w:fldCharType="separate"/>
      </w:r>
      <w:r>
        <w:rPr>
          <w:noProof/>
        </w:rPr>
        <w:t>89</w:t>
      </w:r>
      <w:r>
        <w:rPr>
          <w:noProof/>
        </w:rPr>
        <w:fldChar w:fldCharType="end"/>
      </w:r>
    </w:p>
    <w:p w14:paraId="180F966C" w14:textId="0E4C1463"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4.3.2</w:t>
      </w:r>
      <w:r>
        <w:rPr>
          <w:rFonts w:asciiTheme="minorHAnsi" w:eastAsiaTheme="minorEastAsia" w:hAnsiTheme="minorHAnsi" w:cstheme="minorBidi"/>
          <w:noProof/>
          <w:sz w:val="22"/>
          <w:szCs w:val="22"/>
          <w:lang w:val="en-IE" w:eastAsia="en-IE"/>
        </w:rPr>
        <w:tab/>
      </w:r>
      <w:r>
        <w:rPr>
          <w:noProof/>
        </w:rPr>
        <w:t xml:space="preserve"> Defining health and use of evidence based medicine approaches in public health</w:t>
      </w:r>
      <w:r>
        <w:rPr>
          <w:noProof/>
        </w:rPr>
        <w:tab/>
      </w:r>
      <w:r>
        <w:rPr>
          <w:noProof/>
        </w:rPr>
        <w:fldChar w:fldCharType="begin"/>
      </w:r>
      <w:r>
        <w:rPr>
          <w:noProof/>
        </w:rPr>
        <w:instrText xml:space="preserve"> PAGEREF _Toc476241584 \h </w:instrText>
      </w:r>
      <w:r>
        <w:rPr>
          <w:noProof/>
        </w:rPr>
      </w:r>
      <w:r>
        <w:rPr>
          <w:noProof/>
        </w:rPr>
        <w:fldChar w:fldCharType="separate"/>
      </w:r>
      <w:r>
        <w:rPr>
          <w:noProof/>
        </w:rPr>
        <w:t>93</w:t>
      </w:r>
      <w:r>
        <w:rPr>
          <w:noProof/>
        </w:rPr>
        <w:fldChar w:fldCharType="end"/>
      </w:r>
    </w:p>
    <w:p w14:paraId="290A6FB3" w14:textId="5C2AABC1"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4.3.3</w:t>
      </w:r>
      <w:r>
        <w:rPr>
          <w:rFonts w:asciiTheme="minorHAnsi" w:eastAsiaTheme="minorEastAsia" w:hAnsiTheme="minorHAnsi" w:cstheme="minorBidi"/>
          <w:noProof/>
          <w:sz w:val="22"/>
          <w:szCs w:val="22"/>
          <w:lang w:val="en-IE" w:eastAsia="en-IE"/>
        </w:rPr>
        <w:tab/>
      </w:r>
      <w:r>
        <w:rPr>
          <w:noProof/>
        </w:rPr>
        <w:t xml:space="preserve"> Balancing differing levels of democratic decision-making and combining with science</w:t>
      </w:r>
      <w:r>
        <w:rPr>
          <w:noProof/>
        </w:rPr>
        <w:tab/>
      </w:r>
      <w:r>
        <w:rPr>
          <w:noProof/>
        </w:rPr>
        <w:fldChar w:fldCharType="begin"/>
      </w:r>
      <w:r>
        <w:rPr>
          <w:noProof/>
        </w:rPr>
        <w:instrText xml:space="preserve"> PAGEREF _Toc476241585 \h </w:instrText>
      </w:r>
      <w:r>
        <w:rPr>
          <w:noProof/>
        </w:rPr>
      </w:r>
      <w:r>
        <w:rPr>
          <w:noProof/>
        </w:rPr>
        <w:fldChar w:fldCharType="separate"/>
      </w:r>
      <w:r>
        <w:rPr>
          <w:noProof/>
        </w:rPr>
        <w:t>94</w:t>
      </w:r>
      <w:r>
        <w:rPr>
          <w:noProof/>
        </w:rPr>
        <w:fldChar w:fldCharType="end"/>
      </w:r>
    </w:p>
    <w:p w14:paraId="106BDDED" w14:textId="21945CB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4.3.4</w:t>
      </w:r>
      <w:r>
        <w:rPr>
          <w:rFonts w:asciiTheme="minorHAnsi" w:eastAsiaTheme="minorEastAsia" w:hAnsiTheme="minorHAnsi" w:cstheme="minorBidi"/>
          <w:noProof/>
          <w:sz w:val="22"/>
          <w:szCs w:val="22"/>
          <w:lang w:val="en-IE" w:eastAsia="en-IE"/>
        </w:rPr>
        <w:tab/>
      </w:r>
      <w:r>
        <w:rPr>
          <w:noProof/>
        </w:rPr>
        <w:t xml:space="preserve"> Inconclusive evidence and value judgments</w:t>
      </w:r>
      <w:r>
        <w:rPr>
          <w:noProof/>
        </w:rPr>
        <w:tab/>
      </w:r>
      <w:r>
        <w:rPr>
          <w:noProof/>
        </w:rPr>
        <w:fldChar w:fldCharType="begin"/>
      </w:r>
      <w:r>
        <w:rPr>
          <w:noProof/>
        </w:rPr>
        <w:instrText xml:space="preserve"> PAGEREF _Toc476241586 \h </w:instrText>
      </w:r>
      <w:r>
        <w:rPr>
          <w:noProof/>
        </w:rPr>
      </w:r>
      <w:r>
        <w:rPr>
          <w:noProof/>
        </w:rPr>
        <w:fldChar w:fldCharType="separate"/>
      </w:r>
      <w:r>
        <w:rPr>
          <w:noProof/>
        </w:rPr>
        <w:t>94</w:t>
      </w:r>
      <w:r>
        <w:rPr>
          <w:noProof/>
        </w:rPr>
        <w:fldChar w:fldCharType="end"/>
      </w:r>
    </w:p>
    <w:p w14:paraId="152D93E8" w14:textId="6F695C83"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4.3.5</w:t>
      </w:r>
      <w:r>
        <w:rPr>
          <w:rFonts w:asciiTheme="minorHAnsi" w:eastAsiaTheme="minorEastAsia" w:hAnsiTheme="minorHAnsi" w:cstheme="minorBidi"/>
          <w:noProof/>
          <w:sz w:val="22"/>
          <w:szCs w:val="22"/>
          <w:lang w:val="en-IE" w:eastAsia="en-IE"/>
        </w:rPr>
        <w:tab/>
      </w:r>
      <w:r>
        <w:rPr>
          <w:noProof/>
        </w:rPr>
        <w:t xml:space="preserve"> The cost-effectiveness threshold</w:t>
      </w:r>
      <w:r>
        <w:rPr>
          <w:noProof/>
        </w:rPr>
        <w:tab/>
      </w:r>
      <w:r>
        <w:rPr>
          <w:noProof/>
        </w:rPr>
        <w:fldChar w:fldCharType="begin"/>
      </w:r>
      <w:r>
        <w:rPr>
          <w:noProof/>
        </w:rPr>
        <w:instrText xml:space="preserve"> PAGEREF _Toc476241587 \h </w:instrText>
      </w:r>
      <w:r>
        <w:rPr>
          <w:noProof/>
        </w:rPr>
      </w:r>
      <w:r>
        <w:rPr>
          <w:noProof/>
        </w:rPr>
        <w:fldChar w:fldCharType="separate"/>
      </w:r>
      <w:r>
        <w:rPr>
          <w:noProof/>
        </w:rPr>
        <w:t>96</w:t>
      </w:r>
      <w:r>
        <w:rPr>
          <w:noProof/>
        </w:rPr>
        <w:fldChar w:fldCharType="end"/>
      </w:r>
    </w:p>
    <w:p w14:paraId="108FF7B6" w14:textId="3171DA72"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4.4</w:t>
      </w:r>
      <w:r>
        <w:rPr>
          <w:rFonts w:asciiTheme="minorHAnsi" w:eastAsiaTheme="minorEastAsia" w:hAnsiTheme="minorHAnsi" w:cstheme="minorBidi"/>
          <w:b w:val="0"/>
          <w:noProof/>
          <w:sz w:val="22"/>
          <w:szCs w:val="22"/>
          <w:lang w:val="en-IE" w:eastAsia="en-IE"/>
        </w:rPr>
        <w:tab/>
      </w:r>
      <w:r>
        <w:rPr>
          <w:noProof/>
        </w:rPr>
        <w:t xml:space="preserve"> Conclusions</w:t>
      </w:r>
      <w:r>
        <w:rPr>
          <w:noProof/>
        </w:rPr>
        <w:tab/>
      </w:r>
      <w:r>
        <w:rPr>
          <w:noProof/>
        </w:rPr>
        <w:fldChar w:fldCharType="begin"/>
      </w:r>
      <w:r>
        <w:rPr>
          <w:noProof/>
        </w:rPr>
        <w:instrText xml:space="preserve"> PAGEREF _Toc476241588 \h </w:instrText>
      </w:r>
      <w:r>
        <w:rPr>
          <w:noProof/>
        </w:rPr>
      </w:r>
      <w:r>
        <w:rPr>
          <w:noProof/>
        </w:rPr>
        <w:fldChar w:fldCharType="separate"/>
      </w:r>
      <w:r>
        <w:rPr>
          <w:noProof/>
        </w:rPr>
        <w:t>101</w:t>
      </w:r>
      <w:r>
        <w:rPr>
          <w:noProof/>
        </w:rPr>
        <w:fldChar w:fldCharType="end"/>
      </w:r>
    </w:p>
    <w:p w14:paraId="7E1EBF14" w14:textId="6CF76A16"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lang w:eastAsia="en-IE"/>
        </w:rPr>
        <w:t>Chapter 5</w:t>
      </w:r>
      <w:r>
        <w:rPr>
          <w:noProof/>
        </w:rPr>
        <w:t xml:space="preserve"> : </w:t>
      </w:r>
      <w:r>
        <w:rPr>
          <w:rFonts w:asciiTheme="minorHAnsi" w:eastAsiaTheme="minorEastAsia" w:hAnsiTheme="minorHAnsi" w:cstheme="minorBidi"/>
          <w:b w:val="0"/>
          <w:caps w:val="0"/>
          <w:noProof/>
          <w:sz w:val="22"/>
          <w:szCs w:val="22"/>
          <w:lang w:val="en-IE" w:eastAsia="en-IE"/>
        </w:rPr>
        <w:tab/>
      </w:r>
      <w:r>
        <w:rPr>
          <w:noProof/>
        </w:rPr>
        <w:t>A review of public health economic modelling in NICE</w:t>
      </w:r>
      <w:r>
        <w:rPr>
          <w:noProof/>
        </w:rPr>
        <w:tab/>
      </w:r>
      <w:r>
        <w:rPr>
          <w:noProof/>
        </w:rPr>
        <w:fldChar w:fldCharType="begin"/>
      </w:r>
      <w:r>
        <w:rPr>
          <w:noProof/>
        </w:rPr>
        <w:instrText xml:space="preserve"> PAGEREF _Toc476241589 \h </w:instrText>
      </w:r>
      <w:r>
        <w:rPr>
          <w:noProof/>
        </w:rPr>
      </w:r>
      <w:r>
        <w:rPr>
          <w:noProof/>
        </w:rPr>
        <w:fldChar w:fldCharType="separate"/>
      </w:r>
      <w:r>
        <w:rPr>
          <w:noProof/>
        </w:rPr>
        <w:t>103</w:t>
      </w:r>
      <w:r>
        <w:rPr>
          <w:noProof/>
        </w:rPr>
        <w:fldChar w:fldCharType="end"/>
      </w:r>
    </w:p>
    <w:p w14:paraId="7C956AC8" w14:textId="23FDDD44"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 xml:space="preserve">5.1 </w:t>
      </w:r>
      <w:r>
        <w:rPr>
          <w:rFonts w:asciiTheme="minorHAnsi" w:eastAsiaTheme="minorEastAsia" w:hAnsiTheme="minorHAnsi" w:cstheme="minorBidi"/>
          <w:b w:val="0"/>
          <w:noProof/>
          <w:sz w:val="22"/>
          <w:szCs w:val="22"/>
          <w:lang w:val="en-IE" w:eastAsia="en-IE"/>
        </w:rPr>
        <w:tab/>
      </w:r>
      <w:r>
        <w:rPr>
          <w:noProof/>
        </w:rPr>
        <w:t xml:space="preserve"> Background</w:t>
      </w:r>
      <w:r>
        <w:rPr>
          <w:noProof/>
        </w:rPr>
        <w:tab/>
      </w:r>
      <w:r>
        <w:rPr>
          <w:noProof/>
        </w:rPr>
        <w:fldChar w:fldCharType="begin"/>
      </w:r>
      <w:r>
        <w:rPr>
          <w:noProof/>
        </w:rPr>
        <w:instrText xml:space="preserve"> PAGEREF _Toc476241590 \h </w:instrText>
      </w:r>
      <w:r>
        <w:rPr>
          <w:noProof/>
        </w:rPr>
      </w:r>
      <w:r>
        <w:rPr>
          <w:noProof/>
        </w:rPr>
        <w:fldChar w:fldCharType="separate"/>
      </w:r>
      <w:r>
        <w:rPr>
          <w:noProof/>
        </w:rPr>
        <w:t>103</w:t>
      </w:r>
      <w:r>
        <w:rPr>
          <w:noProof/>
        </w:rPr>
        <w:fldChar w:fldCharType="end"/>
      </w:r>
    </w:p>
    <w:p w14:paraId="0B2E7910" w14:textId="6A8FA5AE"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5.1.1</w:t>
      </w:r>
      <w:r>
        <w:rPr>
          <w:rFonts w:asciiTheme="minorHAnsi" w:eastAsiaTheme="minorEastAsia" w:hAnsiTheme="minorHAnsi" w:cstheme="minorBidi"/>
          <w:noProof/>
          <w:sz w:val="22"/>
          <w:szCs w:val="22"/>
          <w:lang w:val="en-IE" w:eastAsia="en-IE"/>
        </w:rPr>
        <w:tab/>
      </w:r>
      <w:r>
        <w:rPr>
          <w:noProof/>
        </w:rPr>
        <w:t xml:space="preserve"> When is modelling required?</w:t>
      </w:r>
      <w:r>
        <w:rPr>
          <w:noProof/>
        </w:rPr>
        <w:tab/>
      </w:r>
      <w:r>
        <w:rPr>
          <w:noProof/>
        </w:rPr>
        <w:fldChar w:fldCharType="begin"/>
      </w:r>
      <w:r>
        <w:rPr>
          <w:noProof/>
        </w:rPr>
        <w:instrText xml:space="preserve"> PAGEREF _Toc476241591 \h </w:instrText>
      </w:r>
      <w:r>
        <w:rPr>
          <w:noProof/>
        </w:rPr>
      </w:r>
      <w:r>
        <w:rPr>
          <w:noProof/>
        </w:rPr>
        <w:fldChar w:fldCharType="separate"/>
      </w:r>
      <w:r>
        <w:rPr>
          <w:noProof/>
        </w:rPr>
        <w:t>103</w:t>
      </w:r>
      <w:r>
        <w:rPr>
          <w:noProof/>
        </w:rPr>
        <w:fldChar w:fldCharType="end"/>
      </w:r>
    </w:p>
    <w:p w14:paraId="10E71EC7" w14:textId="17558CB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5.1.2</w:t>
      </w:r>
      <w:r>
        <w:rPr>
          <w:rFonts w:asciiTheme="minorHAnsi" w:eastAsiaTheme="minorEastAsia" w:hAnsiTheme="minorHAnsi" w:cstheme="minorBidi"/>
          <w:noProof/>
          <w:sz w:val="22"/>
          <w:szCs w:val="22"/>
          <w:lang w:val="en-IE" w:eastAsia="en-IE"/>
        </w:rPr>
        <w:tab/>
      </w:r>
      <w:r>
        <w:rPr>
          <w:noProof/>
        </w:rPr>
        <w:t xml:space="preserve"> How is modelling used?</w:t>
      </w:r>
      <w:r>
        <w:rPr>
          <w:noProof/>
        </w:rPr>
        <w:tab/>
      </w:r>
      <w:r>
        <w:rPr>
          <w:noProof/>
        </w:rPr>
        <w:fldChar w:fldCharType="begin"/>
      </w:r>
      <w:r>
        <w:rPr>
          <w:noProof/>
        </w:rPr>
        <w:instrText xml:space="preserve"> PAGEREF _Toc476241592 \h </w:instrText>
      </w:r>
      <w:r>
        <w:rPr>
          <w:noProof/>
        </w:rPr>
      </w:r>
      <w:r>
        <w:rPr>
          <w:noProof/>
        </w:rPr>
        <w:fldChar w:fldCharType="separate"/>
      </w:r>
      <w:r>
        <w:rPr>
          <w:noProof/>
        </w:rPr>
        <w:t>104</w:t>
      </w:r>
      <w:r>
        <w:rPr>
          <w:noProof/>
        </w:rPr>
        <w:fldChar w:fldCharType="end"/>
      </w:r>
    </w:p>
    <w:p w14:paraId="0D94621B" w14:textId="54B32A93"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5.1.3</w:t>
      </w:r>
      <w:r>
        <w:rPr>
          <w:rFonts w:asciiTheme="minorHAnsi" w:eastAsiaTheme="minorEastAsia" w:hAnsiTheme="minorHAnsi" w:cstheme="minorBidi"/>
          <w:noProof/>
          <w:sz w:val="22"/>
          <w:szCs w:val="22"/>
          <w:lang w:val="en-IE" w:eastAsia="en-IE"/>
        </w:rPr>
        <w:tab/>
      </w:r>
      <w:r>
        <w:rPr>
          <w:noProof/>
        </w:rPr>
        <w:t xml:space="preserve"> Model perspectives and economic evaluation techniques</w:t>
      </w:r>
      <w:r>
        <w:rPr>
          <w:noProof/>
        </w:rPr>
        <w:tab/>
      </w:r>
      <w:r>
        <w:rPr>
          <w:noProof/>
        </w:rPr>
        <w:fldChar w:fldCharType="begin"/>
      </w:r>
      <w:r>
        <w:rPr>
          <w:noProof/>
        </w:rPr>
        <w:instrText xml:space="preserve"> PAGEREF _Toc476241593 \h </w:instrText>
      </w:r>
      <w:r>
        <w:rPr>
          <w:noProof/>
        </w:rPr>
      </w:r>
      <w:r>
        <w:rPr>
          <w:noProof/>
        </w:rPr>
        <w:fldChar w:fldCharType="separate"/>
      </w:r>
      <w:r>
        <w:rPr>
          <w:noProof/>
        </w:rPr>
        <w:t>105</w:t>
      </w:r>
      <w:r>
        <w:rPr>
          <w:noProof/>
        </w:rPr>
        <w:fldChar w:fldCharType="end"/>
      </w:r>
    </w:p>
    <w:p w14:paraId="108466ED" w14:textId="3FF2BD6A"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5.1.4</w:t>
      </w:r>
      <w:r>
        <w:rPr>
          <w:rFonts w:asciiTheme="minorHAnsi" w:eastAsiaTheme="minorEastAsia" w:hAnsiTheme="minorHAnsi" w:cstheme="minorBidi"/>
          <w:noProof/>
          <w:sz w:val="22"/>
          <w:szCs w:val="22"/>
          <w:lang w:val="en-IE" w:eastAsia="en-IE"/>
        </w:rPr>
        <w:tab/>
      </w:r>
      <w:r>
        <w:rPr>
          <w:noProof/>
        </w:rPr>
        <w:t xml:space="preserve"> Equity in economic modelling</w:t>
      </w:r>
      <w:r>
        <w:rPr>
          <w:noProof/>
        </w:rPr>
        <w:tab/>
      </w:r>
      <w:r>
        <w:rPr>
          <w:noProof/>
        </w:rPr>
        <w:fldChar w:fldCharType="begin"/>
      </w:r>
      <w:r>
        <w:rPr>
          <w:noProof/>
        </w:rPr>
        <w:instrText xml:space="preserve"> PAGEREF _Toc476241594 \h </w:instrText>
      </w:r>
      <w:r>
        <w:rPr>
          <w:noProof/>
        </w:rPr>
      </w:r>
      <w:r>
        <w:rPr>
          <w:noProof/>
        </w:rPr>
        <w:fldChar w:fldCharType="separate"/>
      </w:r>
      <w:r>
        <w:rPr>
          <w:noProof/>
        </w:rPr>
        <w:t>106</w:t>
      </w:r>
      <w:r>
        <w:rPr>
          <w:noProof/>
        </w:rPr>
        <w:fldChar w:fldCharType="end"/>
      </w:r>
    </w:p>
    <w:p w14:paraId="426D3FA7" w14:textId="238F7BAA"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5.2</w:t>
      </w:r>
      <w:r>
        <w:rPr>
          <w:rFonts w:asciiTheme="minorHAnsi" w:eastAsiaTheme="minorEastAsia" w:hAnsiTheme="minorHAnsi" w:cstheme="minorBidi"/>
          <w:b w:val="0"/>
          <w:noProof/>
          <w:sz w:val="22"/>
          <w:szCs w:val="22"/>
          <w:lang w:val="en-IE" w:eastAsia="en-IE"/>
        </w:rPr>
        <w:tab/>
      </w:r>
      <w:r>
        <w:rPr>
          <w:noProof/>
        </w:rPr>
        <w:t xml:space="preserve"> Review of previous CPH economic modelling</w:t>
      </w:r>
      <w:r>
        <w:rPr>
          <w:noProof/>
        </w:rPr>
        <w:tab/>
      </w:r>
      <w:r>
        <w:rPr>
          <w:noProof/>
        </w:rPr>
        <w:fldChar w:fldCharType="begin"/>
      </w:r>
      <w:r>
        <w:rPr>
          <w:noProof/>
        </w:rPr>
        <w:instrText xml:space="preserve"> PAGEREF _Toc476241595 \h </w:instrText>
      </w:r>
      <w:r>
        <w:rPr>
          <w:noProof/>
        </w:rPr>
      </w:r>
      <w:r>
        <w:rPr>
          <w:noProof/>
        </w:rPr>
        <w:fldChar w:fldCharType="separate"/>
      </w:r>
      <w:r>
        <w:rPr>
          <w:noProof/>
        </w:rPr>
        <w:t>109</w:t>
      </w:r>
      <w:r>
        <w:rPr>
          <w:noProof/>
        </w:rPr>
        <w:fldChar w:fldCharType="end"/>
      </w:r>
    </w:p>
    <w:p w14:paraId="742FD44A" w14:textId="4590C7FF"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5.2.1</w:t>
      </w:r>
      <w:r>
        <w:rPr>
          <w:rFonts w:asciiTheme="minorHAnsi" w:eastAsiaTheme="minorEastAsia" w:hAnsiTheme="minorHAnsi" w:cstheme="minorBidi"/>
          <w:noProof/>
          <w:sz w:val="22"/>
          <w:szCs w:val="22"/>
          <w:lang w:val="en-IE" w:eastAsia="en-IE"/>
        </w:rPr>
        <w:tab/>
      </w:r>
      <w:r>
        <w:rPr>
          <w:noProof/>
        </w:rPr>
        <w:t xml:space="preserve"> Methods</w:t>
      </w:r>
      <w:r>
        <w:rPr>
          <w:noProof/>
        </w:rPr>
        <w:tab/>
      </w:r>
      <w:r>
        <w:rPr>
          <w:noProof/>
        </w:rPr>
        <w:fldChar w:fldCharType="begin"/>
      </w:r>
      <w:r>
        <w:rPr>
          <w:noProof/>
        </w:rPr>
        <w:instrText xml:space="preserve"> PAGEREF _Toc476241596 \h </w:instrText>
      </w:r>
      <w:r>
        <w:rPr>
          <w:noProof/>
        </w:rPr>
      </w:r>
      <w:r>
        <w:rPr>
          <w:noProof/>
        </w:rPr>
        <w:fldChar w:fldCharType="separate"/>
      </w:r>
      <w:r>
        <w:rPr>
          <w:noProof/>
        </w:rPr>
        <w:t>109</w:t>
      </w:r>
      <w:r>
        <w:rPr>
          <w:noProof/>
        </w:rPr>
        <w:fldChar w:fldCharType="end"/>
      </w:r>
    </w:p>
    <w:p w14:paraId="69F006ED" w14:textId="0CFC197A"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5.2.2</w:t>
      </w:r>
      <w:r>
        <w:rPr>
          <w:rFonts w:asciiTheme="minorHAnsi" w:eastAsiaTheme="minorEastAsia" w:hAnsiTheme="minorHAnsi" w:cstheme="minorBidi"/>
          <w:noProof/>
          <w:sz w:val="22"/>
          <w:szCs w:val="22"/>
          <w:lang w:val="en-IE" w:eastAsia="en-IE"/>
        </w:rPr>
        <w:tab/>
      </w:r>
      <w:r>
        <w:rPr>
          <w:noProof/>
        </w:rPr>
        <w:t xml:space="preserve"> Results</w:t>
      </w:r>
      <w:r>
        <w:rPr>
          <w:noProof/>
        </w:rPr>
        <w:tab/>
      </w:r>
      <w:r>
        <w:rPr>
          <w:noProof/>
        </w:rPr>
        <w:fldChar w:fldCharType="begin"/>
      </w:r>
      <w:r>
        <w:rPr>
          <w:noProof/>
        </w:rPr>
        <w:instrText xml:space="preserve"> PAGEREF _Toc476241597 \h </w:instrText>
      </w:r>
      <w:r>
        <w:rPr>
          <w:noProof/>
        </w:rPr>
      </w:r>
      <w:r>
        <w:rPr>
          <w:noProof/>
        </w:rPr>
        <w:fldChar w:fldCharType="separate"/>
      </w:r>
      <w:r>
        <w:rPr>
          <w:noProof/>
        </w:rPr>
        <w:t>109</w:t>
      </w:r>
      <w:r>
        <w:rPr>
          <w:noProof/>
        </w:rPr>
        <w:fldChar w:fldCharType="end"/>
      </w:r>
    </w:p>
    <w:p w14:paraId="3846AF9A" w14:textId="06A2ED52"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5.3</w:t>
      </w:r>
      <w:r>
        <w:rPr>
          <w:rFonts w:asciiTheme="minorHAnsi" w:eastAsiaTheme="minorEastAsia" w:hAnsiTheme="minorHAnsi" w:cstheme="minorBidi"/>
          <w:b w:val="0"/>
          <w:noProof/>
          <w:sz w:val="22"/>
          <w:szCs w:val="22"/>
          <w:lang w:val="en-IE" w:eastAsia="en-IE"/>
        </w:rPr>
        <w:tab/>
      </w:r>
      <w:r>
        <w:rPr>
          <w:noProof/>
        </w:rPr>
        <w:t xml:space="preserve"> Comparison to previous studies</w:t>
      </w:r>
      <w:r>
        <w:rPr>
          <w:noProof/>
        </w:rPr>
        <w:tab/>
      </w:r>
      <w:r>
        <w:rPr>
          <w:noProof/>
        </w:rPr>
        <w:fldChar w:fldCharType="begin"/>
      </w:r>
      <w:r>
        <w:rPr>
          <w:noProof/>
        </w:rPr>
        <w:instrText xml:space="preserve"> PAGEREF _Toc476241598 \h </w:instrText>
      </w:r>
      <w:r>
        <w:rPr>
          <w:noProof/>
        </w:rPr>
      </w:r>
      <w:r>
        <w:rPr>
          <w:noProof/>
        </w:rPr>
        <w:fldChar w:fldCharType="separate"/>
      </w:r>
      <w:r>
        <w:rPr>
          <w:noProof/>
        </w:rPr>
        <w:t>131</w:t>
      </w:r>
      <w:r>
        <w:rPr>
          <w:noProof/>
        </w:rPr>
        <w:fldChar w:fldCharType="end"/>
      </w:r>
    </w:p>
    <w:p w14:paraId="0ACB8A4E" w14:textId="786A99B8"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5.4</w:t>
      </w:r>
      <w:r>
        <w:rPr>
          <w:rFonts w:asciiTheme="minorHAnsi" w:eastAsiaTheme="minorEastAsia" w:hAnsiTheme="minorHAnsi" w:cstheme="minorBidi"/>
          <w:b w:val="0"/>
          <w:noProof/>
          <w:sz w:val="22"/>
          <w:szCs w:val="22"/>
          <w:lang w:val="en-IE" w:eastAsia="en-IE"/>
        </w:rPr>
        <w:tab/>
      </w:r>
      <w:r>
        <w:rPr>
          <w:noProof/>
        </w:rPr>
        <w:t xml:space="preserve"> Discussion</w:t>
      </w:r>
      <w:r>
        <w:rPr>
          <w:noProof/>
        </w:rPr>
        <w:tab/>
      </w:r>
      <w:r>
        <w:rPr>
          <w:noProof/>
        </w:rPr>
        <w:fldChar w:fldCharType="begin"/>
      </w:r>
      <w:r>
        <w:rPr>
          <w:noProof/>
        </w:rPr>
        <w:instrText xml:space="preserve"> PAGEREF _Toc476241599 \h </w:instrText>
      </w:r>
      <w:r>
        <w:rPr>
          <w:noProof/>
        </w:rPr>
      </w:r>
      <w:r>
        <w:rPr>
          <w:noProof/>
        </w:rPr>
        <w:fldChar w:fldCharType="separate"/>
      </w:r>
      <w:r>
        <w:rPr>
          <w:noProof/>
        </w:rPr>
        <w:t>133</w:t>
      </w:r>
      <w:r>
        <w:rPr>
          <w:noProof/>
        </w:rPr>
        <w:fldChar w:fldCharType="end"/>
      </w:r>
    </w:p>
    <w:p w14:paraId="3D858044" w14:textId="64846342"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5.4.1</w:t>
      </w:r>
      <w:r>
        <w:rPr>
          <w:rFonts w:asciiTheme="minorHAnsi" w:eastAsiaTheme="minorEastAsia" w:hAnsiTheme="minorHAnsi" w:cstheme="minorBidi"/>
          <w:noProof/>
          <w:sz w:val="22"/>
          <w:szCs w:val="22"/>
          <w:lang w:val="en-IE" w:eastAsia="en-IE"/>
        </w:rPr>
        <w:tab/>
      </w:r>
      <w:r>
        <w:rPr>
          <w:noProof/>
        </w:rPr>
        <w:t xml:space="preserve"> Ambiguity of economic evaluation approaches in practice</w:t>
      </w:r>
      <w:r>
        <w:rPr>
          <w:noProof/>
        </w:rPr>
        <w:tab/>
      </w:r>
      <w:r>
        <w:rPr>
          <w:noProof/>
        </w:rPr>
        <w:fldChar w:fldCharType="begin"/>
      </w:r>
      <w:r>
        <w:rPr>
          <w:noProof/>
        </w:rPr>
        <w:instrText xml:space="preserve"> PAGEREF _Toc476241600 \h </w:instrText>
      </w:r>
      <w:r>
        <w:rPr>
          <w:noProof/>
        </w:rPr>
      </w:r>
      <w:r>
        <w:rPr>
          <w:noProof/>
        </w:rPr>
        <w:fldChar w:fldCharType="separate"/>
      </w:r>
      <w:r>
        <w:rPr>
          <w:noProof/>
        </w:rPr>
        <w:t>133</w:t>
      </w:r>
      <w:r>
        <w:rPr>
          <w:noProof/>
        </w:rPr>
        <w:fldChar w:fldCharType="end"/>
      </w:r>
    </w:p>
    <w:p w14:paraId="459697CE" w14:textId="5D28B22F"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5.4.2</w:t>
      </w:r>
      <w:r>
        <w:rPr>
          <w:rFonts w:asciiTheme="minorHAnsi" w:eastAsiaTheme="minorEastAsia" w:hAnsiTheme="minorHAnsi" w:cstheme="minorBidi"/>
          <w:noProof/>
          <w:sz w:val="22"/>
          <w:szCs w:val="22"/>
          <w:lang w:val="en-IE" w:eastAsia="en-IE"/>
        </w:rPr>
        <w:tab/>
      </w:r>
      <w:r>
        <w:rPr>
          <w:noProof/>
        </w:rPr>
        <w:t xml:space="preserve"> MCDA and NICE</w:t>
      </w:r>
      <w:r>
        <w:rPr>
          <w:noProof/>
        </w:rPr>
        <w:tab/>
      </w:r>
      <w:r>
        <w:rPr>
          <w:noProof/>
        </w:rPr>
        <w:fldChar w:fldCharType="begin"/>
      </w:r>
      <w:r>
        <w:rPr>
          <w:noProof/>
        </w:rPr>
        <w:instrText xml:space="preserve"> PAGEREF _Toc476241601 \h </w:instrText>
      </w:r>
      <w:r>
        <w:rPr>
          <w:noProof/>
        </w:rPr>
      </w:r>
      <w:r>
        <w:rPr>
          <w:noProof/>
        </w:rPr>
        <w:fldChar w:fldCharType="separate"/>
      </w:r>
      <w:r>
        <w:rPr>
          <w:noProof/>
        </w:rPr>
        <w:t>135</w:t>
      </w:r>
      <w:r>
        <w:rPr>
          <w:noProof/>
        </w:rPr>
        <w:fldChar w:fldCharType="end"/>
      </w:r>
    </w:p>
    <w:p w14:paraId="3D4A9147" w14:textId="67346F6C" w:rsidR="00E516A2" w:rsidRDefault="00E516A2">
      <w:pPr>
        <w:pStyle w:val="TOC4"/>
        <w:tabs>
          <w:tab w:val="left" w:pos="1540"/>
          <w:tab w:val="right" w:leader="dot" w:pos="9016"/>
        </w:tabs>
        <w:rPr>
          <w:rFonts w:asciiTheme="minorHAnsi" w:eastAsiaTheme="minorEastAsia" w:hAnsiTheme="minorHAnsi" w:cstheme="minorBidi"/>
          <w:noProof/>
          <w:sz w:val="22"/>
          <w:szCs w:val="22"/>
          <w:lang w:val="en-IE" w:eastAsia="en-IE"/>
        </w:rPr>
      </w:pPr>
      <w:r>
        <w:rPr>
          <w:noProof/>
        </w:rPr>
        <w:t xml:space="preserve">5.4.2.1 </w:t>
      </w:r>
      <w:r>
        <w:rPr>
          <w:rFonts w:asciiTheme="minorHAnsi" w:eastAsiaTheme="minorEastAsia" w:hAnsiTheme="minorHAnsi" w:cstheme="minorBidi"/>
          <w:noProof/>
          <w:sz w:val="22"/>
          <w:szCs w:val="22"/>
          <w:lang w:val="en-IE" w:eastAsia="en-IE"/>
        </w:rPr>
        <w:tab/>
      </w:r>
      <w:r>
        <w:rPr>
          <w:noProof/>
        </w:rPr>
        <w:t>MCDA and issues with NICE decision-making processes</w:t>
      </w:r>
      <w:r>
        <w:rPr>
          <w:noProof/>
        </w:rPr>
        <w:tab/>
      </w:r>
      <w:r>
        <w:rPr>
          <w:noProof/>
        </w:rPr>
        <w:fldChar w:fldCharType="begin"/>
      </w:r>
      <w:r>
        <w:rPr>
          <w:noProof/>
        </w:rPr>
        <w:instrText xml:space="preserve"> PAGEREF _Toc476241602 \h </w:instrText>
      </w:r>
      <w:r>
        <w:rPr>
          <w:noProof/>
        </w:rPr>
      </w:r>
      <w:r>
        <w:rPr>
          <w:noProof/>
        </w:rPr>
        <w:fldChar w:fldCharType="separate"/>
      </w:r>
      <w:r>
        <w:rPr>
          <w:noProof/>
        </w:rPr>
        <w:t>135</w:t>
      </w:r>
      <w:r>
        <w:rPr>
          <w:noProof/>
        </w:rPr>
        <w:fldChar w:fldCharType="end"/>
      </w:r>
    </w:p>
    <w:p w14:paraId="70B429A8" w14:textId="5737A6B9" w:rsidR="00E516A2" w:rsidRDefault="00E516A2">
      <w:pPr>
        <w:pStyle w:val="TOC5"/>
        <w:rPr>
          <w:rFonts w:asciiTheme="minorHAnsi" w:eastAsiaTheme="minorEastAsia" w:hAnsiTheme="minorHAnsi" w:cstheme="minorBidi"/>
          <w:noProof/>
          <w:sz w:val="22"/>
          <w:szCs w:val="22"/>
          <w:lang w:val="en-IE" w:eastAsia="en-IE"/>
        </w:rPr>
      </w:pPr>
      <w:r>
        <w:rPr>
          <w:noProof/>
        </w:rPr>
        <w:t>5.4.2.1.1</w:t>
      </w:r>
      <w:r>
        <w:rPr>
          <w:rFonts w:asciiTheme="minorHAnsi" w:eastAsiaTheme="minorEastAsia" w:hAnsiTheme="minorHAnsi" w:cstheme="minorBidi"/>
          <w:noProof/>
          <w:sz w:val="22"/>
          <w:szCs w:val="22"/>
          <w:lang w:val="en-IE" w:eastAsia="en-IE"/>
        </w:rPr>
        <w:tab/>
      </w:r>
      <w:r>
        <w:rPr>
          <w:noProof/>
        </w:rPr>
        <w:t>Ensuring consistency and accountability for complex multi-criteria decisions</w:t>
      </w:r>
      <w:r>
        <w:rPr>
          <w:noProof/>
        </w:rPr>
        <w:tab/>
      </w:r>
      <w:r>
        <w:rPr>
          <w:noProof/>
        </w:rPr>
        <w:fldChar w:fldCharType="begin"/>
      </w:r>
      <w:r>
        <w:rPr>
          <w:noProof/>
        </w:rPr>
        <w:instrText xml:space="preserve"> PAGEREF _Toc476241603 \h </w:instrText>
      </w:r>
      <w:r>
        <w:rPr>
          <w:noProof/>
        </w:rPr>
      </w:r>
      <w:r>
        <w:rPr>
          <w:noProof/>
        </w:rPr>
        <w:fldChar w:fldCharType="separate"/>
      </w:r>
      <w:r>
        <w:rPr>
          <w:noProof/>
        </w:rPr>
        <w:t>135</w:t>
      </w:r>
      <w:r>
        <w:rPr>
          <w:noProof/>
        </w:rPr>
        <w:fldChar w:fldCharType="end"/>
      </w:r>
    </w:p>
    <w:p w14:paraId="4AAEFC34" w14:textId="6A41CAFE" w:rsidR="00E516A2" w:rsidRDefault="00E516A2">
      <w:pPr>
        <w:pStyle w:val="TOC5"/>
        <w:rPr>
          <w:rFonts w:asciiTheme="minorHAnsi" w:eastAsiaTheme="minorEastAsia" w:hAnsiTheme="minorHAnsi" w:cstheme="minorBidi"/>
          <w:noProof/>
          <w:sz w:val="22"/>
          <w:szCs w:val="22"/>
          <w:lang w:val="en-IE" w:eastAsia="en-IE"/>
        </w:rPr>
      </w:pPr>
      <w:r>
        <w:rPr>
          <w:noProof/>
        </w:rPr>
        <w:t>5.4.2.1.2</w:t>
      </w:r>
      <w:r>
        <w:rPr>
          <w:rFonts w:asciiTheme="minorHAnsi" w:eastAsiaTheme="minorEastAsia" w:hAnsiTheme="minorHAnsi" w:cstheme="minorBidi"/>
          <w:noProof/>
          <w:sz w:val="22"/>
          <w:szCs w:val="22"/>
          <w:lang w:val="en-IE" w:eastAsia="en-IE"/>
        </w:rPr>
        <w:tab/>
      </w:r>
      <w:r>
        <w:rPr>
          <w:noProof/>
        </w:rPr>
        <w:t>Defining the limits of health</w:t>
      </w:r>
      <w:r>
        <w:rPr>
          <w:noProof/>
        </w:rPr>
        <w:tab/>
      </w:r>
      <w:r>
        <w:rPr>
          <w:noProof/>
        </w:rPr>
        <w:fldChar w:fldCharType="begin"/>
      </w:r>
      <w:r>
        <w:rPr>
          <w:noProof/>
        </w:rPr>
        <w:instrText xml:space="preserve"> PAGEREF _Toc476241604 \h </w:instrText>
      </w:r>
      <w:r>
        <w:rPr>
          <w:noProof/>
        </w:rPr>
      </w:r>
      <w:r>
        <w:rPr>
          <w:noProof/>
        </w:rPr>
        <w:fldChar w:fldCharType="separate"/>
      </w:r>
      <w:r>
        <w:rPr>
          <w:noProof/>
        </w:rPr>
        <w:t>136</w:t>
      </w:r>
      <w:r>
        <w:rPr>
          <w:noProof/>
        </w:rPr>
        <w:fldChar w:fldCharType="end"/>
      </w:r>
    </w:p>
    <w:p w14:paraId="360E3F91" w14:textId="44ECD9FA" w:rsidR="00E516A2" w:rsidRDefault="00E516A2">
      <w:pPr>
        <w:pStyle w:val="TOC5"/>
        <w:rPr>
          <w:rFonts w:asciiTheme="minorHAnsi" w:eastAsiaTheme="minorEastAsia" w:hAnsiTheme="minorHAnsi" w:cstheme="minorBidi"/>
          <w:noProof/>
          <w:sz w:val="22"/>
          <w:szCs w:val="22"/>
          <w:lang w:val="en-IE" w:eastAsia="en-IE"/>
        </w:rPr>
      </w:pPr>
      <w:r>
        <w:rPr>
          <w:noProof/>
        </w:rPr>
        <w:t>5.4.2.1.3</w:t>
      </w:r>
      <w:r>
        <w:rPr>
          <w:rFonts w:asciiTheme="minorHAnsi" w:eastAsiaTheme="minorEastAsia" w:hAnsiTheme="minorHAnsi" w:cstheme="minorBidi"/>
          <w:noProof/>
          <w:sz w:val="22"/>
          <w:szCs w:val="22"/>
          <w:lang w:val="en-IE" w:eastAsia="en-IE"/>
        </w:rPr>
        <w:tab/>
      </w:r>
      <w:r>
        <w:rPr>
          <w:noProof/>
        </w:rPr>
        <w:t>Local decision-making and democracy</w:t>
      </w:r>
      <w:r>
        <w:rPr>
          <w:noProof/>
        </w:rPr>
        <w:tab/>
      </w:r>
      <w:r>
        <w:rPr>
          <w:noProof/>
        </w:rPr>
        <w:fldChar w:fldCharType="begin"/>
      </w:r>
      <w:r>
        <w:rPr>
          <w:noProof/>
        </w:rPr>
        <w:instrText xml:space="preserve"> PAGEREF _Toc476241605 \h </w:instrText>
      </w:r>
      <w:r>
        <w:rPr>
          <w:noProof/>
        </w:rPr>
      </w:r>
      <w:r>
        <w:rPr>
          <w:noProof/>
        </w:rPr>
        <w:fldChar w:fldCharType="separate"/>
      </w:r>
      <w:r>
        <w:rPr>
          <w:noProof/>
        </w:rPr>
        <w:t>138</w:t>
      </w:r>
      <w:r>
        <w:rPr>
          <w:noProof/>
        </w:rPr>
        <w:fldChar w:fldCharType="end"/>
      </w:r>
    </w:p>
    <w:p w14:paraId="5BA96DFF" w14:textId="56E88583" w:rsidR="00E516A2" w:rsidRDefault="00E516A2">
      <w:pPr>
        <w:pStyle w:val="TOC5"/>
        <w:rPr>
          <w:rFonts w:asciiTheme="minorHAnsi" w:eastAsiaTheme="minorEastAsia" w:hAnsiTheme="minorHAnsi" w:cstheme="minorBidi"/>
          <w:noProof/>
          <w:sz w:val="22"/>
          <w:szCs w:val="22"/>
          <w:lang w:val="en-IE" w:eastAsia="en-IE"/>
        </w:rPr>
      </w:pPr>
      <w:r>
        <w:rPr>
          <w:noProof/>
        </w:rPr>
        <w:t>5.4.2.1.4</w:t>
      </w:r>
      <w:r>
        <w:rPr>
          <w:rFonts w:asciiTheme="minorHAnsi" w:eastAsiaTheme="minorEastAsia" w:hAnsiTheme="minorHAnsi" w:cstheme="minorBidi"/>
          <w:noProof/>
          <w:sz w:val="22"/>
          <w:szCs w:val="22"/>
          <w:lang w:val="en-IE" w:eastAsia="en-IE"/>
        </w:rPr>
        <w:tab/>
      </w:r>
      <w:r>
        <w:rPr>
          <w:noProof/>
        </w:rPr>
        <w:t>Inconclusive evidence</w:t>
      </w:r>
      <w:r>
        <w:rPr>
          <w:noProof/>
        </w:rPr>
        <w:tab/>
      </w:r>
      <w:r>
        <w:rPr>
          <w:noProof/>
        </w:rPr>
        <w:fldChar w:fldCharType="begin"/>
      </w:r>
      <w:r>
        <w:rPr>
          <w:noProof/>
        </w:rPr>
        <w:instrText xml:space="preserve"> PAGEREF _Toc476241606 \h </w:instrText>
      </w:r>
      <w:r>
        <w:rPr>
          <w:noProof/>
        </w:rPr>
      </w:r>
      <w:r>
        <w:rPr>
          <w:noProof/>
        </w:rPr>
        <w:fldChar w:fldCharType="separate"/>
      </w:r>
      <w:r>
        <w:rPr>
          <w:noProof/>
        </w:rPr>
        <w:t>139</w:t>
      </w:r>
      <w:r>
        <w:rPr>
          <w:noProof/>
        </w:rPr>
        <w:fldChar w:fldCharType="end"/>
      </w:r>
    </w:p>
    <w:p w14:paraId="0DEDC50D" w14:textId="6B4C19DA" w:rsidR="00E516A2" w:rsidRDefault="00E516A2">
      <w:pPr>
        <w:pStyle w:val="TOC5"/>
        <w:rPr>
          <w:rFonts w:asciiTheme="minorHAnsi" w:eastAsiaTheme="minorEastAsia" w:hAnsiTheme="minorHAnsi" w:cstheme="minorBidi"/>
          <w:noProof/>
          <w:sz w:val="22"/>
          <w:szCs w:val="22"/>
          <w:lang w:val="en-IE" w:eastAsia="en-IE"/>
        </w:rPr>
      </w:pPr>
      <w:r>
        <w:rPr>
          <w:noProof/>
        </w:rPr>
        <w:t>5.4.2.1.5</w:t>
      </w:r>
      <w:r>
        <w:rPr>
          <w:rFonts w:asciiTheme="minorHAnsi" w:eastAsiaTheme="minorEastAsia" w:hAnsiTheme="minorHAnsi" w:cstheme="minorBidi"/>
          <w:noProof/>
          <w:sz w:val="22"/>
          <w:szCs w:val="22"/>
          <w:lang w:val="en-IE" w:eastAsia="en-IE"/>
        </w:rPr>
        <w:tab/>
      </w:r>
      <w:r>
        <w:rPr>
          <w:noProof/>
        </w:rPr>
        <w:t>Considering the cost-effectiveness threshold as part of the broader decision</w:t>
      </w:r>
      <w:r>
        <w:rPr>
          <w:noProof/>
        </w:rPr>
        <w:tab/>
      </w:r>
      <w:r>
        <w:rPr>
          <w:noProof/>
        </w:rPr>
        <w:fldChar w:fldCharType="begin"/>
      </w:r>
      <w:r>
        <w:rPr>
          <w:noProof/>
        </w:rPr>
        <w:instrText xml:space="preserve"> PAGEREF _Toc476241607 \h </w:instrText>
      </w:r>
      <w:r>
        <w:rPr>
          <w:noProof/>
        </w:rPr>
      </w:r>
      <w:r>
        <w:rPr>
          <w:noProof/>
        </w:rPr>
        <w:fldChar w:fldCharType="separate"/>
      </w:r>
      <w:r>
        <w:rPr>
          <w:noProof/>
        </w:rPr>
        <w:t>140</w:t>
      </w:r>
      <w:r>
        <w:rPr>
          <w:noProof/>
        </w:rPr>
        <w:fldChar w:fldCharType="end"/>
      </w:r>
    </w:p>
    <w:p w14:paraId="75AD4F66" w14:textId="559D628F"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5.4.2.2</w:t>
      </w:r>
      <w:r>
        <w:rPr>
          <w:rFonts w:asciiTheme="minorHAnsi" w:eastAsiaTheme="minorEastAsia" w:hAnsiTheme="minorHAnsi" w:cstheme="minorBidi"/>
          <w:noProof/>
          <w:sz w:val="22"/>
          <w:szCs w:val="22"/>
          <w:lang w:val="en-IE" w:eastAsia="en-IE"/>
        </w:rPr>
        <w:tab/>
      </w:r>
      <w:r>
        <w:rPr>
          <w:noProof/>
        </w:rPr>
        <w:t xml:space="preserve"> MCDA approaches already under discussion within the CPH</w:t>
      </w:r>
      <w:r>
        <w:rPr>
          <w:noProof/>
        </w:rPr>
        <w:tab/>
      </w:r>
      <w:r>
        <w:rPr>
          <w:noProof/>
        </w:rPr>
        <w:fldChar w:fldCharType="begin"/>
      </w:r>
      <w:r>
        <w:rPr>
          <w:noProof/>
        </w:rPr>
        <w:instrText xml:space="preserve"> PAGEREF _Toc476241608 \h </w:instrText>
      </w:r>
      <w:r>
        <w:rPr>
          <w:noProof/>
        </w:rPr>
      </w:r>
      <w:r>
        <w:rPr>
          <w:noProof/>
        </w:rPr>
        <w:fldChar w:fldCharType="separate"/>
      </w:r>
      <w:r>
        <w:rPr>
          <w:noProof/>
        </w:rPr>
        <w:t>146</w:t>
      </w:r>
      <w:r>
        <w:rPr>
          <w:noProof/>
        </w:rPr>
        <w:fldChar w:fldCharType="end"/>
      </w:r>
    </w:p>
    <w:p w14:paraId="14CBE76E" w14:textId="189E4B52"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5.4.2.3</w:t>
      </w:r>
      <w:r>
        <w:rPr>
          <w:rFonts w:asciiTheme="minorHAnsi" w:eastAsiaTheme="minorEastAsia" w:hAnsiTheme="minorHAnsi" w:cstheme="minorBidi"/>
          <w:noProof/>
          <w:sz w:val="22"/>
          <w:szCs w:val="22"/>
          <w:lang w:val="en-IE" w:eastAsia="en-IE"/>
        </w:rPr>
        <w:tab/>
      </w:r>
      <w:r>
        <w:rPr>
          <w:noProof/>
        </w:rPr>
        <w:t xml:space="preserve"> Next steps</w:t>
      </w:r>
      <w:r>
        <w:rPr>
          <w:noProof/>
        </w:rPr>
        <w:tab/>
      </w:r>
      <w:r>
        <w:rPr>
          <w:noProof/>
        </w:rPr>
        <w:fldChar w:fldCharType="begin"/>
      </w:r>
      <w:r>
        <w:rPr>
          <w:noProof/>
        </w:rPr>
        <w:instrText xml:space="preserve"> PAGEREF _Toc476241609 \h </w:instrText>
      </w:r>
      <w:r>
        <w:rPr>
          <w:noProof/>
        </w:rPr>
      </w:r>
      <w:r>
        <w:rPr>
          <w:noProof/>
        </w:rPr>
        <w:fldChar w:fldCharType="separate"/>
      </w:r>
      <w:r>
        <w:rPr>
          <w:noProof/>
        </w:rPr>
        <w:t>147</w:t>
      </w:r>
      <w:r>
        <w:rPr>
          <w:noProof/>
        </w:rPr>
        <w:fldChar w:fldCharType="end"/>
      </w:r>
    </w:p>
    <w:p w14:paraId="6D7A25AC" w14:textId="503E246B"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5.5</w:t>
      </w:r>
      <w:r>
        <w:rPr>
          <w:rFonts w:asciiTheme="minorHAnsi" w:eastAsiaTheme="minorEastAsia" w:hAnsiTheme="minorHAnsi" w:cstheme="minorBidi"/>
          <w:b w:val="0"/>
          <w:noProof/>
          <w:sz w:val="22"/>
          <w:szCs w:val="22"/>
          <w:lang w:val="en-IE" w:eastAsia="en-IE"/>
        </w:rPr>
        <w:tab/>
      </w:r>
      <w:r>
        <w:rPr>
          <w:noProof/>
        </w:rPr>
        <w:t>Conclusions</w:t>
      </w:r>
      <w:r>
        <w:rPr>
          <w:noProof/>
        </w:rPr>
        <w:tab/>
      </w:r>
      <w:r>
        <w:rPr>
          <w:noProof/>
        </w:rPr>
        <w:fldChar w:fldCharType="begin"/>
      </w:r>
      <w:r>
        <w:rPr>
          <w:noProof/>
        </w:rPr>
        <w:instrText xml:space="preserve"> PAGEREF _Toc476241610 \h </w:instrText>
      </w:r>
      <w:r>
        <w:rPr>
          <w:noProof/>
        </w:rPr>
      </w:r>
      <w:r>
        <w:rPr>
          <w:noProof/>
        </w:rPr>
        <w:fldChar w:fldCharType="separate"/>
      </w:r>
      <w:r>
        <w:rPr>
          <w:noProof/>
        </w:rPr>
        <w:t>149</w:t>
      </w:r>
      <w:r>
        <w:rPr>
          <w:noProof/>
        </w:rPr>
        <w:fldChar w:fldCharType="end"/>
      </w:r>
    </w:p>
    <w:p w14:paraId="020438F7" w14:textId="79EFA88A" w:rsidR="00E516A2" w:rsidRDefault="00E516A2">
      <w:pPr>
        <w:pStyle w:val="TOC1"/>
        <w:tabs>
          <w:tab w:val="left" w:pos="1548"/>
          <w:tab w:val="right" w:leader="dot" w:pos="9016"/>
        </w:tabs>
        <w:rPr>
          <w:rFonts w:asciiTheme="minorHAnsi" w:eastAsiaTheme="minorEastAsia" w:hAnsiTheme="minorHAnsi" w:cstheme="minorBidi"/>
          <w:b w:val="0"/>
          <w:caps w:val="0"/>
          <w:noProof/>
          <w:sz w:val="22"/>
          <w:szCs w:val="22"/>
          <w:lang w:val="en-IE" w:eastAsia="en-IE"/>
        </w:rPr>
      </w:pPr>
      <w:r>
        <w:rPr>
          <w:noProof/>
        </w:rPr>
        <w:t>Chapter 6 :</w:t>
      </w:r>
      <w:r>
        <w:rPr>
          <w:rFonts w:asciiTheme="minorHAnsi" w:eastAsiaTheme="minorEastAsia" w:hAnsiTheme="minorHAnsi" w:cstheme="minorBidi"/>
          <w:b w:val="0"/>
          <w:caps w:val="0"/>
          <w:noProof/>
          <w:sz w:val="22"/>
          <w:szCs w:val="22"/>
          <w:lang w:val="en-IE" w:eastAsia="en-IE"/>
        </w:rPr>
        <w:tab/>
      </w:r>
      <w:r>
        <w:rPr>
          <w:noProof/>
        </w:rPr>
        <w:t>Case study 1 – Prioritising public health guidance topics in the National Institute for Health and Care Excellence using the Analytic Hierarchy Process</w:t>
      </w:r>
      <w:r>
        <w:rPr>
          <w:noProof/>
        </w:rPr>
        <w:tab/>
      </w:r>
      <w:r>
        <w:rPr>
          <w:noProof/>
        </w:rPr>
        <w:fldChar w:fldCharType="begin"/>
      </w:r>
      <w:r>
        <w:rPr>
          <w:noProof/>
        </w:rPr>
        <w:instrText xml:space="preserve"> PAGEREF _Toc476241611 \h </w:instrText>
      </w:r>
      <w:r>
        <w:rPr>
          <w:noProof/>
        </w:rPr>
      </w:r>
      <w:r>
        <w:rPr>
          <w:noProof/>
        </w:rPr>
        <w:fldChar w:fldCharType="separate"/>
      </w:r>
      <w:r>
        <w:rPr>
          <w:noProof/>
        </w:rPr>
        <w:t>152</w:t>
      </w:r>
      <w:r>
        <w:rPr>
          <w:noProof/>
        </w:rPr>
        <w:fldChar w:fldCharType="end"/>
      </w:r>
    </w:p>
    <w:p w14:paraId="770A0A68" w14:textId="77DEAFB2"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6.1</w:t>
      </w:r>
      <w:r>
        <w:rPr>
          <w:rFonts w:asciiTheme="minorHAnsi" w:eastAsiaTheme="minorEastAsia" w:hAnsiTheme="minorHAnsi" w:cstheme="minorBidi"/>
          <w:b w:val="0"/>
          <w:noProof/>
          <w:sz w:val="22"/>
          <w:szCs w:val="22"/>
          <w:lang w:val="en-IE" w:eastAsia="en-IE"/>
        </w:rPr>
        <w:tab/>
      </w:r>
      <w:r>
        <w:rPr>
          <w:noProof/>
        </w:rPr>
        <w:t xml:space="preserve"> Introduction</w:t>
      </w:r>
      <w:r>
        <w:rPr>
          <w:noProof/>
        </w:rPr>
        <w:tab/>
      </w:r>
      <w:r>
        <w:rPr>
          <w:noProof/>
        </w:rPr>
        <w:fldChar w:fldCharType="begin"/>
      </w:r>
      <w:r>
        <w:rPr>
          <w:noProof/>
        </w:rPr>
        <w:instrText xml:space="preserve"> PAGEREF _Toc476241612 \h </w:instrText>
      </w:r>
      <w:r>
        <w:rPr>
          <w:noProof/>
        </w:rPr>
      </w:r>
      <w:r>
        <w:rPr>
          <w:noProof/>
        </w:rPr>
        <w:fldChar w:fldCharType="separate"/>
      </w:r>
      <w:r>
        <w:rPr>
          <w:noProof/>
        </w:rPr>
        <w:t>152</w:t>
      </w:r>
      <w:r>
        <w:rPr>
          <w:noProof/>
        </w:rPr>
        <w:fldChar w:fldCharType="end"/>
      </w:r>
    </w:p>
    <w:p w14:paraId="573E3E34" w14:textId="7246B819"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6.2</w:t>
      </w:r>
      <w:r>
        <w:rPr>
          <w:rFonts w:asciiTheme="minorHAnsi" w:eastAsiaTheme="minorEastAsia" w:hAnsiTheme="minorHAnsi" w:cstheme="minorBidi"/>
          <w:b w:val="0"/>
          <w:noProof/>
          <w:sz w:val="22"/>
          <w:szCs w:val="22"/>
          <w:lang w:val="en-IE" w:eastAsia="en-IE"/>
        </w:rPr>
        <w:tab/>
      </w:r>
      <w:r>
        <w:rPr>
          <w:noProof/>
        </w:rPr>
        <w:t xml:space="preserve"> Objectives</w:t>
      </w:r>
      <w:r>
        <w:rPr>
          <w:noProof/>
        </w:rPr>
        <w:tab/>
      </w:r>
      <w:r>
        <w:rPr>
          <w:noProof/>
        </w:rPr>
        <w:fldChar w:fldCharType="begin"/>
      </w:r>
      <w:r>
        <w:rPr>
          <w:noProof/>
        </w:rPr>
        <w:instrText xml:space="preserve"> PAGEREF _Toc476241613 \h </w:instrText>
      </w:r>
      <w:r>
        <w:rPr>
          <w:noProof/>
        </w:rPr>
      </w:r>
      <w:r>
        <w:rPr>
          <w:noProof/>
        </w:rPr>
        <w:fldChar w:fldCharType="separate"/>
      </w:r>
      <w:r>
        <w:rPr>
          <w:noProof/>
        </w:rPr>
        <w:t>154</w:t>
      </w:r>
      <w:r>
        <w:rPr>
          <w:noProof/>
        </w:rPr>
        <w:fldChar w:fldCharType="end"/>
      </w:r>
    </w:p>
    <w:p w14:paraId="09E53C91" w14:textId="247276DB"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6.3</w:t>
      </w:r>
      <w:r>
        <w:rPr>
          <w:rFonts w:asciiTheme="minorHAnsi" w:eastAsiaTheme="minorEastAsia" w:hAnsiTheme="minorHAnsi" w:cstheme="minorBidi"/>
          <w:b w:val="0"/>
          <w:noProof/>
          <w:sz w:val="22"/>
          <w:szCs w:val="22"/>
          <w:lang w:val="en-IE" w:eastAsia="en-IE"/>
        </w:rPr>
        <w:tab/>
      </w:r>
      <w:r>
        <w:rPr>
          <w:noProof/>
        </w:rPr>
        <w:t xml:space="preserve"> Case study approaches</w:t>
      </w:r>
      <w:r>
        <w:rPr>
          <w:noProof/>
        </w:rPr>
        <w:tab/>
      </w:r>
      <w:r>
        <w:rPr>
          <w:noProof/>
        </w:rPr>
        <w:fldChar w:fldCharType="begin"/>
      </w:r>
      <w:r>
        <w:rPr>
          <w:noProof/>
        </w:rPr>
        <w:instrText xml:space="preserve"> PAGEREF _Toc476241614 \h </w:instrText>
      </w:r>
      <w:r>
        <w:rPr>
          <w:noProof/>
        </w:rPr>
      </w:r>
      <w:r>
        <w:rPr>
          <w:noProof/>
        </w:rPr>
        <w:fldChar w:fldCharType="separate"/>
      </w:r>
      <w:r>
        <w:rPr>
          <w:noProof/>
        </w:rPr>
        <w:t>154</w:t>
      </w:r>
      <w:r>
        <w:rPr>
          <w:noProof/>
        </w:rPr>
        <w:fldChar w:fldCharType="end"/>
      </w:r>
    </w:p>
    <w:p w14:paraId="3A513AD4" w14:textId="697C91F6"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lastRenderedPageBreak/>
        <w:t>6.4</w:t>
      </w:r>
      <w:r>
        <w:rPr>
          <w:rFonts w:asciiTheme="minorHAnsi" w:eastAsiaTheme="minorEastAsia" w:hAnsiTheme="minorHAnsi" w:cstheme="minorBidi"/>
          <w:b w:val="0"/>
          <w:noProof/>
          <w:sz w:val="22"/>
          <w:szCs w:val="22"/>
          <w:lang w:val="en-IE" w:eastAsia="en-IE"/>
        </w:rPr>
        <w:tab/>
      </w:r>
      <w:r>
        <w:rPr>
          <w:noProof/>
        </w:rPr>
        <w:t xml:space="preserve"> Methods</w:t>
      </w:r>
      <w:r>
        <w:rPr>
          <w:noProof/>
        </w:rPr>
        <w:tab/>
      </w:r>
      <w:r>
        <w:rPr>
          <w:noProof/>
        </w:rPr>
        <w:fldChar w:fldCharType="begin"/>
      </w:r>
      <w:r>
        <w:rPr>
          <w:noProof/>
        </w:rPr>
        <w:instrText xml:space="preserve"> PAGEREF _Toc476241615 \h </w:instrText>
      </w:r>
      <w:r>
        <w:rPr>
          <w:noProof/>
        </w:rPr>
      </w:r>
      <w:r>
        <w:rPr>
          <w:noProof/>
        </w:rPr>
        <w:fldChar w:fldCharType="separate"/>
      </w:r>
      <w:r>
        <w:rPr>
          <w:noProof/>
        </w:rPr>
        <w:t>155</w:t>
      </w:r>
      <w:r>
        <w:rPr>
          <w:noProof/>
        </w:rPr>
        <w:fldChar w:fldCharType="end"/>
      </w:r>
    </w:p>
    <w:p w14:paraId="594A9AAD" w14:textId="56EF6E00"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6.4.1</w:t>
      </w:r>
      <w:r>
        <w:rPr>
          <w:rFonts w:asciiTheme="minorHAnsi" w:eastAsiaTheme="minorEastAsia" w:hAnsiTheme="minorHAnsi" w:cstheme="minorBidi"/>
          <w:noProof/>
          <w:sz w:val="22"/>
          <w:szCs w:val="22"/>
          <w:lang w:val="en-IE" w:eastAsia="en-IE"/>
        </w:rPr>
        <w:tab/>
      </w:r>
      <w:r>
        <w:rPr>
          <w:noProof/>
        </w:rPr>
        <w:t xml:space="preserve"> Understanding the decision context</w:t>
      </w:r>
      <w:r>
        <w:rPr>
          <w:noProof/>
        </w:rPr>
        <w:tab/>
      </w:r>
      <w:r>
        <w:rPr>
          <w:noProof/>
        </w:rPr>
        <w:fldChar w:fldCharType="begin"/>
      </w:r>
      <w:r>
        <w:rPr>
          <w:noProof/>
        </w:rPr>
        <w:instrText xml:space="preserve"> PAGEREF _Toc476241616 \h </w:instrText>
      </w:r>
      <w:r>
        <w:rPr>
          <w:noProof/>
        </w:rPr>
      </w:r>
      <w:r>
        <w:rPr>
          <w:noProof/>
        </w:rPr>
        <w:fldChar w:fldCharType="separate"/>
      </w:r>
      <w:r>
        <w:rPr>
          <w:noProof/>
        </w:rPr>
        <w:t>155</w:t>
      </w:r>
      <w:r>
        <w:rPr>
          <w:noProof/>
        </w:rPr>
        <w:fldChar w:fldCharType="end"/>
      </w:r>
    </w:p>
    <w:p w14:paraId="1E1CB983" w14:textId="7294167E"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6.4.2</w:t>
      </w:r>
      <w:r>
        <w:rPr>
          <w:rFonts w:asciiTheme="minorHAnsi" w:eastAsiaTheme="minorEastAsia" w:hAnsiTheme="minorHAnsi" w:cstheme="minorBidi"/>
          <w:noProof/>
          <w:sz w:val="22"/>
          <w:szCs w:val="22"/>
          <w:lang w:val="en-IE" w:eastAsia="en-IE"/>
        </w:rPr>
        <w:tab/>
      </w:r>
      <w:r>
        <w:rPr>
          <w:noProof/>
        </w:rPr>
        <w:t xml:space="preserve"> Choosing a list of topics for evaluation</w:t>
      </w:r>
      <w:r>
        <w:rPr>
          <w:noProof/>
        </w:rPr>
        <w:tab/>
      </w:r>
      <w:r>
        <w:rPr>
          <w:noProof/>
        </w:rPr>
        <w:fldChar w:fldCharType="begin"/>
      </w:r>
      <w:r>
        <w:rPr>
          <w:noProof/>
        </w:rPr>
        <w:instrText xml:space="preserve"> PAGEREF _Toc476241617 \h </w:instrText>
      </w:r>
      <w:r>
        <w:rPr>
          <w:noProof/>
        </w:rPr>
      </w:r>
      <w:r>
        <w:rPr>
          <w:noProof/>
        </w:rPr>
        <w:fldChar w:fldCharType="separate"/>
      </w:r>
      <w:r>
        <w:rPr>
          <w:noProof/>
        </w:rPr>
        <w:t>156</w:t>
      </w:r>
      <w:r>
        <w:rPr>
          <w:noProof/>
        </w:rPr>
        <w:fldChar w:fldCharType="end"/>
      </w:r>
    </w:p>
    <w:p w14:paraId="4F05A830" w14:textId="66C9FEE4"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6.4.3</w:t>
      </w:r>
      <w:r>
        <w:rPr>
          <w:rFonts w:asciiTheme="minorHAnsi" w:eastAsiaTheme="minorEastAsia" w:hAnsiTheme="minorHAnsi" w:cstheme="minorBidi"/>
          <w:noProof/>
          <w:sz w:val="22"/>
          <w:szCs w:val="22"/>
          <w:lang w:val="en-IE" w:eastAsia="en-IE"/>
        </w:rPr>
        <w:tab/>
      </w:r>
      <w:r>
        <w:rPr>
          <w:noProof/>
        </w:rPr>
        <w:t xml:space="preserve"> Identifying criteria</w:t>
      </w:r>
      <w:r>
        <w:rPr>
          <w:noProof/>
        </w:rPr>
        <w:tab/>
      </w:r>
      <w:r>
        <w:rPr>
          <w:noProof/>
        </w:rPr>
        <w:fldChar w:fldCharType="begin"/>
      </w:r>
      <w:r>
        <w:rPr>
          <w:noProof/>
        </w:rPr>
        <w:instrText xml:space="preserve"> PAGEREF _Toc476241618 \h </w:instrText>
      </w:r>
      <w:r>
        <w:rPr>
          <w:noProof/>
        </w:rPr>
      </w:r>
      <w:r>
        <w:rPr>
          <w:noProof/>
        </w:rPr>
        <w:fldChar w:fldCharType="separate"/>
      </w:r>
      <w:r>
        <w:rPr>
          <w:noProof/>
        </w:rPr>
        <w:t>156</w:t>
      </w:r>
      <w:r>
        <w:rPr>
          <w:noProof/>
        </w:rPr>
        <w:fldChar w:fldCharType="end"/>
      </w:r>
    </w:p>
    <w:p w14:paraId="27120BDC" w14:textId="50A3093E"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6.4.4</w:t>
      </w:r>
      <w:r>
        <w:rPr>
          <w:rFonts w:asciiTheme="minorHAnsi" w:eastAsiaTheme="minorEastAsia" w:hAnsiTheme="minorHAnsi" w:cstheme="minorBidi"/>
          <w:noProof/>
          <w:sz w:val="22"/>
          <w:szCs w:val="22"/>
          <w:lang w:val="en-IE" w:eastAsia="en-IE"/>
        </w:rPr>
        <w:tab/>
      </w:r>
      <w:r>
        <w:rPr>
          <w:noProof/>
        </w:rPr>
        <w:t xml:space="preserve"> Prioritising the criteria by weighting</w:t>
      </w:r>
      <w:r>
        <w:rPr>
          <w:noProof/>
        </w:rPr>
        <w:tab/>
      </w:r>
      <w:r>
        <w:rPr>
          <w:noProof/>
        </w:rPr>
        <w:fldChar w:fldCharType="begin"/>
      </w:r>
      <w:r>
        <w:rPr>
          <w:noProof/>
        </w:rPr>
        <w:instrText xml:space="preserve"> PAGEREF _Toc476241619 \h </w:instrText>
      </w:r>
      <w:r>
        <w:rPr>
          <w:noProof/>
        </w:rPr>
      </w:r>
      <w:r>
        <w:rPr>
          <w:noProof/>
        </w:rPr>
        <w:fldChar w:fldCharType="separate"/>
      </w:r>
      <w:r>
        <w:rPr>
          <w:noProof/>
        </w:rPr>
        <w:t>157</w:t>
      </w:r>
      <w:r>
        <w:rPr>
          <w:noProof/>
        </w:rPr>
        <w:fldChar w:fldCharType="end"/>
      </w:r>
    </w:p>
    <w:p w14:paraId="7A5DC944" w14:textId="23DF3B86"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6.4.5</w:t>
      </w:r>
      <w:r>
        <w:rPr>
          <w:rFonts w:asciiTheme="minorHAnsi" w:eastAsiaTheme="minorEastAsia" w:hAnsiTheme="minorHAnsi" w:cstheme="minorBidi"/>
          <w:noProof/>
          <w:sz w:val="22"/>
          <w:szCs w:val="22"/>
          <w:lang w:val="en-IE" w:eastAsia="en-IE"/>
        </w:rPr>
        <w:tab/>
      </w:r>
      <w:r>
        <w:rPr>
          <w:noProof/>
        </w:rPr>
        <w:t xml:space="preserve"> Estimating the performance of the topics on each of the criteria</w:t>
      </w:r>
      <w:r>
        <w:rPr>
          <w:noProof/>
        </w:rPr>
        <w:tab/>
      </w:r>
      <w:r>
        <w:rPr>
          <w:noProof/>
        </w:rPr>
        <w:fldChar w:fldCharType="begin"/>
      </w:r>
      <w:r>
        <w:rPr>
          <w:noProof/>
        </w:rPr>
        <w:instrText xml:space="preserve"> PAGEREF _Toc476241620 \h </w:instrText>
      </w:r>
      <w:r>
        <w:rPr>
          <w:noProof/>
        </w:rPr>
      </w:r>
      <w:r>
        <w:rPr>
          <w:noProof/>
        </w:rPr>
        <w:fldChar w:fldCharType="separate"/>
      </w:r>
      <w:r>
        <w:rPr>
          <w:noProof/>
        </w:rPr>
        <w:t>158</w:t>
      </w:r>
      <w:r>
        <w:rPr>
          <w:noProof/>
        </w:rPr>
        <w:fldChar w:fldCharType="end"/>
      </w:r>
    </w:p>
    <w:p w14:paraId="7AFF2771" w14:textId="535CF5BC"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6.4.6</w:t>
      </w:r>
      <w:r>
        <w:rPr>
          <w:rFonts w:asciiTheme="minorHAnsi" w:eastAsiaTheme="minorEastAsia" w:hAnsiTheme="minorHAnsi" w:cstheme="minorBidi"/>
          <w:noProof/>
          <w:sz w:val="22"/>
          <w:szCs w:val="22"/>
          <w:lang w:val="en-IE" w:eastAsia="en-IE"/>
        </w:rPr>
        <w:tab/>
      </w:r>
      <w:r>
        <w:rPr>
          <w:noProof/>
        </w:rPr>
        <w:t xml:space="preserve"> Combining scores</w:t>
      </w:r>
      <w:r>
        <w:rPr>
          <w:noProof/>
        </w:rPr>
        <w:tab/>
      </w:r>
      <w:r>
        <w:rPr>
          <w:noProof/>
        </w:rPr>
        <w:fldChar w:fldCharType="begin"/>
      </w:r>
      <w:r>
        <w:rPr>
          <w:noProof/>
        </w:rPr>
        <w:instrText xml:space="preserve"> PAGEREF _Toc476241621 \h </w:instrText>
      </w:r>
      <w:r>
        <w:rPr>
          <w:noProof/>
        </w:rPr>
      </w:r>
      <w:r>
        <w:rPr>
          <w:noProof/>
        </w:rPr>
        <w:fldChar w:fldCharType="separate"/>
      </w:r>
      <w:r>
        <w:rPr>
          <w:noProof/>
        </w:rPr>
        <w:t>159</w:t>
      </w:r>
      <w:r>
        <w:rPr>
          <w:noProof/>
        </w:rPr>
        <w:fldChar w:fldCharType="end"/>
      </w:r>
    </w:p>
    <w:p w14:paraId="29991011" w14:textId="70A0910A"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6.4.7</w:t>
      </w:r>
      <w:r>
        <w:rPr>
          <w:rFonts w:asciiTheme="minorHAnsi" w:eastAsiaTheme="minorEastAsia" w:hAnsiTheme="minorHAnsi" w:cstheme="minorBidi"/>
          <w:noProof/>
          <w:sz w:val="22"/>
          <w:szCs w:val="22"/>
          <w:lang w:val="en-IE" w:eastAsia="en-IE"/>
        </w:rPr>
        <w:tab/>
      </w:r>
      <w:r>
        <w:rPr>
          <w:noProof/>
        </w:rPr>
        <w:t xml:space="preserve"> Interpretation of results</w:t>
      </w:r>
      <w:r>
        <w:rPr>
          <w:noProof/>
        </w:rPr>
        <w:tab/>
      </w:r>
      <w:r>
        <w:rPr>
          <w:noProof/>
        </w:rPr>
        <w:fldChar w:fldCharType="begin"/>
      </w:r>
      <w:r>
        <w:rPr>
          <w:noProof/>
        </w:rPr>
        <w:instrText xml:space="preserve"> PAGEREF _Toc476241622 \h </w:instrText>
      </w:r>
      <w:r>
        <w:rPr>
          <w:noProof/>
        </w:rPr>
      </w:r>
      <w:r>
        <w:rPr>
          <w:noProof/>
        </w:rPr>
        <w:fldChar w:fldCharType="separate"/>
      </w:r>
      <w:r>
        <w:rPr>
          <w:noProof/>
        </w:rPr>
        <w:t>160</w:t>
      </w:r>
      <w:r>
        <w:rPr>
          <w:noProof/>
        </w:rPr>
        <w:fldChar w:fldCharType="end"/>
      </w:r>
    </w:p>
    <w:p w14:paraId="700A12F2" w14:textId="3AEEC79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6.4.8</w:t>
      </w:r>
      <w:r>
        <w:rPr>
          <w:rFonts w:asciiTheme="minorHAnsi" w:eastAsiaTheme="minorEastAsia" w:hAnsiTheme="minorHAnsi" w:cstheme="minorBidi"/>
          <w:noProof/>
          <w:sz w:val="22"/>
          <w:szCs w:val="22"/>
          <w:lang w:val="en-IE" w:eastAsia="en-IE"/>
        </w:rPr>
        <w:tab/>
      </w:r>
      <w:r>
        <w:rPr>
          <w:noProof/>
        </w:rPr>
        <w:t xml:space="preserve"> Sensitivity analyses</w:t>
      </w:r>
      <w:r>
        <w:rPr>
          <w:noProof/>
        </w:rPr>
        <w:tab/>
      </w:r>
      <w:r>
        <w:rPr>
          <w:noProof/>
        </w:rPr>
        <w:fldChar w:fldCharType="begin"/>
      </w:r>
      <w:r>
        <w:rPr>
          <w:noProof/>
        </w:rPr>
        <w:instrText xml:space="preserve"> PAGEREF _Toc476241623 \h </w:instrText>
      </w:r>
      <w:r>
        <w:rPr>
          <w:noProof/>
        </w:rPr>
      </w:r>
      <w:r>
        <w:rPr>
          <w:noProof/>
        </w:rPr>
        <w:fldChar w:fldCharType="separate"/>
      </w:r>
      <w:r>
        <w:rPr>
          <w:noProof/>
        </w:rPr>
        <w:t>160</w:t>
      </w:r>
      <w:r>
        <w:rPr>
          <w:noProof/>
        </w:rPr>
        <w:fldChar w:fldCharType="end"/>
      </w:r>
    </w:p>
    <w:p w14:paraId="4D85C5A6" w14:textId="340196D0"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6.4.9</w:t>
      </w:r>
      <w:r>
        <w:rPr>
          <w:rFonts w:asciiTheme="minorHAnsi" w:eastAsiaTheme="minorEastAsia" w:hAnsiTheme="minorHAnsi" w:cstheme="minorBidi"/>
          <w:noProof/>
          <w:sz w:val="22"/>
          <w:szCs w:val="22"/>
          <w:lang w:val="en-IE" w:eastAsia="en-IE"/>
        </w:rPr>
        <w:tab/>
      </w:r>
      <w:r>
        <w:rPr>
          <w:noProof/>
        </w:rPr>
        <w:t xml:space="preserve"> Implementation of the approach</w:t>
      </w:r>
      <w:r>
        <w:rPr>
          <w:noProof/>
        </w:rPr>
        <w:tab/>
      </w:r>
      <w:r>
        <w:rPr>
          <w:noProof/>
        </w:rPr>
        <w:fldChar w:fldCharType="begin"/>
      </w:r>
      <w:r>
        <w:rPr>
          <w:noProof/>
        </w:rPr>
        <w:instrText xml:space="preserve"> PAGEREF _Toc476241624 \h </w:instrText>
      </w:r>
      <w:r>
        <w:rPr>
          <w:noProof/>
        </w:rPr>
      </w:r>
      <w:r>
        <w:rPr>
          <w:noProof/>
        </w:rPr>
        <w:fldChar w:fldCharType="separate"/>
      </w:r>
      <w:r>
        <w:rPr>
          <w:noProof/>
        </w:rPr>
        <w:t>161</w:t>
      </w:r>
      <w:r>
        <w:rPr>
          <w:noProof/>
        </w:rPr>
        <w:fldChar w:fldCharType="end"/>
      </w:r>
    </w:p>
    <w:p w14:paraId="1FFC5556" w14:textId="6E6A515D"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6.4.10</w:t>
      </w:r>
      <w:r>
        <w:rPr>
          <w:rFonts w:asciiTheme="minorHAnsi" w:eastAsiaTheme="minorEastAsia" w:hAnsiTheme="minorHAnsi" w:cstheme="minorBidi"/>
          <w:noProof/>
          <w:sz w:val="22"/>
          <w:szCs w:val="22"/>
          <w:lang w:val="en-IE" w:eastAsia="en-IE"/>
        </w:rPr>
        <w:tab/>
      </w:r>
      <w:r>
        <w:rPr>
          <w:noProof/>
        </w:rPr>
        <w:t xml:space="preserve"> Evaluation of the approach’s ‘suitability’</w:t>
      </w:r>
      <w:r>
        <w:rPr>
          <w:noProof/>
        </w:rPr>
        <w:tab/>
      </w:r>
      <w:r>
        <w:rPr>
          <w:noProof/>
        </w:rPr>
        <w:fldChar w:fldCharType="begin"/>
      </w:r>
      <w:r>
        <w:rPr>
          <w:noProof/>
        </w:rPr>
        <w:instrText xml:space="preserve"> PAGEREF _Toc476241625 \h </w:instrText>
      </w:r>
      <w:r>
        <w:rPr>
          <w:noProof/>
        </w:rPr>
      </w:r>
      <w:r>
        <w:rPr>
          <w:noProof/>
        </w:rPr>
        <w:fldChar w:fldCharType="separate"/>
      </w:r>
      <w:r>
        <w:rPr>
          <w:noProof/>
        </w:rPr>
        <w:t>162</w:t>
      </w:r>
      <w:r>
        <w:rPr>
          <w:noProof/>
        </w:rPr>
        <w:fldChar w:fldCharType="end"/>
      </w:r>
    </w:p>
    <w:p w14:paraId="2E628A87" w14:textId="0E4C8F3C"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6.5</w:t>
      </w:r>
      <w:r>
        <w:rPr>
          <w:rFonts w:asciiTheme="minorHAnsi" w:eastAsiaTheme="minorEastAsia" w:hAnsiTheme="minorHAnsi" w:cstheme="minorBidi"/>
          <w:b w:val="0"/>
          <w:noProof/>
          <w:sz w:val="22"/>
          <w:szCs w:val="22"/>
          <w:lang w:val="en-IE" w:eastAsia="en-IE"/>
        </w:rPr>
        <w:tab/>
      </w:r>
      <w:r>
        <w:rPr>
          <w:noProof/>
        </w:rPr>
        <w:t xml:space="preserve"> Discussion</w:t>
      </w:r>
      <w:r>
        <w:rPr>
          <w:noProof/>
        </w:rPr>
        <w:tab/>
      </w:r>
      <w:r>
        <w:rPr>
          <w:noProof/>
        </w:rPr>
        <w:fldChar w:fldCharType="begin"/>
      </w:r>
      <w:r>
        <w:rPr>
          <w:noProof/>
        </w:rPr>
        <w:instrText xml:space="preserve"> PAGEREF _Toc476241626 \h </w:instrText>
      </w:r>
      <w:r>
        <w:rPr>
          <w:noProof/>
        </w:rPr>
      </w:r>
      <w:r>
        <w:rPr>
          <w:noProof/>
        </w:rPr>
        <w:fldChar w:fldCharType="separate"/>
      </w:r>
      <w:r>
        <w:rPr>
          <w:noProof/>
        </w:rPr>
        <w:t>164</w:t>
      </w:r>
      <w:r>
        <w:rPr>
          <w:noProof/>
        </w:rPr>
        <w:fldChar w:fldCharType="end"/>
      </w:r>
    </w:p>
    <w:p w14:paraId="15691F0F" w14:textId="1B2D2042"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 xml:space="preserve">6.5.1 </w:t>
      </w:r>
      <w:r>
        <w:rPr>
          <w:rFonts w:asciiTheme="minorHAnsi" w:eastAsiaTheme="minorEastAsia" w:hAnsiTheme="minorHAnsi" w:cstheme="minorBidi"/>
          <w:noProof/>
          <w:sz w:val="22"/>
          <w:szCs w:val="22"/>
          <w:lang w:val="en-IE" w:eastAsia="en-IE"/>
        </w:rPr>
        <w:tab/>
      </w:r>
      <w:r>
        <w:rPr>
          <w:noProof/>
        </w:rPr>
        <w:t>Lessons from the case study and potential use in practice</w:t>
      </w:r>
      <w:r>
        <w:rPr>
          <w:noProof/>
        </w:rPr>
        <w:tab/>
      </w:r>
      <w:r>
        <w:rPr>
          <w:noProof/>
        </w:rPr>
        <w:fldChar w:fldCharType="begin"/>
      </w:r>
      <w:r>
        <w:rPr>
          <w:noProof/>
        </w:rPr>
        <w:instrText xml:space="preserve"> PAGEREF _Toc476241627 \h </w:instrText>
      </w:r>
      <w:r>
        <w:rPr>
          <w:noProof/>
        </w:rPr>
      </w:r>
      <w:r>
        <w:rPr>
          <w:noProof/>
        </w:rPr>
        <w:fldChar w:fldCharType="separate"/>
      </w:r>
      <w:r>
        <w:rPr>
          <w:noProof/>
        </w:rPr>
        <w:t>164</w:t>
      </w:r>
      <w:r>
        <w:rPr>
          <w:noProof/>
        </w:rPr>
        <w:fldChar w:fldCharType="end"/>
      </w:r>
    </w:p>
    <w:p w14:paraId="7CD936E5" w14:textId="5763056D"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6.5.2</w:t>
      </w:r>
      <w:r>
        <w:rPr>
          <w:rFonts w:asciiTheme="minorHAnsi" w:eastAsiaTheme="minorEastAsia" w:hAnsiTheme="minorHAnsi" w:cstheme="minorBidi"/>
          <w:noProof/>
          <w:sz w:val="22"/>
          <w:szCs w:val="22"/>
          <w:lang w:val="en-IE" w:eastAsia="en-IE"/>
        </w:rPr>
        <w:tab/>
      </w:r>
      <w:r>
        <w:rPr>
          <w:noProof/>
        </w:rPr>
        <w:t xml:space="preserve"> Limitations</w:t>
      </w:r>
      <w:r>
        <w:rPr>
          <w:noProof/>
        </w:rPr>
        <w:tab/>
      </w:r>
      <w:r>
        <w:rPr>
          <w:noProof/>
        </w:rPr>
        <w:fldChar w:fldCharType="begin"/>
      </w:r>
      <w:r>
        <w:rPr>
          <w:noProof/>
        </w:rPr>
        <w:instrText xml:space="preserve"> PAGEREF _Toc476241628 \h </w:instrText>
      </w:r>
      <w:r>
        <w:rPr>
          <w:noProof/>
        </w:rPr>
      </w:r>
      <w:r>
        <w:rPr>
          <w:noProof/>
        </w:rPr>
        <w:fldChar w:fldCharType="separate"/>
      </w:r>
      <w:r>
        <w:rPr>
          <w:noProof/>
        </w:rPr>
        <w:t>166</w:t>
      </w:r>
      <w:r>
        <w:rPr>
          <w:noProof/>
        </w:rPr>
        <w:fldChar w:fldCharType="end"/>
      </w:r>
    </w:p>
    <w:p w14:paraId="341BF517" w14:textId="3FA831C0"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6.6</w:t>
      </w:r>
      <w:r>
        <w:rPr>
          <w:rFonts w:asciiTheme="minorHAnsi" w:eastAsiaTheme="minorEastAsia" w:hAnsiTheme="minorHAnsi" w:cstheme="minorBidi"/>
          <w:b w:val="0"/>
          <w:noProof/>
          <w:sz w:val="22"/>
          <w:szCs w:val="22"/>
          <w:lang w:val="en-IE" w:eastAsia="en-IE"/>
        </w:rPr>
        <w:tab/>
      </w:r>
      <w:r>
        <w:rPr>
          <w:noProof/>
        </w:rPr>
        <w:t xml:space="preserve"> Conclusions</w:t>
      </w:r>
      <w:r>
        <w:rPr>
          <w:noProof/>
        </w:rPr>
        <w:tab/>
      </w:r>
      <w:r>
        <w:rPr>
          <w:noProof/>
        </w:rPr>
        <w:fldChar w:fldCharType="begin"/>
      </w:r>
      <w:r>
        <w:rPr>
          <w:noProof/>
        </w:rPr>
        <w:instrText xml:space="preserve"> PAGEREF _Toc476241629 \h </w:instrText>
      </w:r>
      <w:r>
        <w:rPr>
          <w:noProof/>
        </w:rPr>
      </w:r>
      <w:r>
        <w:rPr>
          <w:noProof/>
        </w:rPr>
        <w:fldChar w:fldCharType="separate"/>
      </w:r>
      <w:r>
        <w:rPr>
          <w:noProof/>
        </w:rPr>
        <w:t>168</w:t>
      </w:r>
      <w:r>
        <w:rPr>
          <w:noProof/>
        </w:rPr>
        <w:fldChar w:fldCharType="end"/>
      </w:r>
    </w:p>
    <w:p w14:paraId="2F963D9C" w14:textId="5E931D74"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rPr>
        <w:t>Chapter 7 :</w:t>
      </w:r>
      <w:r>
        <w:rPr>
          <w:rFonts w:asciiTheme="minorHAnsi" w:eastAsiaTheme="minorEastAsia" w:hAnsiTheme="minorHAnsi" w:cstheme="minorBidi"/>
          <w:b w:val="0"/>
          <w:caps w:val="0"/>
          <w:noProof/>
          <w:sz w:val="22"/>
          <w:szCs w:val="22"/>
          <w:lang w:val="en-IE" w:eastAsia="en-IE"/>
        </w:rPr>
        <w:tab/>
      </w:r>
      <w:r>
        <w:rPr>
          <w:noProof/>
        </w:rPr>
        <w:t>Case study 2 – Using MCDA to inform local government investment in public health</w:t>
      </w:r>
      <w:r>
        <w:rPr>
          <w:noProof/>
        </w:rPr>
        <w:tab/>
      </w:r>
      <w:r>
        <w:rPr>
          <w:noProof/>
        </w:rPr>
        <w:fldChar w:fldCharType="begin"/>
      </w:r>
      <w:r>
        <w:rPr>
          <w:noProof/>
        </w:rPr>
        <w:instrText xml:space="preserve"> PAGEREF _Toc476241630 \h </w:instrText>
      </w:r>
      <w:r>
        <w:rPr>
          <w:noProof/>
        </w:rPr>
      </w:r>
      <w:r>
        <w:rPr>
          <w:noProof/>
        </w:rPr>
        <w:fldChar w:fldCharType="separate"/>
      </w:r>
      <w:r>
        <w:rPr>
          <w:noProof/>
        </w:rPr>
        <w:t>170</w:t>
      </w:r>
      <w:r>
        <w:rPr>
          <w:noProof/>
        </w:rPr>
        <w:fldChar w:fldCharType="end"/>
      </w:r>
    </w:p>
    <w:p w14:paraId="31C663BD" w14:textId="7780AD50"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7.1</w:t>
      </w:r>
      <w:r>
        <w:rPr>
          <w:rFonts w:asciiTheme="minorHAnsi" w:eastAsiaTheme="minorEastAsia" w:hAnsiTheme="minorHAnsi" w:cstheme="minorBidi"/>
          <w:b w:val="0"/>
          <w:noProof/>
          <w:sz w:val="22"/>
          <w:szCs w:val="22"/>
          <w:lang w:val="en-IE" w:eastAsia="en-IE"/>
        </w:rPr>
        <w:tab/>
      </w:r>
      <w:r>
        <w:rPr>
          <w:noProof/>
        </w:rPr>
        <w:t xml:space="preserve"> Introduction</w:t>
      </w:r>
      <w:r>
        <w:rPr>
          <w:noProof/>
        </w:rPr>
        <w:tab/>
      </w:r>
      <w:r>
        <w:rPr>
          <w:noProof/>
        </w:rPr>
        <w:fldChar w:fldCharType="begin"/>
      </w:r>
      <w:r>
        <w:rPr>
          <w:noProof/>
        </w:rPr>
        <w:instrText xml:space="preserve"> PAGEREF _Toc476241631 \h </w:instrText>
      </w:r>
      <w:r>
        <w:rPr>
          <w:noProof/>
        </w:rPr>
      </w:r>
      <w:r>
        <w:rPr>
          <w:noProof/>
        </w:rPr>
        <w:fldChar w:fldCharType="separate"/>
      </w:r>
      <w:r>
        <w:rPr>
          <w:noProof/>
        </w:rPr>
        <w:t>170</w:t>
      </w:r>
      <w:r>
        <w:rPr>
          <w:noProof/>
        </w:rPr>
        <w:fldChar w:fldCharType="end"/>
      </w:r>
    </w:p>
    <w:p w14:paraId="22ED09E0" w14:textId="0CB0E087"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 xml:space="preserve">7.2 </w:t>
      </w:r>
      <w:r>
        <w:rPr>
          <w:rFonts w:asciiTheme="minorHAnsi" w:eastAsiaTheme="minorEastAsia" w:hAnsiTheme="minorHAnsi" w:cstheme="minorBidi"/>
          <w:b w:val="0"/>
          <w:noProof/>
          <w:sz w:val="22"/>
          <w:szCs w:val="22"/>
          <w:lang w:val="en-IE" w:eastAsia="en-IE"/>
        </w:rPr>
        <w:tab/>
      </w:r>
      <w:r>
        <w:rPr>
          <w:noProof/>
        </w:rPr>
        <w:t>Background</w:t>
      </w:r>
      <w:r>
        <w:rPr>
          <w:noProof/>
        </w:rPr>
        <w:tab/>
      </w:r>
      <w:r>
        <w:rPr>
          <w:noProof/>
        </w:rPr>
        <w:fldChar w:fldCharType="begin"/>
      </w:r>
      <w:r>
        <w:rPr>
          <w:noProof/>
        </w:rPr>
        <w:instrText xml:space="preserve"> PAGEREF _Toc476241632 \h </w:instrText>
      </w:r>
      <w:r>
        <w:rPr>
          <w:noProof/>
        </w:rPr>
      </w:r>
      <w:r>
        <w:rPr>
          <w:noProof/>
        </w:rPr>
        <w:fldChar w:fldCharType="separate"/>
      </w:r>
      <w:r>
        <w:rPr>
          <w:noProof/>
        </w:rPr>
        <w:t>171</w:t>
      </w:r>
      <w:r>
        <w:rPr>
          <w:noProof/>
        </w:rPr>
        <w:fldChar w:fldCharType="end"/>
      </w:r>
    </w:p>
    <w:p w14:paraId="7AA0A366" w14:textId="04944289"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7.3</w:t>
      </w:r>
      <w:r>
        <w:rPr>
          <w:rFonts w:asciiTheme="minorHAnsi" w:eastAsiaTheme="minorEastAsia" w:hAnsiTheme="minorHAnsi" w:cstheme="minorBidi"/>
          <w:b w:val="0"/>
          <w:noProof/>
          <w:sz w:val="22"/>
          <w:szCs w:val="22"/>
          <w:lang w:val="en-IE" w:eastAsia="en-IE"/>
        </w:rPr>
        <w:tab/>
      </w:r>
      <w:r>
        <w:rPr>
          <w:noProof/>
        </w:rPr>
        <w:t xml:space="preserve"> Objectives</w:t>
      </w:r>
      <w:r>
        <w:rPr>
          <w:noProof/>
        </w:rPr>
        <w:tab/>
      </w:r>
      <w:r>
        <w:rPr>
          <w:noProof/>
        </w:rPr>
        <w:fldChar w:fldCharType="begin"/>
      </w:r>
      <w:r>
        <w:rPr>
          <w:noProof/>
        </w:rPr>
        <w:instrText xml:space="preserve"> PAGEREF _Toc476241633 \h </w:instrText>
      </w:r>
      <w:r>
        <w:rPr>
          <w:noProof/>
        </w:rPr>
      </w:r>
      <w:r>
        <w:rPr>
          <w:noProof/>
        </w:rPr>
        <w:fldChar w:fldCharType="separate"/>
      </w:r>
      <w:r>
        <w:rPr>
          <w:noProof/>
        </w:rPr>
        <w:t>172</w:t>
      </w:r>
      <w:r>
        <w:rPr>
          <w:noProof/>
        </w:rPr>
        <w:fldChar w:fldCharType="end"/>
      </w:r>
    </w:p>
    <w:p w14:paraId="7FA975C3" w14:textId="32682867"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7.4</w:t>
      </w:r>
      <w:r>
        <w:rPr>
          <w:rFonts w:asciiTheme="minorHAnsi" w:eastAsiaTheme="minorEastAsia" w:hAnsiTheme="minorHAnsi" w:cstheme="minorBidi"/>
          <w:b w:val="0"/>
          <w:noProof/>
          <w:sz w:val="22"/>
          <w:szCs w:val="22"/>
          <w:lang w:val="en-IE" w:eastAsia="en-IE"/>
        </w:rPr>
        <w:tab/>
      </w:r>
      <w:r>
        <w:rPr>
          <w:noProof/>
        </w:rPr>
        <w:t xml:space="preserve"> Methods</w:t>
      </w:r>
      <w:r>
        <w:rPr>
          <w:noProof/>
        </w:rPr>
        <w:tab/>
      </w:r>
      <w:r>
        <w:rPr>
          <w:noProof/>
        </w:rPr>
        <w:fldChar w:fldCharType="begin"/>
      </w:r>
      <w:r>
        <w:rPr>
          <w:noProof/>
        </w:rPr>
        <w:instrText xml:space="preserve"> PAGEREF _Toc476241634 \h </w:instrText>
      </w:r>
      <w:r>
        <w:rPr>
          <w:noProof/>
        </w:rPr>
      </w:r>
      <w:r>
        <w:rPr>
          <w:noProof/>
        </w:rPr>
        <w:fldChar w:fldCharType="separate"/>
      </w:r>
      <w:r>
        <w:rPr>
          <w:noProof/>
        </w:rPr>
        <w:t>173</w:t>
      </w:r>
      <w:r>
        <w:rPr>
          <w:noProof/>
        </w:rPr>
        <w:fldChar w:fldCharType="end"/>
      </w:r>
    </w:p>
    <w:p w14:paraId="2317C7D5" w14:textId="753B4869"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7.4.1</w:t>
      </w:r>
      <w:r>
        <w:rPr>
          <w:rFonts w:asciiTheme="minorHAnsi" w:eastAsiaTheme="minorEastAsia" w:hAnsiTheme="minorHAnsi" w:cstheme="minorBidi"/>
          <w:noProof/>
          <w:sz w:val="22"/>
          <w:szCs w:val="22"/>
          <w:lang w:val="en-IE" w:eastAsia="en-IE"/>
        </w:rPr>
        <w:tab/>
      </w:r>
      <w:r>
        <w:rPr>
          <w:noProof/>
        </w:rPr>
        <w:t xml:space="preserve"> Establishing decision context</w:t>
      </w:r>
      <w:r>
        <w:rPr>
          <w:noProof/>
        </w:rPr>
        <w:tab/>
      </w:r>
      <w:r>
        <w:rPr>
          <w:noProof/>
        </w:rPr>
        <w:fldChar w:fldCharType="begin"/>
      </w:r>
      <w:r>
        <w:rPr>
          <w:noProof/>
        </w:rPr>
        <w:instrText xml:space="preserve"> PAGEREF _Toc476241635 \h </w:instrText>
      </w:r>
      <w:r>
        <w:rPr>
          <w:noProof/>
        </w:rPr>
      </w:r>
      <w:r>
        <w:rPr>
          <w:noProof/>
        </w:rPr>
        <w:fldChar w:fldCharType="separate"/>
      </w:r>
      <w:r>
        <w:rPr>
          <w:noProof/>
        </w:rPr>
        <w:t>175</w:t>
      </w:r>
      <w:r>
        <w:rPr>
          <w:noProof/>
        </w:rPr>
        <w:fldChar w:fldCharType="end"/>
      </w:r>
    </w:p>
    <w:p w14:paraId="6259F1F2" w14:textId="3C7166C2"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7.4.1.1</w:t>
      </w:r>
      <w:r>
        <w:rPr>
          <w:rFonts w:asciiTheme="minorHAnsi" w:eastAsiaTheme="minorEastAsia" w:hAnsiTheme="minorHAnsi" w:cstheme="minorBidi"/>
          <w:noProof/>
          <w:sz w:val="22"/>
          <w:szCs w:val="22"/>
          <w:lang w:val="en-IE" w:eastAsia="en-IE"/>
        </w:rPr>
        <w:tab/>
      </w:r>
      <w:r>
        <w:rPr>
          <w:noProof/>
        </w:rPr>
        <w:t xml:space="preserve"> Matching MCDA technique with nature of the problem</w:t>
      </w:r>
      <w:r>
        <w:rPr>
          <w:noProof/>
        </w:rPr>
        <w:tab/>
      </w:r>
      <w:r>
        <w:rPr>
          <w:noProof/>
        </w:rPr>
        <w:fldChar w:fldCharType="begin"/>
      </w:r>
      <w:r>
        <w:rPr>
          <w:noProof/>
        </w:rPr>
        <w:instrText xml:space="preserve"> PAGEREF _Toc476241636 \h </w:instrText>
      </w:r>
      <w:r>
        <w:rPr>
          <w:noProof/>
        </w:rPr>
      </w:r>
      <w:r>
        <w:rPr>
          <w:noProof/>
        </w:rPr>
        <w:fldChar w:fldCharType="separate"/>
      </w:r>
      <w:r>
        <w:rPr>
          <w:noProof/>
        </w:rPr>
        <w:t>175</w:t>
      </w:r>
      <w:r>
        <w:rPr>
          <w:noProof/>
        </w:rPr>
        <w:fldChar w:fldCharType="end"/>
      </w:r>
    </w:p>
    <w:p w14:paraId="2FA3BA44" w14:textId="7785202F" w:rsidR="00E516A2" w:rsidRDefault="00E516A2">
      <w:pPr>
        <w:pStyle w:val="TOC4"/>
        <w:tabs>
          <w:tab w:val="left" w:pos="1540"/>
          <w:tab w:val="right" w:leader="dot" w:pos="9016"/>
        </w:tabs>
        <w:rPr>
          <w:rFonts w:asciiTheme="minorHAnsi" w:eastAsiaTheme="minorEastAsia" w:hAnsiTheme="minorHAnsi" w:cstheme="minorBidi"/>
          <w:noProof/>
          <w:sz w:val="22"/>
          <w:szCs w:val="22"/>
          <w:lang w:val="en-IE" w:eastAsia="en-IE"/>
        </w:rPr>
      </w:pPr>
      <w:r>
        <w:rPr>
          <w:noProof/>
        </w:rPr>
        <w:t xml:space="preserve">7.4.1.2 </w:t>
      </w:r>
      <w:r>
        <w:rPr>
          <w:rFonts w:asciiTheme="minorHAnsi" w:eastAsiaTheme="minorEastAsia" w:hAnsiTheme="minorHAnsi" w:cstheme="minorBidi"/>
          <w:noProof/>
          <w:sz w:val="22"/>
          <w:szCs w:val="22"/>
          <w:lang w:val="en-IE" w:eastAsia="en-IE"/>
        </w:rPr>
        <w:tab/>
      </w:r>
      <w:r>
        <w:rPr>
          <w:noProof/>
        </w:rPr>
        <w:t>Identification of relevant stakeholders</w:t>
      </w:r>
      <w:r>
        <w:rPr>
          <w:noProof/>
        </w:rPr>
        <w:tab/>
      </w:r>
      <w:r>
        <w:rPr>
          <w:noProof/>
        </w:rPr>
        <w:fldChar w:fldCharType="begin"/>
      </w:r>
      <w:r>
        <w:rPr>
          <w:noProof/>
        </w:rPr>
        <w:instrText xml:space="preserve"> PAGEREF _Toc476241637 \h </w:instrText>
      </w:r>
      <w:r>
        <w:rPr>
          <w:noProof/>
        </w:rPr>
      </w:r>
      <w:r>
        <w:rPr>
          <w:noProof/>
        </w:rPr>
        <w:fldChar w:fldCharType="separate"/>
      </w:r>
      <w:r>
        <w:rPr>
          <w:noProof/>
        </w:rPr>
        <w:t>177</w:t>
      </w:r>
      <w:r>
        <w:rPr>
          <w:noProof/>
        </w:rPr>
        <w:fldChar w:fldCharType="end"/>
      </w:r>
    </w:p>
    <w:p w14:paraId="372D8504" w14:textId="6A2A9FEB"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7.4.2</w:t>
      </w:r>
      <w:r>
        <w:rPr>
          <w:rFonts w:asciiTheme="minorHAnsi" w:eastAsiaTheme="minorEastAsia" w:hAnsiTheme="minorHAnsi" w:cstheme="minorBidi"/>
          <w:noProof/>
          <w:sz w:val="22"/>
          <w:szCs w:val="22"/>
          <w:lang w:val="en-IE" w:eastAsia="en-IE"/>
        </w:rPr>
        <w:tab/>
      </w:r>
      <w:r>
        <w:rPr>
          <w:noProof/>
        </w:rPr>
        <w:t xml:space="preserve"> Choice of interventions to consider</w:t>
      </w:r>
      <w:r>
        <w:rPr>
          <w:noProof/>
        </w:rPr>
        <w:tab/>
      </w:r>
      <w:r>
        <w:rPr>
          <w:noProof/>
        </w:rPr>
        <w:fldChar w:fldCharType="begin"/>
      </w:r>
      <w:r>
        <w:rPr>
          <w:noProof/>
        </w:rPr>
        <w:instrText xml:space="preserve"> PAGEREF _Toc476241638 \h </w:instrText>
      </w:r>
      <w:r>
        <w:rPr>
          <w:noProof/>
        </w:rPr>
      </w:r>
      <w:r>
        <w:rPr>
          <w:noProof/>
        </w:rPr>
        <w:fldChar w:fldCharType="separate"/>
      </w:r>
      <w:r>
        <w:rPr>
          <w:noProof/>
        </w:rPr>
        <w:t>177</w:t>
      </w:r>
      <w:r>
        <w:rPr>
          <w:noProof/>
        </w:rPr>
        <w:fldChar w:fldCharType="end"/>
      </w:r>
    </w:p>
    <w:p w14:paraId="6854BAC6" w14:textId="157FE409"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7.4.3</w:t>
      </w:r>
      <w:r>
        <w:rPr>
          <w:rFonts w:asciiTheme="minorHAnsi" w:eastAsiaTheme="minorEastAsia" w:hAnsiTheme="minorHAnsi" w:cstheme="minorBidi"/>
          <w:noProof/>
          <w:sz w:val="22"/>
          <w:szCs w:val="22"/>
          <w:lang w:val="en-IE" w:eastAsia="en-IE"/>
        </w:rPr>
        <w:tab/>
      </w:r>
      <w:r>
        <w:rPr>
          <w:noProof/>
        </w:rPr>
        <w:t xml:space="preserve"> Choosing relevant criteria</w:t>
      </w:r>
      <w:r>
        <w:rPr>
          <w:noProof/>
        </w:rPr>
        <w:tab/>
      </w:r>
      <w:r>
        <w:rPr>
          <w:noProof/>
        </w:rPr>
        <w:fldChar w:fldCharType="begin"/>
      </w:r>
      <w:r>
        <w:rPr>
          <w:noProof/>
        </w:rPr>
        <w:instrText xml:space="preserve"> PAGEREF _Toc476241639 \h </w:instrText>
      </w:r>
      <w:r>
        <w:rPr>
          <w:noProof/>
        </w:rPr>
      </w:r>
      <w:r>
        <w:rPr>
          <w:noProof/>
        </w:rPr>
        <w:fldChar w:fldCharType="separate"/>
      </w:r>
      <w:r>
        <w:rPr>
          <w:noProof/>
        </w:rPr>
        <w:t>177</w:t>
      </w:r>
      <w:r>
        <w:rPr>
          <w:noProof/>
        </w:rPr>
        <w:fldChar w:fldCharType="end"/>
      </w:r>
    </w:p>
    <w:p w14:paraId="158E3358" w14:textId="71EE8FB4"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7.4.4</w:t>
      </w:r>
      <w:r>
        <w:rPr>
          <w:rFonts w:asciiTheme="minorHAnsi" w:eastAsiaTheme="minorEastAsia" w:hAnsiTheme="minorHAnsi" w:cstheme="minorBidi"/>
          <w:noProof/>
          <w:sz w:val="22"/>
          <w:szCs w:val="22"/>
          <w:lang w:val="en-IE" w:eastAsia="en-IE"/>
        </w:rPr>
        <w:tab/>
      </w:r>
      <w:r>
        <w:rPr>
          <w:noProof/>
        </w:rPr>
        <w:t xml:space="preserve"> Weighting criteria</w:t>
      </w:r>
      <w:r>
        <w:rPr>
          <w:noProof/>
        </w:rPr>
        <w:tab/>
      </w:r>
      <w:r>
        <w:rPr>
          <w:noProof/>
        </w:rPr>
        <w:fldChar w:fldCharType="begin"/>
      </w:r>
      <w:r>
        <w:rPr>
          <w:noProof/>
        </w:rPr>
        <w:instrText xml:space="preserve"> PAGEREF _Toc476241640 \h </w:instrText>
      </w:r>
      <w:r>
        <w:rPr>
          <w:noProof/>
        </w:rPr>
      </w:r>
      <w:r>
        <w:rPr>
          <w:noProof/>
        </w:rPr>
        <w:fldChar w:fldCharType="separate"/>
      </w:r>
      <w:r>
        <w:rPr>
          <w:noProof/>
        </w:rPr>
        <w:t>181</w:t>
      </w:r>
      <w:r>
        <w:rPr>
          <w:noProof/>
        </w:rPr>
        <w:fldChar w:fldCharType="end"/>
      </w:r>
    </w:p>
    <w:p w14:paraId="0B5482A6" w14:textId="2938FABB"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7.4.5</w:t>
      </w:r>
      <w:r>
        <w:rPr>
          <w:rFonts w:asciiTheme="minorHAnsi" w:eastAsiaTheme="minorEastAsia" w:hAnsiTheme="minorHAnsi" w:cstheme="minorBidi"/>
          <w:noProof/>
          <w:sz w:val="22"/>
          <w:szCs w:val="22"/>
          <w:lang w:val="en-IE" w:eastAsia="en-IE"/>
        </w:rPr>
        <w:tab/>
      </w:r>
      <w:r>
        <w:rPr>
          <w:noProof/>
        </w:rPr>
        <w:t xml:space="preserve"> Assessing likely performance of alternatives on criteria</w:t>
      </w:r>
      <w:r>
        <w:rPr>
          <w:noProof/>
        </w:rPr>
        <w:tab/>
      </w:r>
      <w:r>
        <w:rPr>
          <w:noProof/>
        </w:rPr>
        <w:fldChar w:fldCharType="begin"/>
      </w:r>
      <w:r>
        <w:rPr>
          <w:noProof/>
        </w:rPr>
        <w:instrText xml:space="preserve"> PAGEREF _Toc476241641 \h </w:instrText>
      </w:r>
      <w:r>
        <w:rPr>
          <w:noProof/>
        </w:rPr>
      </w:r>
      <w:r>
        <w:rPr>
          <w:noProof/>
        </w:rPr>
        <w:fldChar w:fldCharType="separate"/>
      </w:r>
      <w:r>
        <w:rPr>
          <w:noProof/>
        </w:rPr>
        <w:t>182</w:t>
      </w:r>
      <w:r>
        <w:rPr>
          <w:noProof/>
        </w:rPr>
        <w:fldChar w:fldCharType="end"/>
      </w:r>
    </w:p>
    <w:p w14:paraId="4424DF50" w14:textId="7BC28940"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7.4.6</w:t>
      </w:r>
      <w:r>
        <w:rPr>
          <w:rFonts w:asciiTheme="minorHAnsi" w:eastAsiaTheme="minorEastAsia" w:hAnsiTheme="minorHAnsi" w:cstheme="minorBidi"/>
          <w:noProof/>
          <w:sz w:val="22"/>
          <w:szCs w:val="22"/>
          <w:lang w:val="en-IE" w:eastAsia="en-IE"/>
        </w:rPr>
        <w:tab/>
      </w:r>
      <w:r>
        <w:rPr>
          <w:noProof/>
        </w:rPr>
        <w:t xml:space="preserve"> Aggregation of results</w:t>
      </w:r>
      <w:r>
        <w:rPr>
          <w:noProof/>
        </w:rPr>
        <w:tab/>
      </w:r>
      <w:r>
        <w:rPr>
          <w:noProof/>
        </w:rPr>
        <w:fldChar w:fldCharType="begin"/>
      </w:r>
      <w:r>
        <w:rPr>
          <w:noProof/>
        </w:rPr>
        <w:instrText xml:space="preserve"> PAGEREF _Toc476241642 \h </w:instrText>
      </w:r>
      <w:r>
        <w:rPr>
          <w:noProof/>
        </w:rPr>
      </w:r>
      <w:r>
        <w:rPr>
          <w:noProof/>
        </w:rPr>
        <w:fldChar w:fldCharType="separate"/>
      </w:r>
      <w:r>
        <w:rPr>
          <w:noProof/>
        </w:rPr>
        <w:t>184</w:t>
      </w:r>
      <w:r>
        <w:rPr>
          <w:noProof/>
        </w:rPr>
        <w:fldChar w:fldCharType="end"/>
      </w:r>
    </w:p>
    <w:p w14:paraId="5597E511" w14:textId="4B722469"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7.4.7</w:t>
      </w:r>
      <w:r>
        <w:rPr>
          <w:rFonts w:asciiTheme="minorHAnsi" w:eastAsiaTheme="minorEastAsia" w:hAnsiTheme="minorHAnsi" w:cstheme="minorBidi"/>
          <w:noProof/>
          <w:sz w:val="22"/>
          <w:szCs w:val="22"/>
          <w:lang w:val="en-IE" w:eastAsia="en-IE"/>
        </w:rPr>
        <w:tab/>
      </w:r>
      <w:r>
        <w:rPr>
          <w:noProof/>
        </w:rPr>
        <w:t xml:space="preserve"> Examination of results</w:t>
      </w:r>
      <w:r>
        <w:rPr>
          <w:noProof/>
        </w:rPr>
        <w:tab/>
      </w:r>
      <w:r>
        <w:rPr>
          <w:noProof/>
        </w:rPr>
        <w:fldChar w:fldCharType="begin"/>
      </w:r>
      <w:r>
        <w:rPr>
          <w:noProof/>
        </w:rPr>
        <w:instrText xml:space="preserve"> PAGEREF _Toc476241643 \h </w:instrText>
      </w:r>
      <w:r>
        <w:rPr>
          <w:noProof/>
        </w:rPr>
      </w:r>
      <w:r>
        <w:rPr>
          <w:noProof/>
        </w:rPr>
        <w:fldChar w:fldCharType="separate"/>
      </w:r>
      <w:r>
        <w:rPr>
          <w:noProof/>
        </w:rPr>
        <w:t>184</w:t>
      </w:r>
      <w:r>
        <w:rPr>
          <w:noProof/>
        </w:rPr>
        <w:fldChar w:fldCharType="end"/>
      </w:r>
    </w:p>
    <w:p w14:paraId="3F3B9152" w14:textId="1223E05B"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7.4.8</w:t>
      </w:r>
      <w:r>
        <w:rPr>
          <w:rFonts w:asciiTheme="minorHAnsi" w:eastAsiaTheme="minorEastAsia" w:hAnsiTheme="minorHAnsi" w:cstheme="minorBidi"/>
          <w:noProof/>
          <w:sz w:val="22"/>
          <w:szCs w:val="22"/>
          <w:lang w:val="en-IE" w:eastAsia="en-IE"/>
        </w:rPr>
        <w:tab/>
      </w:r>
      <w:r>
        <w:rPr>
          <w:noProof/>
        </w:rPr>
        <w:t xml:space="preserve"> Sensitivity analysis and scenario planning</w:t>
      </w:r>
      <w:r>
        <w:rPr>
          <w:noProof/>
        </w:rPr>
        <w:tab/>
      </w:r>
      <w:r>
        <w:rPr>
          <w:noProof/>
        </w:rPr>
        <w:fldChar w:fldCharType="begin"/>
      </w:r>
      <w:r>
        <w:rPr>
          <w:noProof/>
        </w:rPr>
        <w:instrText xml:space="preserve"> PAGEREF _Toc476241644 \h </w:instrText>
      </w:r>
      <w:r>
        <w:rPr>
          <w:noProof/>
        </w:rPr>
      </w:r>
      <w:r>
        <w:rPr>
          <w:noProof/>
        </w:rPr>
        <w:fldChar w:fldCharType="separate"/>
      </w:r>
      <w:r>
        <w:rPr>
          <w:noProof/>
        </w:rPr>
        <w:t>185</w:t>
      </w:r>
      <w:r>
        <w:rPr>
          <w:noProof/>
        </w:rPr>
        <w:fldChar w:fldCharType="end"/>
      </w:r>
    </w:p>
    <w:p w14:paraId="6B42CFF4" w14:textId="39ECD5D1"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7.4.9</w:t>
      </w:r>
      <w:r>
        <w:rPr>
          <w:rFonts w:asciiTheme="minorHAnsi" w:eastAsiaTheme="minorEastAsia" w:hAnsiTheme="minorHAnsi" w:cstheme="minorBidi"/>
          <w:noProof/>
          <w:sz w:val="22"/>
          <w:szCs w:val="22"/>
          <w:lang w:val="en-IE" w:eastAsia="en-IE"/>
        </w:rPr>
        <w:tab/>
      </w:r>
      <w:r>
        <w:rPr>
          <w:noProof/>
        </w:rPr>
        <w:t xml:space="preserve"> Implementing findings</w:t>
      </w:r>
      <w:r>
        <w:rPr>
          <w:noProof/>
        </w:rPr>
        <w:tab/>
      </w:r>
      <w:r>
        <w:rPr>
          <w:noProof/>
        </w:rPr>
        <w:fldChar w:fldCharType="begin"/>
      </w:r>
      <w:r>
        <w:rPr>
          <w:noProof/>
        </w:rPr>
        <w:instrText xml:space="preserve"> PAGEREF _Toc476241645 \h </w:instrText>
      </w:r>
      <w:r>
        <w:rPr>
          <w:noProof/>
        </w:rPr>
      </w:r>
      <w:r>
        <w:rPr>
          <w:noProof/>
        </w:rPr>
        <w:fldChar w:fldCharType="separate"/>
      </w:r>
      <w:r>
        <w:rPr>
          <w:noProof/>
        </w:rPr>
        <w:t>186</w:t>
      </w:r>
      <w:r>
        <w:rPr>
          <w:noProof/>
        </w:rPr>
        <w:fldChar w:fldCharType="end"/>
      </w:r>
    </w:p>
    <w:p w14:paraId="7D30A352" w14:textId="482248FF"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7.4.10</w:t>
      </w:r>
      <w:r>
        <w:rPr>
          <w:rFonts w:asciiTheme="minorHAnsi" w:eastAsiaTheme="minorEastAsia" w:hAnsiTheme="minorHAnsi" w:cstheme="minorBidi"/>
          <w:noProof/>
          <w:sz w:val="22"/>
          <w:szCs w:val="22"/>
          <w:lang w:val="en-IE" w:eastAsia="en-IE"/>
        </w:rPr>
        <w:tab/>
      </w:r>
      <w:r>
        <w:rPr>
          <w:noProof/>
        </w:rPr>
        <w:t xml:space="preserve"> Evaluation</w:t>
      </w:r>
      <w:r>
        <w:rPr>
          <w:noProof/>
        </w:rPr>
        <w:tab/>
      </w:r>
      <w:r>
        <w:rPr>
          <w:noProof/>
        </w:rPr>
        <w:fldChar w:fldCharType="begin"/>
      </w:r>
      <w:r>
        <w:rPr>
          <w:noProof/>
        </w:rPr>
        <w:instrText xml:space="preserve"> PAGEREF _Toc476241646 \h </w:instrText>
      </w:r>
      <w:r>
        <w:rPr>
          <w:noProof/>
        </w:rPr>
      </w:r>
      <w:r>
        <w:rPr>
          <w:noProof/>
        </w:rPr>
        <w:fldChar w:fldCharType="separate"/>
      </w:r>
      <w:r>
        <w:rPr>
          <w:noProof/>
        </w:rPr>
        <w:t>187</w:t>
      </w:r>
      <w:r>
        <w:rPr>
          <w:noProof/>
        </w:rPr>
        <w:fldChar w:fldCharType="end"/>
      </w:r>
    </w:p>
    <w:p w14:paraId="4DF67F58" w14:textId="39C58183"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7.5</w:t>
      </w:r>
      <w:r>
        <w:rPr>
          <w:rFonts w:asciiTheme="minorHAnsi" w:eastAsiaTheme="minorEastAsia" w:hAnsiTheme="minorHAnsi" w:cstheme="minorBidi"/>
          <w:b w:val="0"/>
          <w:noProof/>
          <w:sz w:val="22"/>
          <w:szCs w:val="22"/>
          <w:lang w:val="en-IE" w:eastAsia="en-IE"/>
        </w:rPr>
        <w:tab/>
      </w:r>
      <w:r>
        <w:rPr>
          <w:noProof/>
        </w:rPr>
        <w:t xml:space="preserve"> Discussion</w:t>
      </w:r>
      <w:r>
        <w:rPr>
          <w:noProof/>
        </w:rPr>
        <w:tab/>
      </w:r>
      <w:r>
        <w:rPr>
          <w:noProof/>
        </w:rPr>
        <w:fldChar w:fldCharType="begin"/>
      </w:r>
      <w:r>
        <w:rPr>
          <w:noProof/>
        </w:rPr>
        <w:instrText xml:space="preserve"> PAGEREF _Toc476241647 \h </w:instrText>
      </w:r>
      <w:r>
        <w:rPr>
          <w:noProof/>
        </w:rPr>
      </w:r>
      <w:r>
        <w:rPr>
          <w:noProof/>
        </w:rPr>
        <w:fldChar w:fldCharType="separate"/>
      </w:r>
      <w:r>
        <w:rPr>
          <w:noProof/>
        </w:rPr>
        <w:t>188</w:t>
      </w:r>
      <w:r>
        <w:rPr>
          <w:noProof/>
        </w:rPr>
        <w:fldChar w:fldCharType="end"/>
      </w:r>
    </w:p>
    <w:p w14:paraId="048024DF" w14:textId="32C90DA7"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7.5.1</w:t>
      </w:r>
      <w:r>
        <w:rPr>
          <w:rFonts w:asciiTheme="minorHAnsi" w:eastAsiaTheme="minorEastAsia" w:hAnsiTheme="minorHAnsi" w:cstheme="minorBidi"/>
          <w:noProof/>
          <w:sz w:val="22"/>
          <w:szCs w:val="22"/>
          <w:lang w:val="en-IE" w:eastAsia="en-IE"/>
        </w:rPr>
        <w:tab/>
      </w:r>
      <w:r>
        <w:rPr>
          <w:noProof/>
        </w:rPr>
        <w:t xml:space="preserve"> Limitations of this study</w:t>
      </w:r>
      <w:r>
        <w:rPr>
          <w:noProof/>
        </w:rPr>
        <w:tab/>
      </w:r>
      <w:r>
        <w:rPr>
          <w:noProof/>
        </w:rPr>
        <w:fldChar w:fldCharType="begin"/>
      </w:r>
      <w:r>
        <w:rPr>
          <w:noProof/>
        </w:rPr>
        <w:instrText xml:space="preserve"> PAGEREF _Toc476241648 \h </w:instrText>
      </w:r>
      <w:r>
        <w:rPr>
          <w:noProof/>
        </w:rPr>
      </w:r>
      <w:r>
        <w:rPr>
          <w:noProof/>
        </w:rPr>
        <w:fldChar w:fldCharType="separate"/>
      </w:r>
      <w:r>
        <w:rPr>
          <w:noProof/>
        </w:rPr>
        <w:t>191</w:t>
      </w:r>
      <w:r>
        <w:rPr>
          <w:noProof/>
        </w:rPr>
        <w:fldChar w:fldCharType="end"/>
      </w:r>
    </w:p>
    <w:p w14:paraId="43132094" w14:textId="1691792E"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7.6</w:t>
      </w:r>
      <w:r>
        <w:rPr>
          <w:rFonts w:asciiTheme="minorHAnsi" w:eastAsiaTheme="minorEastAsia" w:hAnsiTheme="minorHAnsi" w:cstheme="minorBidi"/>
          <w:b w:val="0"/>
          <w:noProof/>
          <w:sz w:val="22"/>
          <w:szCs w:val="22"/>
          <w:lang w:val="en-IE" w:eastAsia="en-IE"/>
        </w:rPr>
        <w:tab/>
      </w:r>
      <w:r>
        <w:rPr>
          <w:noProof/>
        </w:rPr>
        <w:t xml:space="preserve"> Conclusions</w:t>
      </w:r>
      <w:r>
        <w:rPr>
          <w:noProof/>
        </w:rPr>
        <w:tab/>
      </w:r>
      <w:r>
        <w:rPr>
          <w:noProof/>
        </w:rPr>
        <w:fldChar w:fldCharType="begin"/>
      </w:r>
      <w:r>
        <w:rPr>
          <w:noProof/>
        </w:rPr>
        <w:instrText xml:space="preserve"> PAGEREF _Toc476241649 \h </w:instrText>
      </w:r>
      <w:r>
        <w:rPr>
          <w:noProof/>
        </w:rPr>
      </w:r>
      <w:r>
        <w:rPr>
          <w:noProof/>
        </w:rPr>
        <w:fldChar w:fldCharType="separate"/>
      </w:r>
      <w:r>
        <w:rPr>
          <w:noProof/>
        </w:rPr>
        <w:t>192</w:t>
      </w:r>
      <w:r>
        <w:rPr>
          <w:noProof/>
        </w:rPr>
        <w:fldChar w:fldCharType="end"/>
      </w:r>
    </w:p>
    <w:p w14:paraId="4FD5B5FE" w14:textId="412C66A4" w:rsidR="00E516A2" w:rsidRDefault="00E516A2">
      <w:pPr>
        <w:pStyle w:val="TOC1"/>
        <w:tabs>
          <w:tab w:val="left" w:pos="1540"/>
          <w:tab w:val="right" w:leader="dot" w:pos="9016"/>
        </w:tabs>
        <w:rPr>
          <w:rFonts w:asciiTheme="minorHAnsi" w:eastAsiaTheme="minorEastAsia" w:hAnsiTheme="minorHAnsi" w:cstheme="minorBidi"/>
          <w:b w:val="0"/>
          <w:caps w:val="0"/>
          <w:noProof/>
          <w:sz w:val="22"/>
          <w:szCs w:val="22"/>
          <w:lang w:val="en-IE" w:eastAsia="en-IE"/>
        </w:rPr>
      </w:pPr>
      <w:r>
        <w:rPr>
          <w:noProof/>
        </w:rPr>
        <w:t xml:space="preserve">Chapter 8 : </w:t>
      </w:r>
      <w:r>
        <w:rPr>
          <w:rFonts w:asciiTheme="minorHAnsi" w:eastAsiaTheme="minorEastAsia" w:hAnsiTheme="minorHAnsi" w:cstheme="minorBidi"/>
          <w:b w:val="0"/>
          <w:caps w:val="0"/>
          <w:noProof/>
          <w:sz w:val="22"/>
          <w:szCs w:val="22"/>
          <w:lang w:val="en-IE" w:eastAsia="en-IE"/>
        </w:rPr>
        <w:tab/>
      </w:r>
      <w:r>
        <w:rPr>
          <w:noProof/>
        </w:rPr>
        <w:t>Discussion</w:t>
      </w:r>
      <w:r>
        <w:rPr>
          <w:noProof/>
        </w:rPr>
        <w:tab/>
      </w:r>
      <w:r>
        <w:rPr>
          <w:noProof/>
        </w:rPr>
        <w:fldChar w:fldCharType="begin"/>
      </w:r>
      <w:r>
        <w:rPr>
          <w:noProof/>
        </w:rPr>
        <w:instrText xml:space="preserve"> PAGEREF _Toc476241650 \h </w:instrText>
      </w:r>
      <w:r>
        <w:rPr>
          <w:noProof/>
        </w:rPr>
      </w:r>
      <w:r>
        <w:rPr>
          <w:noProof/>
        </w:rPr>
        <w:fldChar w:fldCharType="separate"/>
      </w:r>
      <w:r>
        <w:rPr>
          <w:noProof/>
        </w:rPr>
        <w:t>194</w:t>
      </w:r>
      <w:r>
        <w:rPr>
          <w:noProof/>
        </w:rPr>
        <w:fldChar w:fldCharType="end"/>
      </w:r>
    </w:p>
    <w:p w14:paraId="54B39E26" w14:textId="13F37F33"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8.1</w:t>
      </w:r>
      <w:r>
        <w:rPr>
          <w:rFonts w:asciiTheme="minorHAnsi" w:eastAsiaTheme="minorEastAsia" w:hAnsiTheme="minorHAnsi" w:cstheme="minorBidi"/>
          <w:b w:val="0"/>
          <w:noProof/>
          <w:sz w:val="22"/>
          <w:szCs w:val="22"/>
          <w:lang w:val="en-IE" w:eastAsia="en-IE"/>
        </w:rPr>
        <w:tab/>
      </w:r>
      <w:r>
        <w:rPr>
          <w:noProof/>
        </w:rPr>
        <w:t xml:space="preserve"> Research outputs</w:t>
      </w:r>
      <w:r>
        <w:rPr>
          <w:noProof/>
        </w:rPr>
        <w:tab/>
      </w:r>
      <w:r>
        <w:rPr>
          <w:noProof/>
        </w:rPr>
        <w:fldChar w:fldCharType="begin"/>
      </w:r>
      <w:r>
        <w:rPr>
          <w:noProof/>
        </w:rPr>
        <w:instrText xml:space="preserve"> PAGEREF _Toc476241651 \h </w:instrText>
      </w:r>
      <w:r>
        <w:rPr>
          <w:noProof/>
        </w:rPr>
      </w:r>
      <w:r>
        <w:rPr>
          <w:noProof/>
        </w:rPr>
        <w:fldChar w:fldCharType="separate"/>
      </w:r>
      <w:r>
        <w:rPr>
          <w:noProof/>
        </w:rPr>
        <w:t>194</w:t>
      </w:r>
      <w:r>
        <w:rPr>
          <w:noProof/>
        </w:rPr>
        <w:fldChar w:fldCharType="end"/>
      </w:r>
    </w:p>
    <w:p w14:paraId="09C6FF96" w14:textId="28B74CEA"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8.2</w:t>
      </w:r>
      <w:r>
        <w:rPr>
          <w:rFonts w:asciiTheme="minorHAnsi" w:eastAsiaTheme="minorEastAsia" w:hAnsiTheme="minorHAnsi" w:cstheme="minorBidi"/>
          <w:b w:val="0"/>
          <w:noProof/>
          <w:sz w:val="22"/>
          <w:szCs w:val="22"/>
          <w:lang w:val="en-IE" w:eastAsia="en-IE"/>
        </w:rPr>
        <w:tab/>
      </w:r>
      <w:r>
        <w:rPr>
          <w:noProof/>
        </w:rPr>
        <w:t xml:space="preserve"> Research outcomes</w:t>
      </w:r>
      <w:r>
        <w:rPr>
          <w:noProof/>
        </w:rPr>
        <w:tab/>
      </w:r>
      <w:r>
        <w:rPr>
          <w:noProof/>
        </w:rPr>
        <w:fldChar w:fldCharType="begin"/>
      </w:r>
      <w:r>
        <w:rPr>
          <w:noProof/>
        </w:rPr>
        <w:instrText xml:space="preserve"> PAGEREF _Toc476241652 \h </w:instrText>
      </w:r>
      <w:r>
        <w:rPr>
          <w:noProof/>
        </w:rPr>
      </w:r>
      <w:r>
        <w:rPr>
          <w:noProof/>
        </w:rPr>
        <w:fldChar w:fldCharType="separate"/>
      </w:r>
      <w:r>
        <w:rPr>
          <w:noProof/>
        </w:rPr>
        <w:t>195</w:t>
      </w:r>
      <w:r>
        <w:rPr>
          <w:noProof/>
        </w:rPr>
        <w:fldChar w:fldCharType="end"/>
      </w:r>
    </w:p>
    <w:p w14:paraId="3247C08F" w14:textId="1341B395"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8.2.1</w:t>
      </w:r>
      <w:r>
        <w:rPr>
          <w:rFonts w:asciiTheme="minorHAnsi" w:eastAsiaTheme="minorEastAsia" w:hAnsiTheme="minorHAnsi" w:cstheme="minorBidi"/>
          <w:noProof/>
          <w:sz w:val="22"/>
          <w:szCs w:val="22"/>
          <w:lang w:val="en-IE" w:eastAsia="en-IE"/>
        </w:rPr>
        <w:tab/>
      </w:r>
      <w:r>
        <w:rPr>
          <w:noProof/>
        </w:rPr>
        <w:t xml:space="preserve"> Problem specification stage</w:t>
      </w:r>
      <w:r>
        <w:rPr>
          <w:noProof/>
        </w:rPr>
        <w:tab/>
      </w:r>
      <w:r>
        <w:rPr>
          <w:noProof/>
        </w:rPr>
        <w:fldChar w:fldCharType="begin"/>
      </w:r>
      <w:r>
        <w:rPr>
          <w:noProof/>
        </w:rPr>
        <w:instrText xml:space="preserve"> PAGEREF _Toc476241653 \h </w:instrText>
      </w:r>
      <w:r>
        <w:rPr>
          <w:noProof/>
        </w:rPr>
      </w:r>
      <w:r>
        <w:rPr>
          <w:noProof/>
        </w:rPr>
        <w:fldChar w:fldCharType="separate"/>
      </w:r>
      <w:r>
        <w:rPr>
          <w:noProof/>
        </w:rPr>
        <w:t>195</w:t>
      </w:r>
      <w:r>
        <w:rPr>
          <w:noProof/>
        </w:rPr>
        <w:fldChar w:fldCharType="end"/>
      </w:r>
    </w:p>
    <w:p w14:paraId="05B30818" w14:textId="57285C08"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lastRenderedPageBreak/>
        <w:t>8.2.1.1</w:t>
      </w:r>
      <w:r>
        <w:rPr>
          <w:rFonts w:asciiTheme="minorHAnsi" w:eastAsiaTheme="minorEastAsia" w:hAnsiTheme="minorHAnsi" w:cstheme="minorBidi"/>
          <w:noProof/>
          <w:sz w:val="22"/>
          <w:szCs w:val="22"/>
          <w:lang w:val="en-IE" w:eastAsia="en-IE"/>
        </w:rPr>
        <w:tab/>
      </w:r>
      <w:r>
        <w:rPr>
          <w:noProof/>
        </w:rPr>
        <w:t xml:space="preserve"> Which relevant techniques are available and where have they been used in public health settings?</w:t>
      </w:r>
      <w:r>
        <w:rPr>
          <w:noProof/>
        </w:rPr>
        <w:tab/>
      </w:r>
      <w:r>
        <w:rPr>
          <w:noProof/>
        </w:rPr>
        <w:fldChar w:fldCharType="begin"/>
      </w:r>
      <w:r>
        <w:rPr>
          <w:noProof/>
        </w:rPr>
        <w:instrText xml:space="preserve"> PAGEREF _Toc476241654 \h </w:instrText>
      </w:r>
      <w:r>
        <w:rPr>
          <w:noProof/>
        </w:rPr>
      </w:r>
      <w:r>
        <w:rPr>
          <w:noProof/>
        </w:rPr>
        <w:fldChar w:fldCharType="separate"/>
      </w:r>
      <w:r>
        <w:rPr>
          <w:noProof/>
        </w:rPr>
        <w:t>195</w:t>
      </w:r>
      <w:r>
        <w:rPr>
          <w:noProof/>
        </w:rPr>
        <w:fldChar w:fldCharType="end"/>
      </w:r>
    </w:p>
    <w:p w14:paraId="404A218A" w14:textId="63ED05F4"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8.2.1.2</w:t>
      </w:r>
      <w:r>
        <w:rPr>
          <w:rFonts w:asciiTheme="minorHAnsi" w:eastAsiaTheme="minorEastAsia" w:hAnsiTheme="minorHAnsi" w:cstheme="minorBidi"/>
          <w:noProof/>
          <w:sz w:val="22"/>
          <w:szCs w:val="22"/>
          <w:lang w:val="en-IE" w:eastAsia="en-IE"/>
        </w:rPr>
        <w:tab/>
      </w:r>
      <w:r>
        <w:rPr>
          <w:noProof/>
        </w:rPr>
        <w:t xml:space="preserve"> How are decisions made in the CPH, according to its reference case and in practice?</w:t>
      </w:r>
      <w:r>
        <w:rPr>
          <w:noProof/>
        </w:rPr>
        <w:tab/>
      </w:r>
      <w:r>
        <w:rPr>
          <w:noProof/>
        </w:rPr>
        <w:fldChar w:fldCharType="begin"/>
      </w:r>
      <w:r>
        <w:rPr>
          <w:noProof/>
        </w:rPr>
        <w:instrText xml:space="preserve"> PAGEREF _Toc476241655 \h </w:instrText>
      </w:r>
      <w:r>
        <w:rPr>
          <w:noProof/>
        </w:rPr>
      </w:r>
      <w:r>
        <w:rPr>
          <w:noProof/>
        </w:rPr>
        <w:fldChar w:fldCharType="separate"/>
      </w:r>
      <w:r>
        <w:rPr>
          <w:noProof/>
        </w:rPr>
        <w:t>199</w:t>
      </w:r>
      <w:r>
        <w:rPr>
          <w:noProof/>
        </w:rPr>
        <w:fldChar w:fldCharType="end"/>
      </w:r>
    </w:p>
    <w:p w14:paraId="76F57409" w14:textId="00F45434"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8.2.2</w:t>
      </w:r>
      <w:r>
        <w:rPr>
          <w:rFonts w:asciiTheme="minorHAnsi" w:eastAsiaTheme="minorEastAsia" w:hAnsiTheme="minorHAnsi" w:cstheme="minorBidi"/>
          <w:noProof/>
          <w:sz w:val="22"/>
          <w:szCs w:val="22"/>
          <w:lang w:val="en-IE" w:eastAsia="en-IE"/>
        </w:rPr>
        <w:tab/>
      </w:r>
      <w:r>
        <w:rPr>
          <w:noProof/>
        </w:rPr>
        <w:t xml:space="preserve"> Intervention development and implementation stage</w:t>
      </w:r>
      <w:r>
        <w:rPr>
          <w:noProof/>
        </w:rPr>
        <w:tab/>
      </w:r>
      <w:r>
        <w:rPr>
          <w:noProof/>
        </w:rPr>
        <w:fldChar w:fldCharType="begin"/>
      </w:r>
      <w:r>
        <w:rPr>
          <w:noProof/>
        </w:rPr>
        <w:instrText xml:space="preserve"> PAGEREF _Toc476241656 \h </w:instrText>
      </w:r>
      <w:r>
        <w:rPr>
          <w:noProof/>
        </w:rPr>
      </w:r>
      <w:r>
        <w:rPr>
          <w:noProof/>
        </w:rPr>
        <w:fldChar w:fldCharType="separate"/>
      </w:r>
      <w:r>
        <w:rPr>
          <w:noProof/>
        </w:rPr>
        <w:t>204</w:t>
      </w:r>
      <w:r>
        <w:rPr>
          <w:noProof/>
        </w:rPr>
        <w:fldChar w:fldCharType="end"/>
      </w:r>
    </w:p>
    <w:p w14:paraId="4171735B" w14:textId="46D34796"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Pr>
          <w:noProof/>
        </w:rPr>
        <w:t>8.2.2.1</w:t>
      </w:r>
      <w:r>
        <w:rPr>
          <w:rFonts w:asciiTheme="minorHAnsi" w:eastAsiaTheme="minorEastAsia" w:hAnsiTheme="minorHAnsi" w:cstheme="minorBidi"/>
          <w:noProof/>
          <w:sz w:val="22"/>
          <w:szCs w:val="22"/>
          <w:lang w:val="en-IE" w:eastAsia="en-IE"/>
        </w:rPr>
        <w:tab/>
      </w:r>
      <w:r>
        <w:rPr>
          <w:noProof/>
        </w:rPr>
        <w:t xml:space="preserve"> Can suitable MCDA techniques be piloted or implemented at decision-maker level?</w:t>
      </w:r>
      <w:r>
        <w:rPr>
          <w:noProof/>
        </w:rPr>
        <w:tab/>
      </w:r>
      <w:r>
        <w:rPr>
          <w:noProof/>
        </w:rPr>
        <w:fldChar w:fldCharType="begin"/>
      </w:r>
      <w:r>
        <w:rPr>
          <w:noProof/>
        </w:rPr>
        <w:instrText xml:space="preserve"> PAGEREF _Toc476241657 \h </w:instrText>
      </w:r>
      <w:r>
        <w:rPr>
          <w:noProof/>
        </w:rPr>
      </w:r>
      <w:r>
        <w:rPr>
          <w:noProof/>
        </w:rPr>
        <w:fldChar w:fldCharType="separate"/>
      </w:r>
      <w:r>
        <w:rPr>
          <w:noProof/>
        </w:rPr>
        <w:t>204</w:t>
      </w:r>
      <w:r>
        <w:rPr>
          <w:noProof/>
        </w:rPr>
        <w:fldChar w:fldCharType="end"/>
      </w:r>
    </w:p>
    <w:p w14:paraId="38634E17" w14:textId="43B80871" w:rsidR="00E516A2" w:rsidRDefault="00E516A2">
      <w:pPr>
        <w:pStyle w:val="TOC3"/>
        <w:tabs>
          <w:tab w:val="left" w:pos="1100"/>
          <w:tab w:val="right" w:leader="dot" w:pos="9016"/>
        </w:tabs>
        <w:rPr>
          <w:rFonts w:asciiTheme="minorHAnsi" w:eastAsiaTheme="minorEastAsia" w:hAnsiTheme="minorHAnsi" w:cstheme="minorBidi"/>
          <w:noProof/>
          <w:sz w:val="22"/>
          <w:szCs w:val="22"/>
          <w:lang w:val="en-IE" w:eastAsia="en-IE"/>
        </w:rPr>
      </w:pPr>
      <w:r>
        <w:rPr>
          <w:noProof/>
        </w:rPr>
        <w:t>8.2.3</w:t>
      </w:r>
      <w:r>
        <w:rPr>
          <w:rFonts w:asciiTheme="minorHAnsi" w:eastAsiaTheme="minorEastAsia" w:hAnsiTheme="minorHAnsi" w:cstheme="minorBidi"/>
          <w:noProof/>
          <w:sz w:val="22"/>
          <w:szCs w:val="22"/>
          <w:lang w:val="en-IE" w:eastAsia="en-IE"/>
        </w:rPr>
        <w:tab/>
      </w:r>
      <w:r>
        <w:rPr>
          <w:noProof/>
        </w:rPr>
        <w:t xml:space="preserve"> Recommendations from findings</w:t>
      </w:r>
      <w:r>
        <w:rPr>
          <w:noProof/>
        </w:rPr>
        <w:tab/>
      </w:r>
      <w:r>
        <w:rPr>
          <w:noProof/>
        </w:rPr>
        <w:fldChar w:fldCharType="begin"/>
      </w:r>
      <w:r>
        <w:rPr>
          <w:noProof/>
        </w:rPr>
        <w:instrText xml:space="preserve"> PAGEREF _Toc476241658 \h </w:instrText>
      </w:r>
      <w:r>
        <w:rPr>
          <w:noProof/>
        </w:rPr>
      </w:r>
      <w:r>
        <w:rPr>
          <w:noProof/>
        </w:rPr>
        <w:fldChar w:fldCharType="separate"/>
      </w:r>
      <w:r>
        <w:rPr>
          <w:noProof/>
        </w:rPr>
        <w:t>208</w:t>
      </w:r>
      <w:r>
        <w:rPr>
          <w:noProof/>
        </w:rPr>
        <w:fldChar w:fldCharType="end"/>
      </w:r>
    </w:p>
    <w:p w14:paraId="54B78EA3" w14:textId="6219CC5E" w:rsidR="00E516A2" w:rsidRDefault="00E516A2">
      <w:pPr>
        <w:pStyle w:val="TOC4"/>
        <w:tabs>
          <w:tab w:val="left" w:pos="1320"/>
          <w:tab w:val="right" w:leader="dot" w:pos="9016"/>
        </w:tabs>
        <w:rPr>
          <w:rFonts w:asciiTheme="minorHAnsi" w:eastAsiaTheme="minorEastAsia" w:hAnsiTheme="minorHAnsi" w:cstheme="minorBidi"/>
          <w:noProof/>
          <w:sz w:val="22"/>
          <w:szCs w:val="22"/>
          <w:lang w:val="en-IE" w:eastAsia="en-IE"/>
        </w:rPr>
      </w:pPr>
      <w:r w:rsidRPr="00342E21">
        <w:rPr>
          <w:bCs/>
          <w:noProof/>
        </w:rPr>
        <w:t>8.2.3.1</w:t>
      </w:r>
      <w:r>
        <w:rPr>
          <w:rFonts w:asciiTheme="minorHAnsi" w:eastAsiaTheme="minorEastAsia" w:hAnsiTheme="minorHAnsi" w:cstheme="minorBidi"/>
          <w:noProof/>
          <w:sz w:val="22"/>
          <w:szCs w:val="22"/>
          <w:lang w:val="en-IE" w:eastAsia="en-IE"/>
        </w:rPr>
        <w:tab/>
      </w:r>
      <w:r>
        <w:rPr>
          <w:noProof/>
        </w:rPr>
        <w:t xml:space="preserve"> What recommendations can be drawn?</w:t>
      </w:r>
      <w:r>
        <w:rPr>
          <w:noProof/>
        </w:rPr>
        <w:tab/>
      </w:r>
      <w:r>
        <w:rPr>
          <w:noProof/>
        </w:rPr>
        <w:fldChar w:fldCharType="begin"/>
      </w:r>
      <w:r>
        <w:rPr>
          <w:noProof/>
        </w:rPr>
        <w:instrText xml:space="preserve"> PAGEREF _Toc476241659 \h </w:instrText>
      </w:r>
      <w:r>
        <w:rPr>
          <w:noProof/>
        </w:rPr>
      </w:r>
      <w:r>
        <w:rPr>
          <w:noProof/>
        </w:rPr>
        <w:fldChar w:fldCharType="separate"/>
      </w:r>
      <w:r>
        <w:rPr>
          <w:noProof/>
        </w:rPr>
        <w:t>208</w:t>
      </w:r>
      <w:r>
        <w:rPr>
          <w:noProof/>
        </w:rPr>
        <w:fldChar w:fldCharType="end"/>
      </w:r>
    </w:p>
    <w:p w14:paraId="20E7EB98" w14:textId="3E632042" w:rsidR="00E516A2" w:rsidRDefault="00E516A2">
      <w:pPr>
        <w:pStyle w:val="TOC5"/>
        <w:rPr>
          <w:rFonts w:asciiTheme="minorHAnsi" w:eastAsiaTheme="minorEastAsia" w:hAnsiTheme="minorHAnsi" w:cstheme="minorBidi"/>
          <w:noProof/>
          <w:sz w:val="22"/>
          <w:szCs w:val="22"/>
          <w:lang w:val="en-IE" w:eastAsia="en-IE"/>
        </w:rPr>
      </w:pPr>
      <w:r>
        <w:rPr>
          <w:noProof/>
        </w:rPr>
        <w:t>8.2.3.1.1</w:t>
      </w:r>
      <w:r>
        <w:rPr>
          <w:rFonts w:asciiTheme="minorHAnsi" w:eastAsiaTheme="minorEastAsia" w:hAnsiTheme="minorHAnsi" w:cstheme="minorBidi"/>
          <w:noProof/>
          <w:sz w:val="22"/>
          <w:szCs w:val="22"/>
          <w:lang w:val="en-IE" w:eastAsia="en-IE"/>
        </w:rPr>
        <w:tab/>
      </w:r>
      <w:r>
        <w:rPr>
          <w:noProof/>
        </w:rPr>
        <w:t>Recommendations for future research</w:t>
      </w:r>
      <w:r>
        <w:rPr>
          <w:noProof/>
        </w:rPr>
        <w:tab/>
      </w:r>
      <w:r>
        <w:rPr>
          <w:noProof/>
        </w:rPr>
        <w:fldChar w:fldCharType="begin"/>
      </w:r>
      <w:r>
        <w:rPr>
          <w:noProof/>
        </w:rPr>
        <w:instrText xml:space="preserve"> PAGEREF _Toc476241660 \h </w:instrText>
      </w:r>
      <w:r>
        <w:rPr>
          <w:noProof/>
        </w:rPr>
      </w:r>
      <w:r>
        <w:rPr>
          <w:noProof/>
        </w:rPr>
        <w:fldChar w:fldCharType="separate"/>
      </w:r>
      <w:r>
        <w:rPr>
          <w:noProof/>
        </w:rPr>
        <w:t>209</w:t>
      </w:r>
      <w:r>
        <w:rPr>
          <w:noProof/>
        </w:rPr>
        <w:fldChar w:fldCharType="end"/>
      </w:r>
    </w:p>
    <w:p w14:paraId="7C45DAAA" w14:textId="5A4D6AFD" w:rsidR="00E516A2" w:rsidRDefault="00E516A2">
      <w:pPr>
        <w:pStyle w:val="TOC5"/>
        <w:rPr>
          <w:rFonts w:asciiTheme="minorHAnsi" w:eastAsiaTheme="minorEastAsia" w:hAnsiTheme="minorHAnsi" w:cstheme="minorBidi"/>
          <w:noProof/>
          <w:sz w:val="22"/>
          <w:szCs w:val="22"/>
          <w:lang w:val="en-IE" w:eastAsia="en-IE"/>
        </w:rPr>
      </w:pPr>
      <w:r>
        <w:rPr>
          <w:noProof/>
        </w:rPr>
        <w:t>8.2.3.1.2</w:t>
      </w:r>
      <w:r>
        <w:rPr>
          <w:rFonts w:asciiTheme="minorHAnsi" w:eastAsiaTheme="minorEastAsia" w:hAnsiTheme="minorHAnsi" w:cstheme="minorBidi"/>
          <w:noProof/>
          <w:sz w:val="22"/>
          <w:szCs w:val="22"/>
          <w:lang w:val="en-IE" w:eastAsia="en-IE"/>
        </w:rPr>
        <w:tab/>
      </w:r>
      <w:r>
        <w:rPr>
          <w:noProof/>
        </w:rPr>
        <w:t>Recommendations for policy</w:t>
      </w:r>
      <w:r>
        <w:rPr>
          <w:noProof/>
        </w:rPr>
        <w:tab/>
      </w:r>
      <w:r>
        <w:rPr>
          <w:noProof/>
        </w:rPr>
        <w:fldChar w:fldCharType="begin"/>
      </w:r>
      <w:r>
        <w:rPr>
          <w:noProof/>
        </w:rPr>
        <w:instrText xml:space="preserve"> PAGEREF _Toc476241661 \h </w:instrText>
      </w:r>
      <w:r>
        <w:rPr>
          <w:noProof/>
        </w:rPr>
      </w:r>
      <w:r>
        <w:rPr>
          <w:noProof/>
        </w:rPr>
        <w:fldChar w:fldCharType="separate"/>
      </w:r>
      <w:r>
        <w:rPr>
          <w:noProof/>
        </w:rPr>
        <w:t>211</w:t>
      </w:r>
      <w:r>
        <w:rPr>
          <w:noProof/>
        </w:rPr>
        <w:fldChar w:fldCharType="end"/>
      </w:r>
    </w:p>
    <w:p w14:paraId="1EE2B1A8" w14:textId="2AEF98E8"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sidRPr="00342E21">
        <w:rPr>
          <w:noProof/>
        </w:rPr>
        <w:t>8.3</w:t>
      </w:r>
      <w:r>
        <w:rPr>
          <w:rFonts w:asciiTheme="minorHAnsi" w:eastAsiaTheme="minorEastAsia" w:hAnsiTheme="minorHAnsi" w:cstheme="minorBidi"/>
          <w:b w:val="0"/>
          <w:noProof/>
          <w:sz w:val="22"/>
          <w:szCs w:val="22"/>
          <w:lang w:val="en-IE" w:eastAsia="en-IE"/>
        </w:rPr>
        <w:tab/>
      </w:r>
      <w:r w:rsidRPr="00342E21">
        <w:rPr>
          <w:noProof/>
        </w:rPr>
        <w:t xml:space="preserve"> </w:t>
      </w:r>
      <w:r>
        <w:rPr>
          <w:noProof/>
        </w:rPr>
        <w:t>Strengths and weaknesses of the thesis</w:t>
      </w:r>
      <w:r>
        <w:rPr>
          <w:noProof/>
        </w:rPr>
        <w:tab/>
      </w:r>
      <w:r>
        <w:rPr>
          <w:noProof/>
        </w:rPr>
        <w:fldChar w:fldCharType="begin"/>
      </w:r>
      <w:r>
        <w:rPr>
          <w:noProof/>
        </w:rPr>
        <w:instrText xml:space="preserve"> PAGEREF _Toc476241662 \h </w:instrText>
      </w:r>
      <w:r>
        <w:rPr>
          <w:noProof/>
        </w:rPr>
      </w:r>
      <w:r>
        <w:rPr>
          <w:noProof/>
        </w:rPr>
        <w:fldChar w:fldCharType="separate"/>
      </w:r>
      <w:r>
        <w:rPr>
          <w:noProof/>
        </w:rPr>
        <w:t>213</w:t>
      </w:r>
      <w:r>
        <w:rPr>
          <w:noProof/>
        </w:rPr>
        <w:fldChar w:fldCharType="end"/>
      </w:r>
    </w:p>
    <w:p w14:paraId="79C64448" w14:textId="08F830B0" w:rsidR="00E516A2" w:rsidRDefault="00E516A2">
      <w:pPr>
        <w:pStyle w:val="TOC2"/>
        <w:tabs>
          <w:tab w:val="left" w:pos="660"/>
        </w:tabs>
        <w:rPr>
          <w:rFonts w:asciiTheme="minorHAnsi" w:eastAsiaTheme="minorEastAsia" w:hAnsiTheme="minorHAnsi" w:cstheme="minorBidi"/>
          <w:b w:val="0"/>
          <w:noProof/>
          <w:sz w:val="22"/>
          <w:szCs w:val="22"/>
          <w:lang w:val="en-IE" w:eastAsia="en-IE"/>
        </w:rPr>
      </w:pPr>
      <w:r>
        <w:rPr>
          <w:noProof/>
        </w:rPr>
        <w:t>8.4</w:t>
      </w:r>
      <w:r>
        <w:rPr>
          <w:rFonts w:asciiTheme="minorHAnsi" w:eastAsiaTheme="minorEastAsia" w:hAnsiTheme="minorHAnsi" w:cstheme="minorBidi"/>
          <w:b w:val="0"/>
          <w:noProof/>
          <w:sz w:val="22"/>
          <w:szCs w:val="22"/>
          <w:lang w:val="en-IE" w:eastAsia="en-IE"/>
        </w:rPr>
        <w:tab/>
      </w:r>
      <w:r>
        <w:rPr>
          <w:noProof/>
        </w:rPr>
        <w:t xml:space="preserve"> Final comments</w:t>
      </w:r>
      <w:r>
        <w:rPr>
          <w:noProof/>
        </w:rPr>
        <w:tab/>
      </w:r>
      <w:r>
        <w:rPr>
          <w:noProof/>
        </w:rPr>
        <w:fldChar w:fldCharType="begin"/>
      </w:r>
      <w:r>
        <w:rPr>
          <w:noProof/>
        </w:rPr>
        <w:instrText xml:space="preserve"> PAGEREF _Toc476241663 \h </w:instrText>
      </w:r>
      <w:r>
        <w:rPr>
          <w:noProof/>
        </w:rPr>
      </w:r>
      <w:r>
        <w:rPr>
          <w:noProof/>
        </w:rPr>
        <w:fldChar w:fldCharType="separate"/>
      </w:r>
      <w:r>
        <w:rPr>
          <w:noProof/>
        </w:rPr>
        <w:t>215</w:t>
      </w:r>
      <w:r>
        <w:rPr>
          <w:noProof/>
        </w:rPr>
        <w:fldChar w:fldCharType="end"/>
      </w:r>
    </w:p>
    <w:p w14:paraId="46367E95" w14:textId="593AE487" w:rsidR="00E516A2" w:rsidRDefault="00E516A2">
      <w:pPr>
        <w:pStyle w:val="TOC1"/>
        <w:tabs>
          <w:tab w:val="right" w:leader="dot" w:pos="9016"/>
        </w:tabs>
        <w:rPr>
          <w:rFonts w:asciiTheme="minorHAnsi" w:eastAsiaTheme="minorEastAsia" w:hAnsiTheme="minorHAnsi" w:cstheme="minorBidi"/>
          <w:b w:val="0"/>
          <w:caps w:val="0"/>
          <w:noProof/>
          <w:sz w:val="22"/>
          <w:szCs w:val="22"/>
          <w:lang w:val="en-IE" w:eastAsia="en-IE"/>
        </w:rPr>
      </w:pPr>
      <w:r>
        <w:rPr>
          <w:noProof/>
        </w:rPr>
        <w:t>References</w:t>
      </w:r>
      <w:r>
        <w:rPr>
          <w:noProof/>
        </w:rPr>
        <w:tab/>
      </w:r>
      <w:r>
        <w:rPr>
          <w:noProof/>
        </w:rPr>
        <w:fldChar w:fldCharType="begin"/>
      </w:r>
      <w:r>
        <w:rPr>
          <w:noProof/>
        </w:rPr>
        <w:instrText xml:space="preserve"> PAGEREF _Toc476241664 \h </w:instrText>
      </w:r>
      <w:r>
        <w:rPr>
          <w:noProof/>
        </w:rPr>
      </w:r>
      <w:r>
        <w:rPr>
          <w:noProof/>
        </w:rPr>
        <w:fldChar w:fldCharType="separate"/>
      </w:r>
      <w:r>
        <w:rPr>
          <w:noProof/>
        </w:rPr>
        <w:t>217</w:t>
      </w:r>
      <w:r>
        <w:rPr>
          <w:noProof/>
        </w:rPr>
        <w:fldChar w:fldCharType="end"/>
      </w:r>
    </w:p>
    <w:p w14:paraId="33A300DB" w14:textId="04FB34EF" w:rsidR="00E516A2" w:rsidRDefault="00E516A2">
      <w:pPr>
        <w:pStyle w:val="TOC1"/>
        <w:tabs>
          <w:tab w:val="right" w:leader="dot" w:pos="9016"/>
        </w:tabs>
        <w:rPr>
          <w:rFonts w:asciiTheme="minorHAnsi" w:eastAsiaTheme="minorEastAsia" w:hAnsiTheme="minorHAnsi" w:cstheme="minorBidi"/>
          <w:b w:val="0"/>
          <w:caps w:val="0"/>
          <w:noProof/>
          <w:sz w:val="22"/>
          <w:szCs w:val="22"/>
          <w:lang w:val="en-IE" w:eastAsia="en-IE"/>
        </w:rPr>
      </w:pPr>
      <w:r>
        <w:rPr>
          <w:noProof/>
        </w:rPr>
        <w:t>Appendices</w:t>
      </w:r>
      <w:r>
        <w:rPr>
          <w:noProof/>
        </w:rPr>
        <w:tab/>
      </w:r>
      <w:r>
        <w:rPr>
          <w:noProof/>
        </w:rPr>
        <w:fldChar w:fldCharType="begin"/>
      </w:r>
      <w:r>
        <w:rPr>
          <w:noProof/>
        </w:rPr>
        <w:instrText xml:space="preserve"> PAGEREF _Toc476241665 \h </w:instrText>
      </w:r>
      <w:r>
        <w:rPr>
          <w:noProof/>
        </w:rPr>
      </w:r>
      <w:r>
        <w:rPr>
          <w:noProof/>
        </w:rPr>
        <w:fldChar w:fldCharType="separate"/>
      </w:r>
      <w:r>
        <w:rPr>
          <w:noProof/>
        </w:rPr>
        <w:t>233</w:t>
      </w:r>
      <w:r>
        <w:rPr>
          <w:noProof/>
        </w:rPr>
        <w:fldChar w:fldCharType="end"/>
      </w:r>
    </w:p>
    <w:p w14:paraId="0F64AC86" w14:textId="57C83C79" w:rsidR="00E516A2" w:rsidRDefault="00E516A2">
      <w:pPr>
        <w:pStyle w:val="TOC2"/>
        <w:rPr>
          <w:rFonts w:asciiTheme="minorHAnsi" w:eastAsiaTheme="minorEastAsia" w:hAnsiTheme="minorHAnsi" w:cstheme="minorBidi"/>
          <w:b w:val="0"/>
          <w:noProof/>
          <w:sz w:val="22"/>
          <w:szCs w:val="22"/>
          <w:lang w:val="en-IE" w:eastAsia="en-IE"/>
        </w:rPr>
      </w:pPr>
      <w:r>
        <w:rPr>
          <w:noProof/>
        </w:rPr>
        <w:t>Appendix A: Ethics approval</w:t>
      </w:r>
      <w:r>
        <w:rPr>
          <w:noProof/>
        </w:rPr>
        <w:tab/>
      </w:r>
      <w:r>
        <w:rPr>
          <w:noProof/>
        </w:rPr>
        <w:fldChar w:fldCharType="begin"/>
      </w:r>
      <w:r>
        <w:rPr>
          <w:noProof/>
        </w:rPr>
        <w:instrText xml:space="preserve"> PAGEREF _Toc476241666 \h </w:instrText>
      </w:r>
      <w:r>
        <w:rPr>
          <w:noProof/>
        </w:rPr>
      </w:r>
      <w:r>
        <w:rPr>
          <w:noProof/>
        </w:rPr>
        <w:fldChar w:fldCharType="separate"/>
      </w:r>
      <w:r>
        <w:rPr>
          <w:noProof/>
        </w:rPr>
        <w:t>233</w:t>
      </w:r>
      <w:r>
        <w:rPr>
          <w:noProof/>
        </w:rPr>
        <w:fldChar w:fldCharType="end"/>
      </w:r>
    </w:p>
    <w:p w14:paraId="243B57CA" w14:textId="16B8462D" w:rsidR="00E516A2" w:rsidRDefault="00E516A2">
      <w:pPr>
        <w:pStyle w:val="TOC3"/>
        <w:tabs>
          <w:tab w:val="right" w:leader="dot" w:pos="9016"/>
        </w:tabs>
        <w:rPr>
          <w:rFonts w:asciiTheme="minorHAnsi" w:eastAsiaTheme="minorEastAsia" w:hAnsiTheme="minorHAnsi" w:cstheme="minorBidi"/>
          <w:noProof/>
          <w:sz w:val="22"/>
          <w:szCs w:val="22"/>
          <w:lang w:val="en-IE" w:eastAsia="en-IE"/>
        </w:rPr>
      </w:pPr>
      <w:r>
        <w:rPr>
          <w:noProof/>
        </w:rPr>
        <w:t>Original ethics application</w:t>
      </w:r>
      <w:r>
        <w:rPr>
          <w:noProof/>
        </w:rPr>
        <w:tab/>
      </w:r>
      <w:r>
        <w:rPr>
          <w:noProof/>
        </w:rPr>
        <w:fldChar w:fldCharType="begin"/>
      </w:r>
      <w:r>
        <w:rPr>
          <w:noProof/>
        </w:rPr>
        <w:instrText xml:space="preserve"> PAGEREF _Toc476241667 \h </w:instrText>
      </w:r>
      <w:r>
        <w:rPr>
          <w:noProof/>
        </w:rPr>
      </w:r>
      <w:r>
        <w:rPr>
          <w:noProof/>
        </w:rPr>
        <w:fldChar w:fldCharType="separate"/>
      </w:r>
      <w:r>
        <w:rPr>
          <w:noProof/>
        </w:rPr>
        <w:t>233</w:t>
      </w:r>
      <w:r>
        <w:rPr>
          <w:noProof/>
        </w:rPr>
        <w:fldChar w:fldCharType="end"/>
      </w:r>
    </w:p>
    <w:p w14:paraId="13A3A253" w14:textId="71DAE240" w:rsidR="00E516A2" w:rsidRDefault="00E516A2">
      <w:pPr>
        <w:pStyle w:val="TOC3"/>
        <w:tabs>
          <w:tab w:val="right" w:leader="dot" w:pos="9016"/>
        </w:tabs>
        <w:rPr>
          <w:rFonts w:asciiTheme="minorHAnsi" w:eastAsiaTheme="minorEastAsia" w:hAnsiTheme="minorHAnsi" w:cstheme="minorBidi"/>
          <w:noProof/>
          <w:sz w:val="22"/>
          <w:szCs w:val="22"/>
          <w:lang w:val="en-IE" w:eastAsia="en-IE"/>
        </w:rPr>
      </w:pPr>
      <w:r>
        <w:rPr>
          <w:noProof/>
        </w:rPr>
        <w:t>Notice of amendment to ethics application</w:t>
      </w:r>
      <w:r>
        <w:rPr>
          <w:noProof/>
        </w:rPr>
        <w:tab/>
      </w:r>
      <w:r>
        <w:rPr>
          <w:noProof/>
        </w:rPr>
        <w:fldChar w:fldCharType="begin"/>
      </w:r>
      <w:r>
        <w:rPr>
          <w:noProof/>
        </w:rPr>
        <w:instrText xml:space="preserve"> PAGEREF _Toc476241668 \h </w:instrText>
      </w:r>
      <w:r>
        <w:rPr>
          <w:noProof/>
        </w:rPr>
      </w:r>
      <w:r>
        <w:rPr>
          <w:noProof/>
        </w:rPr>
        <w:fldChar w:fldCharType="separate"/>
      </w:r>
      <w:r>
        <w:rPr>
          <w:noProof/>
        </w:rPr>
        <w:t>242</w:t>
      </w:r>
      <w:r>
        <w:rPr>
          <w:noProof/>
        </w:rPr>
        <w:fldChar w:fldCharType="end"/>
      </w:r>
    </w:p>
    <w:p w14:paraId="0796F7A3" w14:textId="6758CD8F" w:rsidR="00E516A2" w:rsidRDefault="00E516A2">
      <w:pPr>
        <w:pStyle w:val="TOC2"/>
        <w:rPr>
          <w:rFonts w:asciiTheme="minorHAnsi" w:eastAsiaTheme="minorEastAsia" w:hAnsiTheme="minorHAnsi" w:cstheme="minorBidi"/>
          <w:b w:val="0"/>
          <w:noProof/>
          <w:sz w:val="22"/>
          <w:szCs w:val="22"/>
          <w:lang w:val="en-IE" w:eastAsia="en-IE"/>
        </w:rPr>
      </w:pPr>
      <w:r>
        <w:rPr>
          <w:noProof/>
        </w:rPr>
        <w:t>Appendix B: Complete list of papers found in 2011 search and the point at which they were excluded</w:t>
      </w:r>
      <w:r>
        <w:rPr>
          <w:noProof/>
        </w:rPr>
        <w:tab/>
      </w:r>
      <w:r>
        <w:rPr>
          <w:noProof/>
        </w:rPr>
        <w:fldChar w:fldCharType="begin"/>
      </w:r>
      <w:r>
        <w:rPr>
          <w:noProof/>
        </w:rPr>
        <w:instrText xml:space="preserve"> PAGEREF _Toc476241669 \h </w:instrText>
      </w:r>
      <w:r>
        <w:rPr>
          <w:noProof/>
        </w:rPr>
      </w:r>
      <w:r>
        <w:rPr>
          <w:noProof/>
        </w:rPr>
        <w:fldChar w:fldCharType="separate"/>
      </w:r>
      <w:r>
        <w:rPr>
          <w:noProof/>
        </w:rPr>
        <w:t>247</w:t>
      </w:r>
      <w:r>
        <w:rPr>
          <w:noProof/>
        </w:rPr>
        <w:fldChar w:fldCharType="end"/>
      </w:r>
    </w:p>
    <w:p w14:paraId="45A6E582" w14:textId="383FE8C2" w:rsidR="00E516A2" w:rsidRDefault="00E516A2">
      <w:pPr>
        <w:pStyle w:val="TOC2"/>
        <w:rPr>
          <w:rFonts w:asciiTheme="minorHAnsi" w:eastAsiaTheme="minorEastAsia" w:hAnsiTheme="minorHAnsi" w:cstheme="minorBidi"/>
          <w:b w:val="0"/>
          <w:noProof/>
          <w:sz w:val="22"/>
          <w:szCs w:val="22"/>
          <w:lang w:val="en-IE" w:eastAsia="en-IE"/>
        </w:rPr>
      </w:pPr>
      <w:r>
        <w:rPr>
          <w:noProof/>
        </w:rPr>
        <w:t>Appendix C: Complete list of papers found in revised 2014 search</w:t>
      </w:r>
      <w:r>
        <w:rPr>
          <w:noProof/>
        </w:rPr>
        <w:tab/>
      </w:r>
      <w:r>
        <w:rPr>
          <w:noProof/>
        </w:rPr>
        <w:fldChar w:fldCharType="begin"/>
      </w:r>
      <w:r>
        <w:rPr>
          <w:noProof/>
        </w:rPr>
        <w:instrText xml:space="preserve"> PAGEREF _Toc476241670 \h </w:instrText>
      </w:r>
      <w:r>
        <w:rPr>
          <w:noProof/>
        </w:rPr>
      </w:r>
      <w:r>
        <w:rPr>
          <w:noProof/>
        </w:rPr>
        <w:fldChar w:fldCharType="separate"/>
      </w:r>
      <w:r>
        <w:rPr>
          <w:noProof/>
        </w:rPr>
        <w:t>263</w:t>
      </w:r>
      <w:r>
        <w:rPr>
          <w:noProof/>
        </w:rPr>
        <w:fldChar w:fldCharType="end"/>
      </w:r>
    </w:p>
    <w:p w14:paraId="2EBF7608" w14:textId="201EF823" w:rsidR="00E516A2" w:rsidRDefault="00E516A2">
      <w:pPr>
        <w:pStyle w:val="TOC2"/>
        <w:rPr>
          <w:rFonts w:asciiTheme="minorHAnsi" w:eastAsiaTheme="minorEastAsia" w:hAnsiTheme="minorHAnsi" w:cstheme="minorBidi"/>
          <w:b w:val="0"/>
          <w:noProof/>
          <w:sz w:val="22"/>
          <w:szCs w:val="22"/>
          <w:lang w:val="en-IE" w:eastAsia="en-IE"/>
        </w:rPr>
      </w:pPr>
      <w:r>
        <w:rPr>
          <w:noProof/>
        </w:rPr>
        <w:t>Appendix D: Further background information on included papers published since the original 2011 search</w:t>
      </w:r>
      <w:r>
        <w:rPr>
          <w:noProof/>
        </w:rPr>
        <w:tab/>
      </w:r>
      <w:r>
        <w:rPr>
          <w:noProof/>
        </w:rPr>
        <w:fldChar w:fldCharType="begin"/>
      </w:r>
      <w:r>
        <w:rPr>
          <w:noProof/>
        </w:rPr>
        <w:instrText xml:space="preserve"> PAGEREF _Toc476241671 \h </w:instrText>
      </w:r>
      <w:r>
        <w:rPr>
          <w:noProof/>
        </w:rPr>
      </w:r>
      <w:r>
        <w:rPr>
          <w:noProof/>
        </w:rPr>
        <w:fldChar w:fldCharType="separate"/>
      </w:r>
      <w:r>
        <w:rPr>
          <w:noProof/>
        </w:rPr>
        <w:t>340</w:t>
      </w:r>
      <w:r>
        <w:rPr>
          <w:noProof/>
        </w:rPr>
        <w:fldChar w:fldCharType="end"/>
      </w:r>
    </w:p>
    <w:p w14:paraId="531935D3" w14:textId="77777777" w:rsidR="00E516A2" w:rsidRDefault="00175183" w:rsidP="00F476AF">
      <w:pPr>
        <w:pStyle w:val="Heading2"/>
        <w:rPr>
          <w:sz w:val="22"/>
          <w:szCs w:val="22"/>
        </w:rPr>
      </w:pPr>
      <w:r w:rsidRPr="00F476AF">
        <w:rPr>
          <w:sz w:val="22"/>
          <w:szCs w:val="22"/>
        </w:rPr>
        <w:fldChar w:fldCharType="end"/>
      </w:r>
      <w:bookmarkStart w:id="7" w:name="_Toc476241506"/>
      <w:bookmarkStart w:id="8" w:name="_Toc313187803"/>
      <w:bookmarkStart w:id="9" w:name="_Toc453595411"/>
    </w:p>
    <w:p w14:paraId="7B367A9B" w14:textId="77777777" w:rsidR="00E516A2" w:rsidRDefault="00E516A2">
      <w:pPr>
        <w:spacing w:after="0" w:line="240" w:lineRule="auto"/>
        <w:jc w:val="left"/>
        <w:rPr>
          <w:b/>
          <w:bCs/>
          <w:i/>
        </w:rPr>
      </w:pPr>
      <w:r>
        <w:br w:type="page"/>
      </w:r>
    </w:p>
    <w:p w14:paraId="03F7A9B4" w14:textId="0932C183" w:rsidR="00DD160F" w:rsidRPr="00453C04" w:rsidRDefault="00DD160F" w:rsidP="00F476AF">
      <w:pPr>
        <w:pStyle w:val="Heading2"/>
        <w:rPr>
          <w:lang w:val="en-IE"/>
        </w:rPr>
      </w:pPr>
      <w:r w:rsidRPr="00453C04">
        <w:rPr>
          <w:lang w:val="en-IE"/>
        </w:rPr>
        <w:lastRenderedPageBreak/>
        <w:t>Abstract</w:t>
      </w:r>
      <w:bookmarkEnd w:id="7"/>
    </w:p>
    <w:p w14:paraId="677AED47" w14:textId="6796C6CF" w:rsidR="00A8487A" w:rsidRDefault="00A8487A">
      <w:pPr>
        <w:rPr>
          <w:lang w:val="en-IE"/>
        </w:rPr>
      </w:pPr>
      <w:r>
        <w:rPr>
          <w:i/>
          <w:lang w:val="en-IE"/>
        </w:rPr>
        <w:t>Aim:</w:t>
      </w:r>
      <w:r>
        <w:rPr>
          <w:lang w:val="en-IE"/>
        </w:rPr>
        <w:t xml:space="preserve"> </w:t>
      </w:r>
      <w:r w:rsidRPr="00453C04">
        <w:rPr>
          <w:lang w:val="en-IE"/>
        </w:rPr>
        <w:t>This thesis investigates if multiple criteria decision analysis (MCDA) techniques are suitable for use in public health</w:t>
      </w:r>
      <w:r>
        <w:rPr>
          <w:lang w:val="en-IE"/>
        </w:rPr>
        <w:t xml:space="preserve"> (PH)</w:t>
      </w:r>
      <w:r w:rsidRPr="00453C04">
        <w:rPr>
          <w:lang w:val="en-IE"/>
        </w:rPr>
        <w:t xml:space="preserve"> decision-making settings in England, at the level of the National Institute for Health and Care Excellence (NICE) and in local government (LG</w:t>
      </w:r>
      <w:r>
        <w:rPr>
          <w:lang w:val="en-IE"/>
        </w:rPr>
        <w:t>).</w:t>
      </w:r>
    </w:p>
    <w:p w14:paraId="73EA26E5" w14:textId="77777777" w:rsidR="008668CB" w:rsidRDefault="008668CB" w:rsidP="008668CB">
      <w:r>
        <w:rPr>
          <w:i/>
          <w:lang w:val="en-IE"/>
        </w:rPr>
        <w:t>Background:</w:t>
      </w:r>
      <w:r>
        <w:rPr>
          <w:lang w:val="en-IE"/>
        </w:rPr>
        <w:t xml:space="preserve"> MCDA techniques have not previously been widely used in such settings, though a number of benefits are reported where used for other complex decision problems</w:t>
      </w:r>
      <w:r>
        <w:t xml:space="preserve">. A variety of approaches are available, each with their own advantages, and these should be chosen according to the problem’s context. </w:t>
      </w:r>
    </w:p>
    <w:p w14:paraId="78E327B5" w14:textId="77777777" w:rsidR="008668CB" w:rsidRDefault="008668CB" w:rsidP="008668CB">
      <w:r>
        <w:rPr>
          <w:i/>
        </w:rPr>
        <w:t>Method:</w:t>
      </w:r>
      <w:r>
        <w:t xml:space="preserve"> The thesis reports: non-systematic and systematic reviews of MCDA approaches in PH worldwide; on a secondment in NICE describing contextual factors that could influence the practicality of any attempts to implement MCDA approaches there; a review of all prior NICE PH economic models; a pilot project to structure NICE’s topic appraisal stage using MCDA; an action research project applying an MCDA approach to prioritise programmes at LG level, and; overall findings.</w:t>
      </w:r>
    </w:p>
    <w:p w14:paraId="3D774929" w14:textId="77777777" w:rsidR="008668CB" w:rsidRDefault="008668CB" w:rsidP="008668CB">
      <w:r>
        <w:rPr>
          <w:i/>
        </w:rPr>
        <w:t>Results:</w:t>
      </w:r>
      <w:r>
        <w:t xml:space="preserve"> MCDA approaches have been previously used in other PH settings, though generally on a once-off basis. NICE are often assumed to base their decisions primarily on interventions’ cost-effectiveness — but a large number of other criteria, including non-health factors, were found to be considered. Economic models regularly veered from NICE’s reference case, and used a variety of evaluation techniques and perspectives. MCDA approaches, when paired with deliberation, may offer a number of advantages over deliberation alone. The topic appraisal pilot found the approach to be technically feasible. The LG-level project was also successful and led to changes to the interventions offered to reduce tobacco prevalence in four boroughs. </w:t>
      </w:r>
    </w:p>
    <w:p w14:paraId="243E6DDB" w14:textId="77777777" w:rsidR="008668CB" w:rsidRDefault="008668CB" w:rsidP="008668CB">
      <w:r>
        <w:rPr>
          <w:i/>
        </w:rPr>
        <w:t>Conclusions:</w:t>
      </w:r>
      <w:r>
        <w:t xml:space="preserve"> MCDA approaches are shown to be accessible and understandable to national and local PH decision-makers, as well as acceptable and implementable. They can therefore be considered suitable in at least some such settings.</w:t>
      </w:r>
    </w:p>
    <w:p w14:paraId="757873BD" w14:textId="77777777" w:rsidR="00DD160F" w:rsidRDefault="00DD160F" w:rsidP="0063065F"/>
    <w:p w14:paraId="28FD09FB" w14:textId="77777777" w:rsidR="00DD160F" w:rsidRDefault="00DD160F" w:rsidP="0063065F">
      <w:pPr>
        <w:rPr>
          <w:sz w:val="28"/>
          <w:szCs w:val="28"/>
        </w:rPr>
      </w:pPr>
      <w:r>
        <w:br w:type="page"/>
      </w:r>
    </w:p>
    <w:p w14:paraId="0E74A074" w14:textId="77777777" w:rsidR="0067668F" w:rsidRPr="00F10391" w:rsidRDefault="0067668F" w:rsidP="00494A9A">
      <w:pPr>
        <w:pStyle w:val="Heading2"/>
      </w:pPr>
      <w:bookmarkStart w:id="10" w:name="_Toc476241507"/>
      <w:r w:rsidRPr="00F10391">
        <w:lastRenderedPageBreak/>
        <w:t>Acknowledgements</w:t>
      </w:r>
      <w:bookmarkEnd w:id="8"/>
      <w:bookmarkEnd w:id="9"/>
      <w:bookmarkEnd w:id="10"/>
    </w:p>
    <w:p w14:paraId="2B3C3372" w14:textId="77777777" w:rsidR="0067668F" w:rsidRPr="00F10391" w:rsidRDefault="0067668F" w:rsidP="00494A9A">
      <w:r w:rsidRPr="00F10391">
        <w:t>It goes without saying that I am greatly indebted to many people, without whom this thesis would likely not have been possible. Their support (in its various ways) cannot be overstated, and they are due thanks.</w:t>
      </w:r>
    </w:p>
    <w:p w14:paraId="3F8E63D2" w14:textId="77777777" w:rsidR="0067668F" w:rsidRPr="00F10391" w:rsidRDefault="0067668F" w:rsidP="00490B5D">
      <w:r w:rsidRPr="00F10391">
        <w:t>Prof Stephen J Walters has been a pragmatic and supportive lead supervisor. His experience, advice and navigation skills were invaluable on a number of occasions. Dr Praveen Thokala has also been hugely supportive; I’m very grateful for both his expertise and his open, friendly demeanour. Both Praveen and Stephen have encouraged me from early on to take risks and stand on my own two feet, getting involved in conferences and research projects as much as possible. It is hard to imagine this thesis occurring at all without their support.</w:t>
      </w:r>
    </w:p>
    <w:p w14:paraId="54984D19" w14:textId="77777777" w:rsidR="0067668F" w:rsidRPr="00F10391" w:rsidRDefault="0067668F" w:rsidP="00490B5D">
      <w:r w:rsidRPr="00F10391">
        <w:t xml:space="preserve">Prof Mike Kelly has also been a great source of wisdom and inspiration. He was very welcoming in allowing me to work for a time as part of the thesis as part of the Centre for Public Health – a hugely rewarding experience for me – and has always supported me in my writing and presenting since. </w:t>
      </w:r>
    </w:p>
    <w:p w14:paraId="71D2A1CE" w14:textId="77777777" w:rsidR="0067668F" w:rsidRPr="00F10391" w:rsidRDefault="0067668F" w:rsidP="00A662B3">
      <w:r w:rsidRPr="00F10391">
        <w:t xml:space="preserve">Prof Alejandra Duenas initially secured the funding for this thesis and selected me to complete it, setting a whole series of events in my life in train since. She too has been very supportive. </w:t>
      </w:r>
    </w:p>
    <w:p w14:paraId="389640FD" w14:textId="77777777" w:rsidR="0067668F" w:rsidRPr="00F10391" w:rsidRDefault="0067668F" w:rsidP="00A662B3">
      <w:r w:rsidRPr="00F10391">
        <w:t>I would also like to acknowledge my friends and broader colleagues in ScHARR who have helped shape this thesis. Jim Chilcott, Prof Liddy Goyder and Prof John Brazier, amongst others, gave valuable advice on the thesis as it took shape. Prof Allan Wailoo gave me a rather helpful grilling at my upgrade from MPhil to PhD status. The PGR admin staff were always ready to help in innumerable ways. ScHARR is a welcoming place and has a manageable size, and I’ve been lucky to share my time there with some great friends, who made the transition to a new city such a pleasure. Thank you all.</w:t>
      </w:r>
    </w:p>
    <w:p w14:paraId="77480C23" w14:textId="77777777" w:rsidR="0067668F" w:rsidRPr="00F10391" w:rsidRDefault="0067668F" w:rsidP="00A662B3">
      <w:r w:rsidRPr="00F10391">
        <w:t xml:space="preserve">I should also thank my colleagues in NICE, including Dr Alastair Fischer, Jane Huntley and Dr Lesley Owen who gave valuable advice, and for allowing me to take such a full part in proceedings throughout. Other work could not have taken place without the support of others who gave up their time for the purposes of this research; the volunteers who took part in the research on prioritising topics for future guidance – who took time off from busy schedules for the sake of </w:t>
      </w:r>
      <w:r w:rsidRPr="00F10391">
        <w:rPr>
          <w:i/>
        </w:rPr>
        <w:t>anonymously</w:t>
      </w:r>
      <w:r w:rsidRPr="00F10391">
        <w:t xml:space="preserve"> taking part in a </w:t>
      </w:r>
      <w:r w:rsidRPr="00F10391">
        <w:rPr>
          <w:i/>
        </w:rPr>
        <w:t>pilot</w:t>
      </w:r>
      <w:r w:rsidRPr="00F10391">
        <w:t xml:space="preserve"> workshop – were very generous. </w:t>
      </w:r>
      <w:r w:rsidR="00A04B5B" w:rsidRPr="00F10391">
        <w:t>Natalie Bartle too was particularly helpful in coordinating the organisation of the topic appraisal workshop reported in Chapter 6.</w:t>
      </w:r>
    </w:p>
    <w:p w14:paraId="22069FF1" w14:textId="2E4ECB51" w:rsidR="0067668F" w:rsidRPr="00F10391" w:rsidRDefault="0067668F" w:rsidP="00005AA6">
      <w:r w:rsidRPr="00F10391">
        <w:t xml:space="preserve">The tobacco control commissioners for the four South Yorkshire boroughs – Kerry Warhurst, Helen Chambers, Alison Iliff and Lynsey Bowker – always managed to combine friendliness, enthusiasm and pragmatism. This somehow allowed the tobacco prevalence project develop from </w:t>
      </w:r>
      <w:r w:rsidR="00097A0C">
        <w:t>some</w:t>
      </w:r>
      <w:r w:rsidRPr="00F10391">
        <w:t xml:space="preserve"> vague notion of a </w:t>
      </w:r>
      <w:r w:rsidR="00C4401A">
        <w:t>‘</w:t>
      </w:r>
      <w:r w:rsidRPr="00F10391">
        <w:t>knowledge-based approach</w:t>
      </w:r>
      <w:r w:rsidR="00C4401A">
        <w:t>’</w:t>
      </w:r>
      <w:r w:rsidRPr="00F10391">
        <w:t xml:space="preserve"> through to</w:t>
      </w:r>
      <w:r w:rsidR="00105FA7" w:rsidRPr="00F10391">
        <w:t xml:space="preserve"> fruition and implementation</w:t>
      </w:r>
      <w:r w:rsidRPr="00F10391">
        <w:t xml:space="preserve">. I should also take this chance to again thank the volunteers who took part in the decision conference related to this work, and members of the public who had taken part previously in focus groups. </w:t>
      </w:r>
    </w:p>
    <w:p w14:paraId="73329286" w14:textId="1FDAB047" w:rsidR="00105FA7" w:rsidRPr="00F10391" w:rsidRDefault="00105FA7" w:rsidP="00005AA6">
      <w:r w:rsidRPr="00F10391">
        <w:t xml:space="preserve">I would also like to take this opportunity to </w:t>
      </w:r>
      <w:r w:rsidR="006C7AFB">
        <w:t xml:space="preserve">thank </w:t>
      </w:r>
      <w:r w:rsidRPr="00F10391">
        <w:t xml:space="preserve">my examiners, Sarah Salway and Nancy Devlin. Their suggestions for alterations to prior submission of this thesis have, I feel, made </w:t>
      </w:r>
      <w:r w:rsidRPr="00F10391">
        <w:lastRenderedPageBreak/>
        <w:t>this a significantly stronger, better focussed and more impactful piece of work, and I appreciate their wisdom and</w:t>
      </w:r>
      <w:r w:rsidR="00097A0C">
        <w:t xml:space="preserve"> guidance</w:t>
      </w:r>
      <w:r w:rsidRPr="00F10391">
        <w:t xml:space="preserve"> in this.</w:t>
      </w:r>
    </w:p>
    <w:p w14:paraId="762C24CC" w14:textId="77777777" w:rsidR="0067668F" w:rsidRPr="00F10391" w:rsidRDefault="0067668F" w:rsidP="00005AA6">
      <w:r w:rsidRPr="00F10391">
        <w:t xml:space="preserve">To my family </w:t>
      </w:r>
      <w:r w:rsidR="00A04B5B" w:rsidRPr="00F10391">
        <w:t xml:space="preserve">for </w:t>
      </w:r>
      <w:r w:rsidRPr="00F10391">
        <w:t>their love and support (and proofreading skills), thank you. The thesis simply could not have happened without all y</w:t>
      </w:r>
      <w:r w:rsidR="00105FA7" w:rsidRPr="00F10391">
        <w:t>ou have done, over many years. In this regard, w</w:t>
      </w:r>
      <w:r w:rsidR="00A04B5B" w:rsidRPr="00F10391">
        <w:t>ords fail me.</w:t>
      </w:r>
    </w:p>
    <w:p w14:paraId="168CABB6" w14:textId="77777777" w:rsidR="00A04B5B" w:rsidRPr="00F10391" w:rsidRDefault="00A04B5B" w:rsidP="00005AA6">
      <w:r w:rsidRPr="00F10391">
        <w:t xml:space="preserve">To Louise, who </w:t>
      </w:r>
      <w:r w:rsidR="00105FA7" w:rsidRPr="00F10391">
        <w:t>has had to show some tireless patience while I wrote this,</w:t>
      </w:r>
      <w:r w:rsidRPr="00F10391">
        <w:t xml:space="preserve"> for </w:t>
      </w:r>
      <w:r w:rsidR="00105FA7" w:rsidRPr="00F10391">
        <w:t>her support, love and sheer emotional strength. I know how lucky I am to have her in my life; she makes it such a rich and joyful place. Thank you.</w:t>
      </w:r>
      <w:r w:rsidRPr="00F10391">
        <w:t xml:space="preserve"> </w:t>
      </w:r>
    </w:p>
    <w:p w14:paraId="2DA41380" w14:textId="77777777" w:rsidR="0067668F" w:rsidRPr="00F10391" w:rsidRDefault="0067668F" w:rsidP="00D24504">
      <w:r w:rsidRPr="00F10391">
        <w:t>This research was funded by ESRC CASE award ES/I026088/1, entitled “Multi criteria approaches to public health decision making”, with NICE as the non-academic partner; I must also acknowle</w:t>
      </w:r>
      <w:r w:rsidR="00105FA7" w:rsidRPr="00F10391">
        <w:t>dge their support at this time.</w:t>
      </w:r>
    </w:p>
    <w:p w14:paraId="0A8CD9B0" w14:textId="77777777" w:rsidR="0067668F" w:rsidRPr="00F10391" w:rsidRDefault="0067668F">
      <w:pPr>
        <w:sectPr w:rsidR="0067668F" w:rsidRPr="00F10391" w:rsidSect="003569DA">
          <w:footerReference w:type="default" r:id="rId8"/>
          <w:footnotePr>
            <w:numFmt w:val="lowerRoman"/>
          </w:footnotePr>
          <w:pgSz w:w="11906" w:h="16838" w:code="9"/>
          <w:pgMar w:top="1440" w:right="1440" w:bottom="1440" w:left="1440" w:header="708" w:footer="708" w:gutter="0"/>
          <w:pgNumType w:fmt="lowerRoman"/>
          <w:cols w:space="708"/>
          <w:docGrid w:linePitch="360"/>
        </w:sectPr>
      </w:pPr>
    </w:p>
    <w:p w14:paraId="5887F3A7" w14:textId="77777777" w:rsidR="0067668F" w:rsidRPr="00F10391" w:rsidRDefault="0067668F">
      <w:pPr>
        <w:pStyle w:val="Heading2"/>
      </w:pPr>
      <w:bookmarkStart w:id="11" w:name="_Toc313187804"/>
      <w:bookmarkStart w:id="12" w:name="_Toc453595412"/>
      <w:bookmarkStart w:id="13" w:name="_Toc476241508"/>
      <w:r w:rsidRPr="00F10391">
        <w:lastRenderedPageBreak/>
        <w:t>List of acronyms</w:t>
      </w:r>
      <w:bookmarkEnd w:id="11"/>
      <w:bookmarkEnd w:id="12"/>
      <w:bookmarkEnd w:id="13"/>
    </w:p>
    <w:p w14:paraId="729B28C7" w14:textId="77777777" w:rsidR="0067668F" w:rsidRPr="00F10391" w:rsidRDefault="0067668F">
      <w:r w:rsidRPr="00F10391">
        <w:t>A4R</w:t>
      </w:r>
      <w:r w:rsidRPr="00F10391">
        <w:tab/>
      </w:r>
      <w:r w:rsidRPr="00F10391">
        <w:tab/>
      </w:r>
      <w:r w:rsidRPr="00F10391">
        <w:tab/>
        <w:t xml:space="preserve">Accountability for reasonableness framework </w:t>
      </w:r>
    </w:p>
    <w:p w14:paraId="457855B3" w14:textId="77777777" w:rsidR="0067668F" w:rsidRPr="00F10391" w:rsidRDefault="0067668F">
      <w:r w:rsidRPr="00F10391">
        <w:t>AHP</w:t>
      </w:r>
      <w:r w:rsidRPr="00F10391">
        <w:tab/>
      </w:r>
      <w:r w:rsidRPr="00F10391">
        <w:tab/>
      </w:r>
      <w:r w:rsidRPr="00F10391">
        <w:tab/>
        <w:t>Analytic hierarchy process</w:t>
      </w:r>
    </w:p>
    <w:p w14:paraId="347C9429" w14:textId="77777777" w:rsidR="00F5392A" w:rsidRPr="00F10391" w:rsidRDefault="00F5392A">
      <w:r w:rsidRPr="00F10391">
        <w:t>AIDS</w:t>
      </w:r>
      <w:r w:rsidRPr="00F10391">
        <w:tab/>
      </w:r>
      <w:r w:rsidRPr="00F10391">
        <w:tab/>
      </w:r>
      <w:r w:rsidRPr="00F10391">
        <w:tab/>
        <w:t>Acquired immunodeficiency syndrome</w:t>
      </w:r>
    </w:p>
    <w:p w14:paraId="2A4CC475" w14:textId="77777777" w:rsidR="0067668F" w:rsidRPr="00F10391" w:rsidRDefault="009C62FF">
      <w:r w:rsidRPr="00F10391">
        <w:t>ASSIST</w:t>
      </w:r>
      <w:r w:rsidRPr="00F10391">
        <w:tab/>
      </w:r>
      <w:r w:rsidRPr="00F10391">
        <w:tab/>
      </w:r>
      <w:r w:rsidR="0067668F" w:rsidRPr="00F10391">
        <w:t>A stop smoking in schools trial programme</w:t>
      </w:r>
    </w:p>
    <w:p w14:paraId="5E1994FE" w14:textId="77777777" w:rsidR="0067668F" w:rsidRPr="00F10391" w:rsidRDefault="0067668F">
      <w:r w:rsidRPr="00F10391">
        <w:t>BME</w:t>
      </w:r>
      <w:r w:rsidRPr="00F10391">
        <w:tab/>
      </w:r>
      <w:r w:rsidRPr="00F10391">
        <w:tab/>
      </w:r>
      <w:r w:rsidRPr="00F10391">
        <w:tab/>
        <w:t>Black and minority ethnic populations</w:t>
      </w:r>
    </w:p>
    <w:p w14:paraId="1675C1F9" w14:textId="77777777" w:rsidR="0067668F" w:rsidRPr="00F10391" w:rsidRDefault="0067668F">
      <w:r w:rsidRPr="00F10391">
        <w:t>CBA</w:t>
      </w:r>
      <w:r w:rsidRPr="00F10391">
        <w:tab/>
      </w:r>
      <w:r w:rsidRPr="00F10391">
        <w:tab/>
      </w:r>
      <w:r w:rsidRPr="00F10391">
        <w:tab/>
        <w:t>Cost-benefit analysis</w:t>
      </w:r>
    </w:p>
    <w:p w14:paraId="3E9F1DF0" w14:textId="77777777" w:rsidR="0067668F" w:rsidRPr="00F10391" w:rsidRDefault="0067668F">
      <w:r w:rsidRPr="00F10391">
        <w:t>CCA</w:t>
      </w:r>
      <w:r w:rsidRPr="00F10391">
        <w:tab/>
      </w:r>
      <w:r w:rsidRPr="00F10391">
        <w:tab/>
      </w:r>
      <w:r w:rsidRPr="00F10391">
        <w:tab/>
        <w:t>Cost-consequence analysis</w:t>
      </w:r>
    </w:p>
    <w:p w14:paraId="794C47AA" w14:textId="77777777" w:rsidR="00F5392A" w:rsidRPr="00F10391" w:rsidRDefault="00F5392A">
      <w:r w:rsidRPr="00F10391">
        <w:t>CCG</w:t>
      </w:r>
      <w:r w:rsidRPr="00F10391">
        <w:tab/>
      </w:r>
      <w:r w:rsidRPr="00F10391">
        <w:tab/>
      </w:r>
      <w:r w:rsidRPr="00F10391">
        <w:tab/>
        <w:t>Clinical commissioning groups</w:t>
      </w:r>
    </w:p>
    <w:p w14:paraId="7E664FE5" w14:textId="77777777" w:rsidR="0067668F" w:rsidRPr="00F10391" w:rsidRDefault="0067668F">
      <w:r w:rsidRPr="00F10391">
        <w:t>CEA</w:t>
      </w:r>
      <w:r w:rsidRPr="00F10391">
        <w:tab/>
      </w:r>
      <w:r w:rsidRPr="00F10391">
        <w:tab/>
      </w:r>
      <w:r w:rsidRPr="00F10391">
        <w:tab/>
        <w:t>Cost-effectiveness analysis</w:t>
      </w:r>
    </w:p>
    <w:p w14:paraId="3614103C" w14:textId="77777777" w:rsidR="0076590F" w:rsidRPr="00F10391" w:rsidRDefault="0076590F">
      <w:r w:rsidRPr="00F10391">
        <w:t>CHD</w:t>
      </w:r>
      <w:r w:rsidRPr="00F10391">
        <w:tab/>
      </w:r>
      <w:r w:rsidRPr="00F10391">
        <w:tab/>
      </w:r>
      <w:r w:rsidRPr="00F10391">
        <w:tab/>
        <w:t>Coronary heart disease</w:t>
      </w:r>
    </w:p>
    <w:p w14:paraId="3ABF9401" w14:textId="77777777" w:rsidR="0067668F" w:rsidRPr="00F10391" w:rsidRDefault="0067668F">
      <w:r w:rsidRPr="00F10391">
        <w:t>COPD</w:t>
      </w:r>
      <w:r w:rsidRPr="00F10391">
        <w:tab/>
      </w:r>
      <w:r w:rsidRPr="00F10391">
        <w:tab/>
      </w:r>
      <w:r w:rsidRPr="00F10391">
        <w:tab/>
        <w:t>Chronic obstructive pulmonary disorder</w:t>
      </w:r>
    </w:p>
    <w:p w14:paraId="629DCBC5" w14:textId="77777777" w:rsidR="0076590F" w:rsidRPr="00F10391" w:rsidRDefault="0067668F">
      <w:r w:rsidRPr="00F10391">
        <w:t>CPH</w:t>
      </w:r>
      <w:r w:rsidRPr="00F10391">
        <w:tab/>
      </w:r>
      <w:r w:rsidRPr="00F10391">
        <w:tab/>
      </w:r>
      <w:r w:rsidRPr="00F10391">
        <w:tab/>
        <w:t>Centre for Public Health</w:t>
      </w:r>
    </w:p>
    <w:p w14:paraId="5A9F2380" w14:textId="77777777" w:rsidR="0076590F" w:rsidRPr="00F10391" w:rsidRDefault="0076590F">
      <w:r w:rsidRPr="00F10391">
        <w:t>CO2</w:t>
      </w:r>
      <w:r w:rsidRPr="00F10391">
        <w:tab/>
      </w:r>
      <w:r w:rsidRPr="00F10391">
        <w:tab/>
      </w:r>
      <w:r w:rsidRPr="00F10391">
        <w:tab/>
        <w:t>Carbon dioxide</w:t>
      </w:r>
      <w:r w:rsidR="008C2257" w:rsidRPr="00F10391">
        <w:t xml:space="preserve"> </w:t>
      </w:r>
    </w:p>
    <w:p w14:paraId="2621C4A9" w14:textId="77777777" w:rsidR="0067668F" w:rsidRPr="00F10391" w:rsidRDefault="0067668F">
      <w:r w:rsidRPr="00F10391">
        <w:t>CUA</w:t>
      </w:r>
      <w:r w:rsidRPr="00F10391">
        <w:tab/>
      </w:r>
      <w:r w:rsidRPr="00F10391">
        <w:tab/>
      </w:r>
      <w:r w:rsidRPr="00F10391">
        <w:tab/>
        <w:t>Cost-utility analysis</w:t>
      </w:r>
    </w:p>
    <w:p w14:paraId="78825518" w14:textId="77777777" w:rsidR="0076590F" w:rsidRPr="00F10391" w:rsidRDefault="0076590F">
      <w:r w:rsidRPr="00F10391">
        <w:t>CVD</w:t>
      </w:r>
      <w:r w:rsidRPr="00F10391">
        <w:tab/>
      </w:r>
      <w:r w:rsidRPr="00F10391">
        <w:tab/>
      </w:r>
      <w:r w:rsidRPr="00F10391">
        <w:tab/>
        <w:t>Cardiovascular disease</w:t>
      </w:r>
    </w:p>
    <w:p w14:paraId="3B07616C" w14:textId="77777777" w:rsidR="0067668F" w:rsidRPr="00F10391" w:rsidRDefault="0067668F">
      <w:r w:rsidRPr="00F10391">
        <w:t>DCBE</w:t>
      </w:r>
      <w:r w:rsidRPr="00F10391">
        <w:tab/>
      </w:r>
      <w:r w:rsidRPr="00F10391">
        <w:tab/>
      </w:r>
      <w:r w:rsidRPr="00F10391">
        <w:tab/>
        <w:t>Double contrast barium enema</w:t>
      </w:r>
    </w:p>
    <w:p w14:paraId="25312EB3" w14:textId="77777777" w:rsidR="0067668F" w:rsidRPr="00F10391" w:rsidRDefault="0067668F">
      <w:r w:rsidRPr="00F10391">
        <w:t>DCE</w:t>
      </w:r>
      <w:r w:rsidRPr="00F10391">
        <w:tab/>
      </w:r>
      <w:r w:rsidRPr="00F10391">
        <w:tab/>
      </w:r>
      <w:r w:rsidRPr="00F10391">
        <w:tab/>
        <w:t>Discrete choice experiment</w:t>
      </w:r>
    </w:p>
    <w:p w14:paraId="6AD940EC" w14:textId="77777777" w:rsidR="0067668F" w:rsidRPr="00F10391" w:rsidRDefault="0067668F">
      <w:r w:rsidRPr="00F10391">
        <w:t>DfT</w:t>
      </w:r>
      <w:r w:rsidRPr="00F10391">
        <w:tab/>
      </w:r>
      <w:r w:rsidRPr="00F10391">
        <w:tab/>
      </w:r>
      <w:r w:rsidRPr="00F10391">
        <w:tab/>
        <w:t>Department for Transport</w:t>
      </w:r>
    </w:p>
    <w:p w14:paraId="2B9C8AE8" w14:textId="77777777" w:rsidR="0067668F" w:rsidRPr="00E36845" w:rsidRDefault="0067668F">
      <w:r w:rsidRPr="00E36845">
        <w:t>DPH</w:t>
      </w:r>
      <w:r w:rsidRPr="00E36845">
        <w:tab/>
      </w:r>
      <w:r w:rsidRPr="00E36845">
        <w:tab/>
      </w:r>
      <w:r w:rsidRPr="00E36845">
        <w:tab/>
        <w:t>Director of Public Health</w:t>
      </w:r>
    </w:p>
    <w:p w14:paraId="2F89B2C9" w14:textId="77777777" w:rsidR="0067668F" w:rsidRPr="00E36845" w:rsidRDefault="0067668F">
      <w:r w:rsidRPr="00E36845">
        <w:t xml:space="preserve">ELECTRE </w:t>
      </w:r>
      <w:r w:rsidRPr="00E36845">
        <w:tab/>
      </w:r>
      <w:r w:rsidRPr="00E36845">
        <w:tab/>
        <w:t>ELimination Et Choix Traduisant la REalité</w:t>
      </w:r>
      <w:r w:rsidRPr="00E36845">
        <w:tab/>
      </w:r>
    </w:p>
    <w:p w14:paraId="509C8DF4" w14:textId="77777777" w:rsidR="0067668F" w:rsidRPr="00E36845" w:rsidRDefault="0067668F">
      <w:r w:rsidRPr="00E36845">
        <w:t>EMA</w:t>
      </w:r>
      <w:r w:rsidRPr="00E36845">
        <w:tab/>
      </w:r>
      <w:r w:rsidRPr="00E36845">
        <w:tab/>
      </w:r>
      <w:r w:rsidRPr="00E36845">
        <w:tab/>
        <w:t>European Medicines Agency</w:t>
      </w:r>
      <w:r w:rsidRPr="00E36845">
        <w:tab/>
      </w:r>
    </w:p>
    <w:p w14:paraId="20FEA7AE" w14:textId="77777777" w:rsidR="00F5392A" w:rsidRPr="00E36845" w:rsidRDefault="00F5392A">
      <w:r w:rsidRPr="00E36845">
        <w:t>EQ-5D</w:t>
      </w:r>
      <w:r w:rsidRPr="00E36845">
        <w:tab/>
      </w:r>
      <w:r w:rsidRPr="00E36845">
        <w:tab/>
      </w:r>
      <w:r w:rsidRPr="00E36845">
        <w:tab/>
        <w:t>EuroQol five dimensions questionnaire</w:t>
      </w:r>
    </w:p>
    <w:p w14:paraId="6473701C" w14:textId="77777777" w:rsidR="0067668F" w:rsidRPr="00F10391" w:rsidRDefault="0067668F">
      <w:r w:rsidRPr="00F10391">
        <w:t>ESRC</w:t>
      </w:r>
      <w:r w:rsidRPr="00F10391">
        <w:tab/>
      </w:r>
      <w:r w:rsidRPr="00F10391">
        <w:tab/>
      </w:r>
      <w:r w:rsidRPr="00F10391">
        <w:tab/>
        <w:t>Economic and Social Research Council</w:t>
      </w:r>
    </w:p>
    <w:p w14:paraId="3BA0E153" w14:textId="77777777" w:rsidR="0067668F" w:rsidRPr="00F10391" w:rsidRDefault="0067668F">
      <w:r w:rsidRPr="00F10391">
        <w:t>FAHP</w:t>
      </w:r>
      <w:r w:rsidRPr="00F10391">
        <w:tab/>
      </w:r>
      <w:r w:rsidRPr="00F10391">
        <w:tab/>
      </w:r>
      <w:r w:rsidRPr="00F10391">
        <w:tab/>
        <w:t>Fuzzy analytic hierarchy process</w:t>
      </w:r>
    </w:p>
    <w:p w14:paraId="25F1105C" w14:textId="77777777" w:rsidR="00F5392A" w:rsidRPr="00F10391" w:rsidRDefault="00F5392A">
      <w:r w:rsidRPr="00F10391">
        <w:t>GIS</w:t>
      </w:r>
      <w:r w:rsidRPr="00F10391">
        <w:tab/>
      </w:r>
      <w:r w:rsidRPr="00F10391">
        <w:tab/>
      </w:r>
      <w:r w:rsidRPr="00F10391">
        <w:tab/>
      </w:r>
      <w:r w:rsidR="00B53E5F" w:rsidRPr="00F10391">
        <w:t>Geographic</w:t>
      </w:r>
      <w:r w:rsidRPr="00F10391">
        <w:t xml:space="preserve"> information system</w:t>
      </w:r>
    </w:p>
    <w:p w14:paraId="2C0D5FC8" w14:textId="77777777" w:rsidR="008C2257" w:rsidRPr="00F10391" w:rsidRDefault="008C2257">
      <w:r w:rsidRPr="00F10391">
        <w:t>HE.LP</w:t>
      </w:r>
      <w:r w:rsidRPr="00F10391">
        <w:tab/>
      </w:r>
      <w:r w:rsidRPr="00F10391">
        <w:tab/>
      </w:r>
      <w:r w:rsidRPr="00F10391">
        <w:tab/>
        <w:t>Health England Leading Prioritisation</w:t>
      </w:r>
    </w:p>
    <w:p w14:paraId="182044A4" w14:textId="77777777" w:rsidR="00F5392A" w:rsidRPr="00F10391" w:rsidRDefault="00F5392A">
      <w:r w:rsidRPr="00F10391">
        <w:t>HIV</w:t>
      </w:r>
      <w:r w:rsidRPr="00F10391">
        <w:tab/>
      </w:r>
      <w:r w:rsidRPr="00F10391">
        <w:tab/>
      </w:r>
      <w:r w:rsidRPr="00F10391">
        <w:tab/>
        <w:t>Human immunodeficiency virus</w:t>
      </w:r>
    </w:p>
    <w:p w14:paraId="28F5F7E9" w14:textId="77777777" w:rsidR="0067668F" w:rsidRPr="00F10391" w:rsidRDefault="0067668F">
      <w:r w:rsidRPr="00F10391">
        <w:lastRenderedPageBreak/>
        <w:t>HTA</w:t>
      </w:r>
      <w:r w:rsidRPr="00F10391">
        <w:tab/>
      </w:r>
      <w:r w:rsidRPr="00F10391">
        <w:tab/>
      </w:r>
      <w:r w:rsidRPr="00F10391">
        <w:tab/>
        <w:t>Health technology assessment</w:t>
      </w:r>
    </w:p>
    <w:p w14:paraId="7F345F30" w14:textId="77777777" w:rsidR="0067668F" w:rsidRPr="00F10391" w:rsidRDefault="0067668F">
      <w:r w:rsidRPr="00F10391">
        <w:t>ICER</w:t>
      </w:r>
      <w:r w:rsidRPr="00F10391">
        <w:tab/>
      </w:r>
      <w:r w:rsidRPr="00F10391">
        <w:tab/>
      </w:r>
      <w:r w:rsidRPr="00F10391">
        <w:tab/>
        <w:t>Incremental cost-effectiveness ratio</w:t>
      </w:r>
    </w:p>
    <w:p w14:paraId="1734A176" w14:textId="77777777" w:rsidR="0067668F" w:rsidRPr="00F10391" w:rsidRDefault="0067668F">
      <w:r w:rsidRPr="00F10391">
        <w:t>ISI</w:t>
      </w:r>
      <w:r w:rsidRPr="00F10391">
        <w:tab/>
      </w:r>
      <w:r w:rsidRPr="00F10391">
        <w:tab/>
      </w:r>
      <w:r w:rsidRPr="00F10391">
        <w:tab/>
        <w:t>Institute for Scientific Information</w:t>
      </w:r>
    </w:p>
    <w:p w14:paraId="5922EA6E" w14:textId="77777777" w:rsidR="008C2257" w:rsidRDefault="008C2257">
      <w:r w:rsidRPr="00F10391">
        <w:t>ISPOR</w:t>
      </w:r>
      <w:r w:rsidRPr="00F10391">
        <w:tab/>
      </w:r>
      <w:r w:rsidRPr="00F10391">
        <w:tab/>
      </w:r>
      <w:r w:rsidRPr="00F10391">
        <w:tab/>
        <w:t>International Society for Pharmacoeconomics and Outcome Research</w:t>
      </w:r>
    </w:p>
    <w:p w14:paraId="2B887180" w14:textId="77777777" w:rsidR="00060C01" w:rsidRPr="00F10391" w:rsidRDefault="00060C01">
      <w:r>
        <w:t>LG</w:t>
      </w:r>
      <w:r>
        <w:tab/>
      </w:r>
      <w:r>
        <w:tab/>
      </w:r>
      <w:r>
        <w:tab/>
        <w:t>Local government</w:t>
      </w:r>
    </w:p>
    <w:p w14:paraId="2C7718CA" w14:textId="77777777" w:rsidR="00F5392A" w:rsidRPr="00F10391" w:rsidRDefault="00F5392A">
      <w:r w:rsidRPr="00F10391">
        <w:t>MAUT/MAVT</w:t>
      </w:r>
      <w:r w:rsidRPr="00F10391">
        <w:tab/>
      </w:r>
      <w:r w:rsidRPr="00F10391">
        <w:tab/>
        <w:t>Multi-attribute utility/value theory</w:t>
      </w:r>
    </w:p>
    <w:p w14:paraId="6FFEB653" w14:textId="77777777" w:rsidR="0067668F" w:rsidRPr="00F10391" w:rsidRDefault="0067668F">
      <w:r w:rsidRPr="00F10391">
        <w:t>MCDA</w:t>
      </w:r>
      <w:r w:rsidRPr="00F10391">
        <w:tab/>
      </w:r>
      <w:r w:rsidRPr="00F10391">
        <w:tab/>
      </w:r>
      <w:r w:rsidRPr="00F10391">
        <w:tab/>
        <w:t>Multiple (or multi) criteria decision analysis (or aid)</w:t>
      </w:r>
    </w:p>
    <w:p w14:paraId="19A59028" w14:textId="77777777" w:rsidR="0067668F" w:rsidRPr="00F10391" w:rsidRDefault="0067668F">
      <w:r w:rsidRPr="00F10391">
        <w:t>MCDM</w:t>
      </w:r>
      <w:r w:rsidRPr="00F10391">
        <w:tab/>
      </w:r>
      <w:r w:rsidRPr="00F10391">
        <w:tab/>
      </w:r>
      <w:r w:rsidRPr="00F10391">
        <w:tab/>
        <w:t>Multiple criteria decision-making (See MCDA)</w:t>
      </w:r>
    </w:p>
    <w:p w14:paraId="7F9807B3" w14:textId="77777777" w:rsidR="0067668F" w:rsidRPr="00F10391" w:rsidRDefault="0067668F">
      <w:r w:rsidRPr="00F10391">
        <w:t>MEDLINE</w:t>
      </w:r>
      <w:r w:rsidRPr="00F10391">
        <w:tab/>
      </w:r>
      <w:r w:rsidRPr="00F10391">
        <w:tab/>
        <w:t>Medical Literature Analysis and Retrieval System Online</w:t>
      </w:r>
    </w:p>
    <w:p w14:paraId="066C4E93" w14:textId="77777777" w:rsidR="0067668F" w:rsidRPr="00F10391" w:rsidRDefault="0067668F">
      <w:r w:rsidRPr="00F10391">
        <w:t>MOO</w:t>
      </w:r>
      <w:r w:rsidRPr="00F10391">
        <w:tab/>
      </w:r>
      <w:r w:rsidRPr="00F10391">
        <w:tab/>
      </w:r>
      <w:r w:rsidRPr="00F10391">
        <w:tab/>
        <w:t>Multi-objective optimisation</w:t>
      </w:r>
    </w:p>
    <w:p w14:paraId="040F0A4A" w14:textId="77777777" w:rsidR="00F5392A" w:rsidRPr="00F10391" w:rsidRDefault="00F5392A">
      <w:r w:rsidRPr="00F10391">
        <w:t>MVH</w:t>
      </w:r>
      <w:r w:rsidR="0076590F" w:rsidRPr="00F10391">
        <w:tab/>
      </w:r>
      <w:r w:rsidR="0076590F" w:rsidRPr="00F10391">
        <w:tab/>
      </w:r>
      <w:r w:rsidR="0076590F" w:rsidRPr="00F10391">
        <w:tab/>
        <w:t xml:space="preserve">Measurement and valuation of health </w:t>
      </w:r>
    </w:p>
    <w:p w14:paraId="500A64CA" w14:textId="77777777" w:rsidR="0067668F" w:rsidRPr="00F10391" w:rsidRDefault="0067668F">
      <w:r w:rsidRPr="00F10391">
        <w:t>NHS</w:t>
      </w:r>
      <w:r w:rsidRPr="00F10391">
        <w:tab/>
      </w:r>
      <w:r w:rsidRPr="00F10391">
        <w:tab/>
      </w:r>
      <w:r w:rsidRPr="00F10391">
        <w:tab/>
        <w:t>National Health Service</w:t>
      </w:r>
    </w:p>
    <w:p w14:paraId="39C98428" w14:textId="77777777" w:rsidR="0067668F" w:rsidRPr="00F10391" w:rsidRDefault="0067668F">
      <w:pPr>
        <w:ind w:left="2160" w:hanging="2160"/>
      </w:pPr>
      <w:r w:rsidRPr="00F10391">
        <w:t>NICE</w:t>
      </w:r>
      <w:r w:rsidRPr="00F10391">
        <w:tab/>
        <w:t>National Institute for Health and Care Excellence; previously National Institute for Clinical Excellence (1999-2005) and National Institute for Health and Clinical Excellence (2005-2013)</w:t>
      </w:r>
    </w:p>
    <w:p w14:paraId="02DFC628" w14:textId="77777777" w:rsidR="0067668F" w:rsidRPr="00F10391" w:rsidRDefault="0067668F" w:rsidP="00494A9A">
      <w:r w:rsidRPr="00F10391">
        <w:t>NPV</w:t>
      </w:r>
      <w:r w:rsidRPr="00F10391">
        <w:tab/>
      </w:r>
      <w:r w:rsidRPr="00F10391">
        <w:tab/>
      </w:r>
      <w:r w:rsidRPr="00F10391">
        <w:tab/>
        <w:t>Net present value</w:t>
      </w:r>
    </w:p>
    <w:p w14:paraId="5DC194EB" w14:textId="77777777" w:rsidR="0067668F" w:rsidRPr="00F10391" w:rsidRDefault="0067668F" w:rsidP="00494A9A">
      <w:r w:rsidRPr="00F10391">
        <w:t>OR</w:t>
      </w:r>
      <w:r w:rsidRPr="00F10391">
        <w:tab/>
      </w:r>
      <w:r w:rsidRPr="00F10391">
        <w:tab/>
      </w:r>
      <w:r w:rsidRPr="00F10391">
        <w:tab/>
        <w:t>Operational research</w:t>
      </w:r>
    </w:p>
    <w:p w14:paraId="667AD18A" w14:textId="77777777" w:rsidR="0067668F" w:rsidRPr="00F10391" w:rsidRDefault="0067668F" w:rsidP="00490B5D">
      <w:r w:rsidRPr="00F10391">
        <w:t>PBMA</w:t>
      </w:r>
      <w:r w:rsidRPr="00F10391">
        <w:tab/>
      </w:r>
      <w:r w:rsidRPr="00F10391">
        <w:tab/>
      </w:r>
      <w:r w:rsidRPr="00F10391">
        <w:tab/>
        <w:t>Programme budgeting and marginal analysis</w:t>
      </w:r>
    </w:p>
    <w:p w14:paraId="10C587A2" w14:textId="77777777" w:rsidR="0067668F" w:rsidRPr="00F10391" w:rsidRDefault="0067668F" w:rsidP="00490B5D">
      <w:r w:rsidRPr="00F10391">
        <w:t>PCT</w:t>
      </w:r>
      <w:r w:rsidRPr="00F10391">
        <w:tab/>
      </w:r>
      <w:r w:rsidRPr="00F10391">
        <w:tab/>
      </w:r>
      <w:r w:rsidRPr="00F10391">
        <w:tab/>
        <w:t>Primary Care Trust</w:t>
      </w:r>
    </w:p>
    <w:p w14:paraId="04F105EE" w14:textId="77777777" w:rsidR="0067668F" w:rsidRPr="00F10391" w:rsidRDefault="0067668F" w:rsidP="00A662B3">
      <w:r w:rsidRPr="00F10391">
        <w:t>PDG</w:t>
      </w:r>
      <w:r w:rsidRPr="00F10391">
        <w:tab/>
      </w:r>
      <w:r w:rsidRPr="00F10391">
        <w:tab/>
      </w:r>
      <w:r w:rsidRPr="00F10391">
        <w:tab/>
        <w:t>Programme Development Group</w:t>
      </w:r>
    </w:p>
    <w:p w14:paraId="2D7D3828" w14:textId="77777777" w:rsidR="0067668F" w:rsidRPr="00F10391" w:rsidRDefault="0067668F" w:rsidP="00A662B3">
      <w:r w:rsidRPr="00F10391">
        <w:t>PHAC</w:t>
      </w:r>
      <w:r w:rsidRPr="00F10391">
        <w:tab/>
      </w:r>
      <w:r w:rsidRPr="00F10391">
        <w:tab/>
      </w:r>
      <w:r w:rsidRPr="00F10391">
        <w:tab/>
        <w:t>Public Health Advisory Committee</w:t>
      </w:r>
    </w:p>
    <w:p w14:paraId="37E00EF4" w14:textId="77777777" w:rsidR="0067668F" w:rsidRPr="00F10391" w:rsidRDefault="0067668F" w:rsidP="00A662B3">
      <w:r w:rsidRPr="00F10391">
        <w:t>PHIAC</w:t>
      </w:r>
      <w:r w:rsidRPr="00F10391">
        <w:tab/>
      </w:r>
      <w:r w:rsidRPr="00F10391">
        <w:tab/>
      </w:r>
      <w:r w:rsidRPr="00F10391">
        <w:tab/>
        <w:t>Public Health Interventions Advisory Committee</w:t>
      </w:r>
    </w:p>
    <w:p w14:paraId="29AA77DD" w14:textId="77777777" w:rsidR="0067668F" w:rsidRPr="00F10391" w:rsidRDefault="0067668F" w:rsidP="00005AA6">
      <w:r w:rsidRPr="00F10391">
        <w:t>PPIP</w:t>
      </w:r>
      <w:r w:rsidRPr="00F10391">
        <w:tab/>
      </w:r>
      <w:r w:rsidRPr="00F10391">
        <w:tab/>
      </w:r>
      <w:r w:rsidRPr="00F10391">
        <w:tab/>
        <w:t>Patient and Public Involvement Programme</w:t>
      </w:r>
    </w:p>
    <w:p w14:paraId="0BC52F3B" w14:textId="77777777" w:rsidR="0067668F" w:rsidRPr="00F10391" w:rsidRDefault="009C62FF" w:rsidP="00700267">
      <w:pPr>
        <w:ind w:left="2160" w:hanging="2160"/>
      </w:pPr>
      <w:r w:rsidRPr="00F10391">
        <w:t>PROMETHEE</w:t>
      </w:r>
      <w:r w:rsidRPr="00F10391">
        <w:tab/>
      </w:r>
      <w:r w:rsidR="0067668F" w:rsidRPr="00F10391">
        <w:t>Preference Ranking Organi</w:t>
      </w:r>
      <w:r w:rsidRPr="00F10391">
        <w:t xml:space="preserve">zation METHod for Enrichment of </w:t>
      </w:r>
      <w:r w:rsidR="0067668F" w:rsidRPr="00F10391">
        <w:t>Evaluations</w:t>
      </w:r>
    </w:p>
    <w:p w14:paraId="26B1AB06" w14:textId="77777777" w:rsidR="0067668F" w:rsidRPr="00F10391" w:rsidRDefault="0067668F" w:rsidP="00494A9A">
      <w:r w:rsidRPr="00F10391">
        <w:t>PSS</w:t>
      </w:r>
      <w:r w:rsidRPr="00F10391">
        <w:tab/>
      </w:r>
      <w:r w:rsidRPr="00F10391">
        <w:tab/>
      </w:r>
      <w:r w:rsidRPr="00F10391">
        <w:tab/>
        <w:t>Personal social services</w:t>
      </w:r>
    </w:p>
    <w:p w14:paraId="08FACEB0" w14:textId="77777777" w:rsidR="0067668F" w:rsidRPr="00F10391" w:rsidRDefault="0067668F" w:rsidP="00494A9A">
      <w:r w:rsidRPr="00F10391">
        <w:t>QALY</w:t>
      </w:r>
      <w:r w:rsidRPr="00F10391">
        <w:tab/>
      </w:r>
      <w:r w:rsidRPr="00F10391">
        <w:tab/>
      </w:r>
      <w:r w:rsidRPr="00F10391">
        <w:tab/>
        <w:t>Quality adjusted life year</w:t>
      </w:r>
    </w:p>
    <w:p w14:paraId="18D7F0AF" w14:textId="77777777" w:rsidR="0067668F" w:rsidRPr="00F10391" w:rsidRDefault="0067668F" w:rsidP="00490B5D">
      <w:r w:rsidRPr="00F10391">
        <w:t>R&amp;M</w:t>
      </w:r>
      <w:r w:rsidRPr="00F10391">
        <w:tab/>
      </w:r>
      <w:r w:rsidRPr="00F10391">
        <w:tab/>
      </w:r>
      <w:r w:rsidRPr="00F10391">
        <w:tab/>
        <w:t>Routine and manual working population</w:t>
      </w:r>
    </w:p>
    <w:p w14:paraId="2F392CA3" w14:textId="77777777" w:rsidR="0067668F" w:rsidRPr="00F10391" w:rsidRDefault="0067668F" w:rsidP="00490B5D">
      <w:r w:rsidRPr="00F10391">
        <w:t>RCT</w:t>
      </w:r>
      <w:r w:rsidRPr="00F10391">
        <w:tab/>
      </w:r>
      <w:r w:rsidRPr="00F10391">
        <w:tab/>
      </w:r>
      <w:r w:rsidRPr="00F10391">
        <w:tab/>
        <w:t>Randomised control trial</w:t>
      </w:r>
    </w:p>
    <w:p w14:paraId="3F72327F" w14:textId="77777777" w:rsidR="0067668F" w:rsidRPr="00F10391" w:rsidRDefault="009C62FF" w:rsidP="00A662B3">
      <w:r w:rsidRPr="00F10391">
        <w:t>ScHARR</w:t>
      </w:r>
      <w:r w:rsidRPr="00F10391">
        <w:tab/>
      </w:r>
      <w:r w:rsidRPr="00F10391">
        <w:tab/>
      </w:r>
      <w:r w:rsidR="0067668F" w:rsidRPr="00F10391">
        <w:t>School of Health and Related Research</w:t>
      </w:r>
    </w:p>
    <w:p w14:paraId="1B07FE57" w14:textId="77777777" w:rsidR="0067668F" w:rsidRPr="00E36845" w:rsidRDefault="009C62FF" w:rsidP="00A662B3">
      <w:r w:rsidRPr="00E36845">
        <w:lastRenderedPageBreak/>
        <w:t xml:space="preserve">SMART </w:t>
      </w:r>
      <w:r w:rsidRPr="00E36845">
        <w:tab/>
      </w:r>
      <w:r w:rsidRPr="00E36845">
        <w:tab/>
      </w:r>
      <w:r w:rsidR="0067668F" w:rsidRPr="00E36845">
        <w:t>Simple multi attribute rating technique</w:t>
      </w:r>
    </w:p>
    <w:p w14:paraId="1CB51F08" w14:textId="77777777" w:rsidR="008C2257" w:rsidRPr="00F10391" w:rsidRDefault="008C2257" w:rsidP="00A662B3">
      <w:r w:rsidRPr="00F10391">
        <w:t>SoNIC</w:t>
      </w:r>
      <w:r w:rsidRPr="00F10391">
        <w:tab/>
      </w:r>
      <w:r w:rsidRPr="00F10391">
        <w:tab/>
      </w:r>
      <w:r w:rsidRPr="00F10391">
        <w:tab/>
        <w:t>Social norms in local communities</w:t>
      </w:r>
    </w:p>
    <w:p w14:paraId="6B743E0F" w14:textId="77777777" w:rsidR="0067668F" w:rsidRPr="00F10391" w:rsidRDefault="0067668F" w:rsidP="00A662B3">
      <w:r w:rsidRPr="00F10391">
        <w:t>SSS</w:t>
      </w:r>
      <w:r w:rsidRPr="00F10391">
        <w:tab/>
      </w:r>
      <w:r w:rsidRPr="00F10391">
        <w:tab/>
      </w:r>
      <w:r w:rsidRPr="00F10391">
        <w:tab/>
        <w:t>Stop smoking services</w:t>
      </w:r>
    </w:p>
    <w:p w14:paraId="657DC294" w14:textId="77777777" w:rsidR="0067668F" w:rsidRPr="00F10391" w:rsidRDefault="0067668F" w:rsidP="00005AA6">
      <w:r w:rsidRPr="00F10391">
        <w:t>TAW</w:t>
      </w:r>
      <w:r w:rsidRPr="00F10391">
        <w:tab/>
      </w:r>
      <w:r w:rsidRPr="00F10391">
        <w:tab/>
      </w:r>
      <w:r w:rsidRPr="00F10391">
        <w:tab/>
        <w:t>Topic appraisal workshop</w:t>
      </w:r>
    </w:p>
    <w:p w14:paraId="249E8ECB" w14:textId="77777777" w:rsidR="0067668F" w:rsidRPr="00E36845" w:rsidRDefault="0067668F" w:rsidP="00005AA6">
      <w:r w:rsidRPr="00E36845">
        <w:t>TCC</w:t>
      </w:r>
      <w:r w:rsidRPr="00E36845">
        <w:tab/>
      </w:r>
      <w:r w:rsidRPr="00E36845">
        <w:tab/>
      </w:r>
      <w:r w:rsidRPr="00E36845">
        <w:tab/>
        <w:t>Tobacco control commissioner</w:t>
      </w:r>
    </w:p>
    <w:p w14:paraId="71D8D237" w14:textId="77777777" w:rsidR="0067668F" w:rsidRPr="00E36845" w:rsidRDefault="0067668F" w:rsidP="00005AA6">
      <w:r w:rsidRPr="00E36845">
        <w:t>TODIM</w:t>
      </w:r>
      <w:r w:rsidRPr="00E36845">
        <w:tab/>
      </w:r>
      <w:r w:rsidRPr="00E36845">
        <w:tab/>
      </w:r>
      <w:r w:rsidRPr="00E36845">
        <w:tab/>
        <w:t>Tomada de Decisão Interativa Multicitério</w:t>
      </w:r>
    </w:p>
    <w:p w14:paraId="26058B55" w14:textId="77777777" w:rsidR="00F37789" w:rsidRPr="00F10391" w:rsidRDefault="00F37789" w:rsidP="00D24504">
      <w:r w:rsidRPr="00F10391">
        <w:t xml:space="preserve">UK </w:t>
      </w:r>
      <w:r w:rsidRPr="00F10391">
        <w:tab/>
      </w:r>
      <w:r w:rsidRPr="00F10391">
        <w:tab/>
      </w:r>
      <w:r w:rsidRPr="00F10391">
        <w:tab/>
        <w:t>United Kingdom</w:t>
      </w:r>
    </w:p>
    <w:p w14:paraId="3DBEFF64" w14:textId="77777777" w:rsidR="0067668F" w:rsidRPr="00F10391" w:rsidRDefault="0067668F" w:rsidP="00D24504">
      <w:r w:rsidRPr="00F10391">
        <w:t>UN</w:t>
      </w:r>
      <w:r w:rsidRPr="00F10391">
        <w:tab/>
      </w:r>
      <w:r w:rsidRPr="00F10391">
        <w:tab/>
      </w:r>
      <w:r w:rsidRPr="00F10391">
        <w:tab/>
        <w:t>United Nations</w:t>
      </w:r>
    </w:p>
    <w:p w14:paraId="63586C0E" w14:textId="77777777" w:rsidR="00F5392A" w:rsidRPr="00F10391" w:rsidRDefault="00F5392A" w:rsidP="00D24504">
      <w:r w:rsidRPr="00F10391">
        <w:t>US</w:t>
      </w:r>
      <w:r w:rsidR="00482E1D" w:rsidRPr="00F10391">
        <w:t>(</w:t>
      </w:r>
      <w:r w:rsidRPr="00F10391">
        <w:t>A</w:t>
      </w:r>
      <w:r w:rsidR="00482E1D" w:rsidRPr="00F10391">
        <w:t>)</w:t>
      </w:r>
      <w:r w:rsidRPr="00F10391">
        <w:tab/>
      </w:r>
      <w:r w:rsidRPr="00F10391">
        <w:tab/>
      </w:r>
      <w:r w:rsidRPr="00F10391">
        <w:tab/>
        <w:t xml:space="preserve">United States </w:t>
      </w:r>
      <w:r w:rsidR="00482E1D" w:rsidRPr="00F10391">
        <w:t>(</w:t>
      </w:r>
      <w:r w:rsidRPr="00F10391">
        <w:t>of America</w:t>
      </w:r>
      <w:r w:rsidR="00482E1D" w:rsidRPr="00F10391">
        <w:t>)</w:t>
      </w:r>
    </w:p>
    <w:p w14:paraId="52362EED" w14:textId="77777777" w:rsidR="0067668F" w:rsidRPr="00F10391" w:rsidRDefault="0067668F" w:rsidP="00D24504">
      <w:r w:rsidRPr="00F10391">
        <w:t>WHO</w:t>
      </w:r>
      <w:r w:rsidRPr="00F10391">
        <w:tab/>
      </w:r>
      <w:r w:rsidRPr="00F10391">
        <w:tab/>
      </w:r>
      <w:r w:rsidRPr="00F10391">
        <w:tab/>
        <w:t>World Health Organisation</w:t>
      </w:r>
    </w:p>
    <w:p w14:paraId="03B30BC6" w14:textId="77777777" w:rsidR="00F5392A" w:rsidRPr="00F10391" w:rsidRDefault="00F5392A" w:rsidP="006A5AA3">
      <w:r w:rsidRPr="00F10391">
        <w:t>WTA</w:t>
      </w:r>
      <w:r w:rsidRPr="00F10391">
        <w:tab/>
      </w:r>
      <w:r w:rsidRPr="00F10391">
        <w:tab/>
      </w:r>
      <w:r w:rsidRPr="00F10391">
        <w:tab/>
        <w:t>Willingness to accept</w:t>
      </w:r>
    </w:p>
    <w:p w14:paraId="06D75DF6" w14:textId="77777777" w:rsidR="0067668F" w:rsidRPr="00F10391" w:rsidRDefault="0067668F" w:rsidP="006942ED">
      <w:r w:rsidRPr="00F10391">
        <w:t>WTP</w:t>
      </w:r>
      <w:r w:rsidRPr="00F10391">
        <w:tab/>
      </w:r>
      <w:r w:rsidRPr="00F10391">
        <w:tab/>
      </w:r>
      <w:r w:rsidRPr="00F10391">
        <w:tab/>
        <w:t>Willingness to pay</w:t>
      </w:r>
    </w:p>
    <w:p w14:paraId="0F3C4E3B" w14:textId="77777777" w:rsidR="0067668F" w:rsidRPr="00F10391" w:rsidRDefault="0067668F">
      <w:pPr>
        <w:sectPr w:rsidR="0067668F" w:rsidRPr="00F10391" w:rsidSect="003569DA">
          <w:footnotePr>
            <w:numFmt w:val="lowerRoman"/>
          </w:footnotePr>
          <w:pgSz w:w="11906" w:h="16838" w:code="9"/>
          <w:pgMar w:top="1440" w:right="1440" w:bottom="1440" w:left="1440" w:header="708" w:footer="708" w:gutter="0"/>
          <w:pgNumType w:fmt="lowerRoman"/>
          <w:cols w:space="708"/>
          <w:docGrid w:linePitch="360"/>
        </w:sectPr>
      </w:pPr>
    </w:p>
    <w:p w14:paraId="1791F930" w14:textId="77777777" w:rsidR="0067668F" w:rsidRPr="00F10391" w:rsidRDefault="0067668F">
      <w:pPr>
        <w:pStyle w:val="Heading2"/>
      </w:pPr>
      <w:bookmarkStart w:id="14" w:name="_Toc453595413"/>
      <w:bookmarkStart w:id="15" w:name="_Toc476241509"/>
      <w:bookmarkStart w:id="16" w:name="_Toc313187805"/>
      <w:r w:rsidRPr="00F10391">
        <w:lastRenderedPageBreak/>
        <w:t>List of tables</w:t>
      </w:r>
      <w:bookmarkEnd w:id="14"/>
      <w:bookmarkEnd w:id="15"/>
      <w:r w:rsidRPr="00F10391">
        <w:t xml:space="preserve"> </w:t>
      </w:r>
      <w:bookmarkEnd w:id="16"/>
    </w:p>
    <w:p w14:paraId="36686F68" w14:textId="583289FF" w:rsidR="00E516A2" w:rsidRDefault="0067668F">
      <w:pPr>
        <w:pStyle w:val="TableofFigures"/>
        <w:tabs>
          <w:tab w:val="right" w:leader="dot" w:pos="9016"/>
        </w:tabs>
        <w:rPr>
          <w:rFonts w:asciiTheme="minorHAnsi" w:eastAsiaTheme="minorEastAsia" w:hAnsiTheme="minorHAnsi" w:cstheme="minorBidi"/>
          <w:noProof/>
          <w:lang w:val="en-IE" w:eastAsia="en-IE"/>
        </w:rPr>
      </w:pPr>
      <w:r w:rsidRPr="00F10391">
        <w:rPr>
          <w:b/>
          <w:bCs/>
          <w:i/>
          <w:sz w:val="28"/>
          <w:szCs w:val="28"/>
        </w:rPr>
        <w:fldChar w:fldCharType="begin"/>
      </w:r>
      <w:r w:rsidRPr="00F10391">
        <w:rPr>
          <w:b/>
          <w:bCs/>
          <w:i/>
          <w:sz w:val="28"/>
          <w:szCs w:val="28"/>
        </w:rPr>
        <w:instrText xml:space="preserve"> TOC \c "Table" </w:instrText>
      </w:r>
      <w:r w:rsidRPr="00F10391">
        <w:rPr>
          <w:b/>
          <w:bCs/>
          <w:i/>
          <w:sz w:val="28"/>
          <w:szCs w:val="28"/>
        </w:rPr>
        <w:fldChar w:fldCharType="separate"/>
      </w:r>
      <w:r w:rsidR="00E516A2">
        <w:rPr>
          <w:noProof/>
        </w:rPr>
        <w:t>Table 2.1 – Example of a clearly bad decision: a ‘Dutch book’ betting strategy</w:t>
      </w:r>
      <w:r w:rsidR="00E516A2">
        <w:rPr>
          <w:noProof/>
        </w:rPr>
        <w:tab/>
      </w:r>
      <w:r w:rsidR="00E516A2">
        <w:rPr>
          <w:noProof/>
        </w:rPr>
        <w:fldChar w:fldCharType="begin"/>
      </w:r>
      <w:r w:rsidR="00E516A2">
        <w:rPr>
          <w:noProof/>
        </w:rPr>
        <w:instrText xml:space="preserve"> PAGEREF _Toc476241419 \h </w:instrText>
      </w:r>
      <w:r w:rsidR="00E516A2">
        <w:rPr>
          <w:noProof/>
        </w:rPr>
      </w:r>
      <w:r w:rsidR="00E516A2">
        <w:rPr>
          <w:noProof/>
        </w:rPr>
        <w:fldChar w:fldCharType="separate"/>
      </w:r>
      <w:r w:rsidR="00E516A2">
        <w:rPr>
          <w:noProof/>
        </w:rPr>
        <w:t>17</w:t>
      </w:r>
      <w:r w:rsidR="00E516A2">
        <w:rPr>
          <w:noProof/>
        </w:rPr>
        <w:fldChar w:fldCharType="end"/>
      </w:r>
    </w:p>
    <w:p w14:paraId="5F86C0E5" w14:textId="103D9D5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2.2 – Arnold's weights for each of the criteria using swing weighting, with ‘Avoiding false positives’ the most important</w:t>
      </w:r>
      <w:r>
        <w:rPr>
          <w:noProof/>
        </w:rPr>
        <w:tab/>
      </w:r>
      <w:r>
        <w:rPr>
          <w:noProof/>
        </w:rPr>
        <w:fldChar w:fldCharType="begin"/>
      </w:r>
      <w:r>
        <w:rPr>
          <w:noProof/>
        </w:rPr>
        <w:instrText xml:space="preserve"> PAGEREF _Toc476241420 \h </w:instrText>
      </w:r>
      <w:r>
        <w:rPr>
          <w:noProof/>
        </w:rPr>
      </w:r>
      <w:r>
        <w:rPr>
          <w:noProof/>
        </w:rPr>
        <w:fldChar w:fldCharType="separate"/>
      </w:r>
      <w:r>
        <w:rPr>
          <w:noProof/>
        </w:rPr>
        <w:t>32</w:t>
      </w:r>
      <w:r>
        <w:rPr>
          <w:noProof/>
        </w:rPr>
        <w:fldChar w:fldCharType="end"/>
      </w:r>
    </w:p>
    <w:p w14:paraId="4FA30268" w14:textId="43647FD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2.3 – Combined weights and scores for Arnold, using the linear additive method</w:t>
      </w:r>
      <w:r>
        <w:rPr>
          <w:noProof/>
        </w:rPr>
        <w:tab/>
      </w:r>
      <w:r>
        <w:rPr>
          <w:noProof/>
        </w:rPr>
        <w:fldChar w:fldCharType="begin"/>
      </w:r>
      <w:r>
        <w:rPr>
          <w:noProof/>
        </w:rPr>
        <w:instrText xml:space="preserve"> PAGEREF _Toc476241421 \h </w:instrText>
      </w:r>
      <w:r>
        <w:rPr>
          <w:noProof/>
        </w:rPr>
      </w:r>
      <w:r>
        <w:rPr>
          <w:noProof/>
        </w:rPr>
        <w:fldChar w:fldCharType="separate"/>
      </w:r>
      <w:r>
        <w:rPr>
          <w:noProof/>
        </w:rPr>
        <w:t>33</w:t>
      </w:r>
      <w:r>
        <w:rPr>
          <w:noProof/>
        </w:rPr>
        <w:fldChar w:fldCharType="end"/>
      </w:r>
    </w:p>
    <w:p w14:paraId="3BA03B3B" w14:textId="3E8514E9"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2.4 – Saaty's [129] 'fundamental scale of absolute numbers' which can be used to show the importance of the difference between the weights of two criteria or the performance of two alternatives in AHP</w:t>
      </w:r>
      <w:r>
        <w:rPr>
          <w:noProof/>
        </w:rPr>
        <w:tab/>
      </w:r>
      <w:r>
        <w:rPr>
          <w:noProof/>
        </w:rPr>
        <w:fldChar w:fldCharType="begin"/>
      </w:r>
      <w:r>
        <w:rPr>
          <w:noProof/>
        </w:rPr>
        <w:instrText xml:space="preserve"> PAGEREF _Toc476241422 \h </w:instrText>
      </w:r>
      <w:r>
        <w:rPr>
          <w:noProof/>
        </w:rPr>
      </w:r>
      <w:r>
        <w:rPr>
          <w:noProof/>
        </w:rPr>
        <w:fldChar w:fldCharType="separate"/>
      </w:r>
      <w:r>
        <w:rPr>
          <w:noProof/>
        </w:rPr>
        <w:t>34</w:t>
      </w:r>
      <w:r>
        <w:rPr>
          <w:noProof/>
        </w:rPr>
        <w:fldChar w:fldCharType="end"/>
      </w:r>
    </w:p>
    <w:p w14:paraId="0D0D0C0C" w14:textId="52A8F6F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2.5 – Example AHP matrix showing the weights derived for each criterion</w:t>
      </w:r>
      <w:r>
        <w:rPr>
          <w:noProof/>
        </w:rPr>
        <w:tab/>
      </w:r>
      <w:r>
        <w:rPr>
          <w:noProof/>
        </w:rPr>
        <w:fldChar w:fldCharType="begin"/>
      </w:r>
      <w:r>
        <w:rPr>
          <w:noProof/>
        </w:rPr>
        <w:instrText xml:space="preserve"> PAGEREF _Toc476241423 \h </w:instrText>
      </w:r>
      <w:r>
        <w:rPr>
          <w:noProof/>
        </w:rPr>
      </w:r>
      <w:r>
        <w:rPr>
          <w:noProof/>
        </w:rPr>
        <w:fldChar w:fldCharType="separate"/>
      </w:r>
      <w:r>
        <w:rPr>
          <w:noProof/>
        </w:rPr>
        <w:t>35</w:t>
      </w:r>
      <w:r>
        <w:rPr>
          <w:noProof/>
        </w:rPr>
        <w:fldChar w:fldCharType="end"/>
      </w:r>
    </w:p>
    <w:p w14:paraId="4893D205" w14:textId="2BC3F30B"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2.6 – Scores and weights for colorectal screening decision, using ELECTRE 1</w:t>
      </w:r>
      <w:r>
        <w:rPr>
          <w:noProof/>
        </w:rPr>
        <w:tab/>
      </w:r>
      <w:r>
        <w:rPr>
          <w:noProof/>
        </w:rPr>
        <w:fldChar w:fldCharType="begin"/>
      </w:r>
      <w:r>
        <w:rPr>
          <w:noProof/>
        </w:rPr>
        <w:instrText xml:space="preserve"> PAGEREF _Toc476241424 \h </w:instrText>
      </w:r>
      <w:r>
        <w:rPr>
          <w:noProof/>
        </w:rPr>
      </w:r>
      <w:r>
        <w:rPr>
          <w:noProof/>
        </w:rPr>
        <w:fldChar w:fldCharType="separate"/>
      </w:r>
      <w:r>
        <w:rPr>
          <w:noProof/>
        </w:rPr>
        <w:t>37</w:t>
      </w:r>
      <w:r>
        <w:rPr>
          <w:noProof/>
        </w:rPr>
        <w:fldChar w:fldCharType="end"/>
      </w:r>
    </w:p>
    <w:p w14:paraId="69ECE35A" w14:textId="013A13F6"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2.7 – Concordance and discordance indices and dominance relationships for each pair-wise comparison, using ELECTRE 1</w:t>
      </w:r>
      <w:r>
        <w:rPr>
          <w:noProof/>
        </w:rPr>
        <w:tab/>
      </w:r>
      <w:r>
        <w:rPr>
          <w:noProof/>
        </w:rPr>
        <w:fldChar w:fldCharType="begin"/>
      </w:r>
      <w:r>
        <w:rPr>
          <w:noProof/>
        </w:rPr>
        <w:instrText xml:space="preserve"> PAGEREF _Toc476241425 \h </w:instrText>
      </w:r>
      <w:r>
        <w:rPr>
          <w:noProof/>
        </w:rPr>
      </w:r>
      <w:r>
        <w:rPr>
          <w:noProof/>
        </w:rPr>
        <w:fldChar w:fldCharType="separate"/>
      </w:r>
      <w:r>
        <w:rPr>
          <w:noProof/>
        </w:rPr>
        <w:t>38</w:t>
      </w:r>
      <w:r>
        <w:rPr>
          <w:noProof/>
        </w:rPr>
        <w:fldChar w:fldCharType="end"/>
      </w:r>
    </w:p>
    <w:p w14:paraId="3FDAF639" w14:textId="1880EB3F"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2.8 – Sample scores for goal programming example</w:t>
      </w:r>
      <w:r>
        <w:rPr>
          <w:noProof/>
        </w:rPr>
        <w:tab/>
      </w:r>
      <w:r>
        <w:rPr>
          <w:noProof/>
        </w:rPr>
        <w:fldChar w:fldCharType="begin"/>
      </w:r>
      <w:r>
        <w:rPr>
          <w:noProof/>
        </w:rPr>
        <w:instrText xml:space="preserve"> PAGEREF _Toc476241426 \h </w:instrText>
      </w:r>
      <w:r>
        <w:rPr>
          <w:noProof/>
        </w:rPr>
      </w:r>
      <w:r>
        <w:rPr>
          <w:noProof/>
        </w:rPr>
        <w:fldChar w:fldCharType="separate"/>
      </w:r>
      <w:r>
        <w:rPr>
          <w:noProof/>
        </w:rPr>
        <w:t>40</w:t>
      </w:r>
      <w:r>
        <w:rPr>
          <w:noProof/>
        </w:rPr>
        <w:fldChar w:fldCharType="end"/>
      </w:r>
    </w:p>
    <w:p w14:paraId="4E24AC38" w14:textId="4A5720DA"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3.1 - Breakdown of within-scope MCDA techniques used and the type of decision problem</w:t>
      </w:r>
      <w:r>
        <w:rPr>
          <w:noProof/>
        </w:rPr>
        <w:tab/>
      </w:r>
      <w:r>
        <w:rPr>
          <w:noProof/>
        </w:rPr>
        <w:fldChar w:fldCharType="begin"/>
      </w:r>
      <w:r>
        <w:rPr>
          <w:noProof/>
        </w:rPr>
        <w:instrText xml:space="preserve"> PAGEREF _Toc476241427 \h </w:instrText>
      </w:r>
      <w:r>
        <w:rPr>
          <w:noProof/>
        </w:rPr>
      </w:r>
      <w:r>
        <w:rPr>
          <w:noProof/>
        </w:rPr>
        <w:fldChar w:fldCharType="separate"/>
      </w:r>
      <w:r>
        <w:rPr>
          <w:noProof/>
        </w:rPr>
        <w:t>68</w:t>
      </w:r>
      <w:r>
        <w:rPr>
          <w:noProof/>
        </w:rPr>
        <w:fldChar w:fldCharType="end"/>
      </w:r>
    </w:p>
    <w:p w14:paraId="6FEFAD11" w14:textId="2F32176F"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4.1 – The CPH's evolving reference case from 2006-2014, continued over coming pages</w:t>
      </w:r>
      <w:r>
        <w:rPr>
          <w:noProof/>
        </w:rPr>
        <w:tab/>
      </w:r>
      <w:r>
        <w:rPr>
          <w:noProof/>
        </w:rPr>
        <w:fldChar w:fldCharType="begin"/>
      </w:r>
      <w:r>
        <w:rPr>
          <w:noProof/>
        </w:rPr>
        <w:instrText xml:space="preserve"> PAGEREF _Toc476241428 \h </w:instrText>
      </w:r>
      <w:r>
        <w:rPr>
          <w:noProof/>
        </w:rPr>
      </w:r>
      <w:r>
        <w:rPr>
          <w:noProof/>
        </w:rPr>
        <w:fldChar w:fldCharType="separate"/>
      </w:r>
      <w:r>
        <w:rPr>
          <w:noProof/>
        </w:rPr>
        <w:t>83</w:t>
      </w:r>
      <w:r>
        <w:rPr>
          <w:noProof/>
        </w:rPr>
        <w:fldChar w:fldCharType="end"/>
      </w:r>
    </w:p>
    <w:p w14:paraId="58CF6560" w14:textId="15E9094F"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4.2 – Criteria used for prioritising interventions, adapted from Golan et al. [120]</w:t>
      </w:r>
      <w:r>
        <w:rPr>
          <w:noProof/>
        </w:rPr>
        <w:tab/>
      </w:r>
      <w:r>
        <w:rPr>
          <w:noProof/>
        </w:rPr>
        <w:fldChar w:fldCharType="begin"/>
      </w:r>
      <w:r>
        <w:rPr>
          <w:noProof/>
        </w:rPr>
        <w:instrText xml:space="preserve"> PAGEREF _Toc476241429 \h </w:instrText>
      </w:r>
      <w:r>
        <w:rPr>
          <w:noProof/>
        </w:rPr>
      </w:r>
      <w:r>
        <w:rPr>
          <w:noProof/>
        </w:rPr>
        <w:fldChar w:fldCharType="separate"/>
      </w:r>
      <w:r>
        <w:rPr>
          <w:noProof/>
        </w:rPr>
        <w:t>90</w:t>
      </w:r>
      <w:r>
        <w:rPr>
          <w:noProof/>
        </w:rPr>
        <w:fldChar w:fldCharType="end"/>
      </w:r>
    </w:p>
    <w:p w14:paraId="27710BFD" w14:textId="7287076E"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5.1 – Economic modelling methodologies used in all previous CPH guidance</w:t>
      </w:r>
      <w:r>
        <w:rPr>
          <w:noProof/>
        </w:rPr>
        <w:tab/>
      </w:r>
      <w:r>
        <w:rPr>
          <w:noProof/>
        </w:rPr>
        <w:fldChar w:fldCharType="begin"/>
      </w:r>
      <w:r>
        <w:rPr>
          <w:noProof/>
        </w:rPr>
        <w:instrText xml:space="preserve"> PAGEREF _Toc476241430 \h </w:instrText>
      </w:r>
      <w:r>
        <w:rPr>
          <w:noProof/>
        </w:rPr>
      </w:r>
      <w:r>
        <w:rPr>
          <w:noProof/>
        </w:rPr>
        <w:fldChar w:fldCharType="separate"/>
      </w:r>
      <w:r>
        <w:rPr>
          <w:noProof/>
        </w:rPr>
        <w:t>111</w:t>
      </w:r>
      <w:r>
        <w:rPr>
          <w:noProof/>
        </w:rPr>
        <w:fldChar w:fldCharType="end"/>
      </w:r>
    </w:p>
    <w:p w14:paraId="36E5A2E8" w14:textId="342035A2"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5.2 – Health and non-health criteria considered for approaches that used perspectives outside of NHS and PSS</w:t>
      </w:r>
      <w:r>
        <w:rPr>
          <w:noProof/>
        </w:rPr>
        <w:tab/>
      </w:r>
      <w:r>
        <w:rPr>
          <w:noProof/>
        </w:rPr>
        <w:fldChar w:fldCharType="begin"/>
      </w:r>
      <w:r>
        <w:rPr>
          <w:noProof/>
        </w:rPr>
        <w:instrText xml:space="preserve"> PAGEREF _Toc476241431 \h </w:instrText>
      </w:r>
      <w:r>
        <w:rPr>
          <w:noProof/>
        </w:rPr>
      </w:r>
      <w:r>
        <w:rPr>
          <w:noProof/>
        </w:rPr>
        <w:fldChar w:fldCharType="separate"/>
      </w:r>
      <w:r>
        <w:rPr>
          <w:noProof/>
        </w:rPr>
        <w:t>120</w:t>
      </w:r>
      <w:r>
        <w:rPr>
          <w:noProof/>
        </w:rPr>
        <w:fldChar w:fldCharType="end"/>
      </w:r>
    </w:p>
    <w:p w14:paraId="22A76863" w14:textId="7F0A440C"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5.3 – Formal stages required in MCDA approaches [125]</w:t>
      </w:r>
      <w:r>
        <w:rPr>
          <w:noProof/>
        </w:rPr>
        <w:tab/>
      </w:r>
      <w:r>
        <w:rPr>
          <w:noProof/>
        </w:rPr>
        <w:fldChar w:fldCharType="begin"/>
      </w:r>
      <w:r>
        <w:rPr>
          <w:noProof/>
        </w:rPr>
        <w:instrText xml:space="preserve"> PAGEREF _Toc476241432 \h </w:instrText>
      </w:r>
      <w:r>
        <w:rPr>
          <w:noProof/>
        </w:rPr>
      </w:r>
      <w:r>
        <w:rPr>
          <w:noProof/>
        </w:rPr>
        <w:fldChar w:fldCharType="separate"/>
      </w:r>
      <w:r>
        <w:rPr>
          <w:noProof/>
        </w:rPr>
        <w:t>142</w:t>
      </w:r>
      <w:r>
        <w:rPr>
          <w:noProof/>
        </w:rPr>
        <w:fldChar w:fldCharType="end"/>
      </w:r>
    </w:p>
    <w:p w14:paraId="0B5C6A18" w14:textId="0D153FBA"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5.4 - An example normalised CCA-style performance matrix</w:t>
      </w:r>
      <w:r>
        <w:rPr>
          <w:noProof/>
        </w:rPr>
        <w:tab/>
      </w:r>
      <w:r>
        <w:rPr>
          <w:noProof/>
        </w:rPr>
        <w:fldChar w:fldCharType="begin"/>
      </w:r>
      <w:r>
        <w:rPr>
          <w:noProof/>
        </w:rPr>
        <w:instrText xml:space="preserve"> PAGEREF _Toc476241433 \h </w:instrText>
      </w:r>
      <w:r>
        <w:rPr>
          <w:noProof/>
        </w:rPr>
      </w:r>
      <w:r>
        <w:rPr>
          <w:noProof/>
        </w:rPr>
        <w:fldChar w:fldCharType="separate"/>
      </w:r>
      <w:r>
        <w:rPr>
          <w:noProof/>
        </w:rPr>
        <w:t>143</w:t>
      </w:r>
      <w:r>
        <w:rPr>
          <w:noProof/>
        </w:rPr>
        <w:fldChar w:fldCharType="end"/>
      </w:r>
    </w:p>
    <w:p w14:paraId="735EE32C" w14:textId="0BE3BD86"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6.1 – Implied weights for criterion headings derived at the decision conference</w:t>
      </w:r>
      <w:r>
        <w:rPr>
          <w:noProof/>
        </w:rPr>
        <w:tab/>
      </w:r>
      <w:r>
        <w:rPr>
          <w:noProof/>
        </w:rPr>
        <w:fldChar w:fldCharType="begin"/>
      </w:r>
      <w:r>
        <w:rPr>
          <w:noProof/>
        </w:rPr>
        <w:instrText xml:space="preserve"> PAGEREF _Toc476241434 \h </w:instrText>
      </w:r>
      <w:r>
        <w:rPr>
          <w:noProof/>
        </w:rPr>
      </w:r>
      <w:r>
        <w:rPr>
          <w:noProof/>
        </w:rPr>
        <w:fldChar w:fldCharType="separate"/>
      </w:r>
      <w:r>
        <w:rPr>
          <w:noProof/>
        </w:rPr>
        <w:t>158</w:t>
      </w:r>
      <w:r>
        <w:rPr>
          <w:noProof/>
        </w:rPr>
        <w:fldChar w:fldCharType="end"/>
      </w:r>
    </w:p>
    <w:p w14:paraId="1A3E01A1" w14:textId="58893EBF"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6.2 – Performance of each potential topic on the 'Current variation in practice' criterion</w:t>
      </w:r>
      <w:r>
        <w:rPr>
          <w:noProof/>
        </w:rPr>
        <w:tab/>
      </w:r>
      <w:r>
        <w:rPr>
          <w:noProof/>
        </w:rPr>
        <w:fldChar w:fldCharType="begin"/>
      </w:r>
      <w:r>
        <w:rPr>
          <w:noProof/>
        </w:rPr>
        <w:instrText xml:space="preserve"> PAGEREF _Toc476241435 \h </w:instrText>
      </w:r>
      <w:r>
        <w:rPr>
          <w:noProof/>
        </w:rPr>
      </w:r>
      <w:r>
        <w:rPr>
          <w:noProof/>
        </w:rPr>
        <w:fldChar w:fldCharType="separate"/>
      </w:r>
      <w:r>
        <w:rPr>
          <w:noProof/>
        </w:rPr>
        <w:t>159</w:t>
      </w:r>
      <w:r>
        <w:rPr>
          <w:noProof/>
        </w:rPr>
        <w:fldChar w:fldCharType="end"/>
      </w:r>
    </w:p>
    <w:p w14:paraId="57D12DAB" w14:textId="00B705B8"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6.3 – Total scores derived for all topics under consideration</w:t>
      </w:r>
      <w:r>
        <w:rPr>
          <w:noProof/>
        </w:rPr>
        <w:tab/>
      </w:r>
      <w:r>
        <w:rPr>
          <w:noProof/>
        </w:rPr>
        <w:fldChar w:fldCharType="begin"/>
      </w:r>
      <w:r>
        <w:rPr>
          <w:noProof/>
        </w:rPr>
        <w:instrText xml:space="preserve"> PAGEREF _Toc476241436 \h </w:instrText>
      </w:r>
      <w:r>
        <w:rPr>
          <w:noProof/>
        </w:rPr>
      </w:r>
      <w:r>
        <w:rPr>
          <w:noProof/>
        </w:rPr>
        <w:fldChar w:fldCharType="separate"/>
      </w:r>
      <w:r>
        <w:rPr>
          <w:noProof/>
        </w:rPr>
        <w:t>160</w:t>
      </w:r>
      <w:r>
        <w:rPr>
          <w:noProof/>
        </w:rPr>
        <w:fldChar w:fldCharType="end"/>
      </w:r>
    </w:p>
    <w:p w14:paraId="0ED1CB19" w14:textId="37B8D831"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6.4 – Relative percentage increase required in order to change ranking, i.e. giving Topic B a higher total score than Topic A</w:t>
      </w:r>
      <w:r>
        <w:rPr>
          <w:noProof/>
        </w:rPr>
        <w:tab/>
      </w:r>
      <w:r>
        <w:rPr>
          <w:noProof/>
        </w:rPr>
        <w:fldChar w:fldCharType="begin"/>
      </w:r>
      <w:r>
        <w:rPr>
          <w:noProof/>
        </w:rPr>
        <w:instrText xml:space="preserve"> PAGEREF _Toc476241437 \h </w:instrText>
      </w:r>
      <w:r>
        <w:rPr>
          <w:noProof/>
        </w:rPr>
      </w:r>
      <w:r>
        <w:rPr>
          <w:noProof/>
        </w:rPr>
        <w:fldChar w:fldCharType="separate"/>
      </w:r>
      <w:r>
        <w:rPr>
          <w:noProof/>
        </w:rPr>
        <w:t>161</w:t>
      </w:r>
      <w:r>
        <w:rPr>
          <w:noProof/>
        </w:rPr>
        <w:fldChar w:fldCharType="end"/>
      </w:r>
    </w:p>
    <w:p w14:paraId="2169269F" w14:textId="2E9F9057"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7.1- Involvement by relevant groups in each of the tobacco prevalence project's stages and phases during the decision-making process, and prior to the evaluation stage (Section 7.4.10)</w:t>
      </w:r>
      <w:r>
        <w:rPr>
          <w:noProof/>
        </w:rPr>
        <w:tab/>
      </w:r>
      <w:r>
        <w:rPr>
          <w:noProof/>
        </w:rPr>
        <w:fldChar w:fldCharType="begin"/>
      </w:r>
      <w:r>
        <w:rPr>
          <w:noProof/>
        </w:rPr>
        <w:instrText xml:space="preserve"> PAGEREF _Toc476241438 \h </w:instrText>
      </w:r>
      <w:r>
        <w:rPr>
          <w:noProof/>
        </w:rPr>
      </w:r>
      <w:r>
        <w:rPr>
          <w:noProof/>
        </w:rPr>
        <w:fldChar w:fldCharType="separate"/>
      </w:r>
      <w:r>
        <w:rPr>
          <w:noProof/>
        </w:rPr>
        <w:t>174</w:t>
      </w:r>
      <w:r>
        <w:rPr>
          <w:noProof/>
        </w:rPr>
        <w:fldChar w:fldCharType="end"/>
      </w:r>
    </w:p>
    <w:p w14:paraId="59FB5F80" w14:textId="3AC97AD8"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lastRenderedPageBreak/>
        <w:t>Table 7.2 – Interventions considered to reduce tobacco prevalence, and brief description (continued overleaf)</w:t>
      </w:r>
      <w:r>
        <w:rPr>
          <w:noProof/>
        </w:rPr>
        <w:tab/>
      </w:r>
      <w:r>
        <w:rPr>
          <w:noProof/>
        </w:rPr>
        <w:fldChar w:fldCharType="begin"/>
      </w:r>
      <w:r>
        <w:rPr>
          <w:noProof/>
        </w:rPr>
        <w:instrText xml:space="preserve"> PAGEREF _Toc476241439 \h </w:instrText>
      </w:r>
      <w:r>
        <w:rPr>
          <w:noProof/>
        </w:rPr>
      </w:r>
      <w:r>
        <w:rPr>
          <w:noProof/>
        </w:rPr>
        <w:fldChar w:fldCharType="separate"/>
      </w:r>
      <w:r>
        <w:rPr>
          <w:noProof/>
        </w:rPr>
        <w:t>179</w:t>
      </w:r>
      <w:r>
        <w:rPr>
          <w:noProof/>
        </w:rPr>
        <w:fldChar w:fldCharType="end"/>
      </w:r>
    </w:p>
    <w:p w14:paraId="1B8BA51E" w14:textId="2C51C833"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7.3 – Inputs to the MCDA process developed prior to the decision conference – the criteria and their weightings</w:t>
      </w:r>
      <w:r>
        <w:rPr>
          <w:noProof/>
        </w:rPr>
        <w:tab/>
      </w:r>
      <w:r>
        <w:rPr>
          <w:noProof/>
        </w:rPr>
        <w:fldChar w:fldCharType="begin"/>
      </w:r>
      <w:r>
        <w:rPr>
          <w:noProof/>
        </w:rPr>
        <w:instrText xml:space="preserve"> PAGEREF _Toc476241440 \h </w:instrText>
      </w:r>
      <w:r>
        <w:rPr>
          <w:noProof/>
        </w:rPr>
      </w:r>
      <w:r>
        <w:rPr>
          <w:noProof/>
        </w:rPr>
        <w:fldChar w:fldCharType="separate"/>
      </w:r>
      <w:r>
        <w:rPr>
          <w:noProof/>
        </w:rPr>
        <w:t>181</w:t>
      </w:r>
      <w:r>
        <w:rPr>
          <w:noProof/>
        </w:rPr>
        <w:fldChar w:fldCharType="end"/>
      </w:r>
    </w:p>
    <w:p w14:paraId="574A2DCA" w14:textId="72AE871A"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Table 7.4 – Consensus scores generated for each anti-tobacco intervention on each criterion, and total scores for each</w:t>
      </w:r>
      <w:r>
        <w:rPr>
          <w:noProof/>
        </w:rPr>
        <w:tab/>
      </w:r>
      <w:r>
        <w:rPr>
          <w:noProof/>
        </w:rPr>
        <w:fldChar w:fldCharType="begin"/>
      </w:r>
      <w:r>
        <w:rPr>
          <w:noProof/>
        </w:rPr>
        <w:instrText xml:space="preserve"> PAGEREF _Toc476241441 \h </w:instrText>
      </w:r>
      <w:r>
        <w:rPr>
          <w:noProof/>
        </w:rPr>
      </w:r>
      <w:r>
        <w:rPr>
          <w:noProof/>
        </w:rPr>
        <w:fldChar w:fldCharType="separate"/>
      </w:r>
      <w:r>
        <w:rPr>
          <w:noProof/>
        </w:rPr>
        <w:t>183</w:t>
      </w:r>
      <w:r>
        <w:rPr>
          <w:noProof/>
        </w:rPr>
        <w:fldChar w:fldCharType="end"/>
      </w:r>
    </w:p>
    <w:p w14:paraId="0A4797F0" w14:textId="064C410E" w:rsidR="00D22CE3" w:rsidRPr="00F10391" w:rsidRDefault="0067668F" w:rsidP="00494A9A">
      <w:r w:rsidRPr="00F10391">
        <w:fldChar w:fldCharType="end"/>
      </w:r>
      <w:bookmarkStart w:id="17" w:name="_Toc313187806"/>
      <w:r w:rsidR="00D22CE3" w:rsidRPr="00F10391">
        <w:br/>
      </w:r>
    </w:p>
    <w:p w14:paraId="779C7673" w14:textId="77777777" w:rsidR="00D22CE3" w:rsidRPr="00F10391" w:rsidRDefault="00D22CE3">
      <w:pPr>
        <w:rPr>
          <w:sz w:val="28"/>
          <w:szCs w:val="28"/>
        </w:rPr>
      </w:pPr>
      <w:r w:rsidRPr="00F10391">
        <w:br w:type="page"/>
      </w:r>
    </w:p>
    <w:p w14:paraId="487916AF" w14:textId="77777777" w:rsidR="0067668F" w:rsidRPr="00F10391" w:rsidRDefault="0067668F">
      <w:pPr>
        <w:pStyle w:val="Heading2"/>
      </w:pPr>
      <w:bookmarkStart w:id="18" w:name="_Toc453595414"/>
      <w:bookmarkStart w:id="19" w:name="_Toc476241510"/>
      <w:r w:rsidRPr="00F10391">
        <w:lastRenderedPageBreak/>
        <w:t>List of figures</w:t>
      </w:r>
      <w:bookmarkEnd w:id="18"/>
      <w:bookmarkEnd w:id="19"/>
      <w:r w:rsidRPr="00F10391">
        <w:t xml:space="preserve"> </w:t>
      </w:r>
      <w:bookmarkEnd w:id="17"/>
    </w:p>
    <w:p w14:paraId="1868D57A" w14:textId="7C67304D" w:rsidR="00E516A2" w:rsidRDefault="0067668F">
      <w:pPr>
        <w:pStyle w:val="TableofFigures"/>
        <w:tabs>
          <w:tab w:val="right" w:leader="dot" w:pos="9016"/>
        </w:tabs>
        <w:rPr>
          <w:rFonts w:asciiTheme="minorHAnsi" w:eastAsiaTheme="minorEastAsia" w:hAnsiTheme="minorHAnsi" w:cstheme="minorBidi"/>
          <w:noProof/>
          <w:lang w:val="en-IE" w:eastAsia="en-IE"/>
        </w:rPr>
      </w:pPr>
      <w:r w:rsidRPr="00F10391">
        <w:rPr>
          <w:b/>
          <w:bCs/>
          <w:i/>
          <w:sz w:val="28"/>
          <w:szCs w:val="28"/>
        </w:rPr>
        <w:fldChar w:fldCharType="begin"/>
      </w:r>
      <w:r w:rsidRPr="00F10391">
        <w:rPr>
          <w:b/>
          <w:bCs/>
          <w:i/>
          <w:sz w:val="28"/>
          <w:szCs w:val="28"/>
        </w:rPr>
        <w:instrText xml:space="preserve"> TOC \c "Figure" </w:instrText>
      </w:r>
      <w:r w:rsidRPr="00F10391">
        <w:rPr>
          <w:b/>
          <w:bCs/>
          <w:i/>
          <w:sz w:val="28"/>
          <w:szCs w:val="28"/>
        </w:rPr>
        <w:fldChar w:fldCharType="separate"/>
      </w:r>
      <w:r w:rsidR="00E516A2">
        <w:rPr>
          <w:noProof/>
        </w:rPr>
        <w:t>Figure 1.1 - Model to ensure rigour in matching research designs to research problems, from Lee [14]</w:t>
      </w:r>
      <w:r w:rsidR="00E516A2">
        <w:rPr>
          <w:noProof/>
        </w:rPr>
        <w:tab/>
      </w:r>
      <w:r w:rsidR="00E516A2">
        <w:rPr>
          <w:noProof/>
        </w:rPr>
        <w:fldChar w:fldCharType="begin"/>
      </w:r>
      <w:r w:rsidR="00E516A2">
        <w:rPr>
          <w:noProof/>
        </w:rPr>
        <w:instrText xml:space="preserve"> PAGEREF _Toc476241442 \h </w:instrText>
      </w:r>
      <w:r w:rsidR="00E516A2">
        <w:rPr>
          <w:noProof/>
        </w:rPr>
      </w:r>
      <w:r w:rsidR="00E516A2">
        <w:rPr>
          <w:noProof/>
        </w:rPr>
        <w:fldChar w:fldCharType="separate"/>
      </w:r>
      <w:r w:rsidR="00E516A2">
        <w:rPr>
          <w:noProof/>
        </w:rPr>
        <w:t>6</w:t>
      </w:r>
      <w:r w:rsidR="00E516A2">
        <w:rPr>
          <w:noProof/>
        </w:rPr>
        <w:fldChar w:fldCharType="end"/>
      </w:r>
    </w:p>
    <w:p w14:paraId="08D2615F" w14:textId="7DEF434B"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1.2 – Overview of the thesis’ framework – showing relationship between research objectives , research questions, research outputs and chapters</w:t>
      </w:r>
      <w:r>
        <w:rPr>
          <w:noProof/>
        </w:rPr>
        <w:tab/>
      </w:r>
      <w:r>
        <w:rPr>
          <w:noProof/>
        </w:rPr>
        <w:fldChar w:fldCharType="begin"/>
      </w:r>
      <w:r>
        <w:rPr>
          <w:noProof/>
        </w:rPr>
        <w:instrText xml:space="preserve"> PAGEREF _Toc476241443 \h </w:instrText>
      </w:r>
      <w:r>
        <w:rPr>
          <w:noProof/>
        </w:rPr>
      </w:r>
      <w:r>
        <w:rPr>
          <w:noProof/>
        </w:rPr>
        <w:fldChar w:fldCharType="separate"/>
      </w:r>
      <w:r>
        <w:rPr>
          <w:noProof/>
        </w:rPr>
        <w:t>7</w:t>
      </w:r>
      <w:r>
        <w:rPr>
          <w:noProof/>
        </w:rPr>
        <w:fldChar w:fldCharType="end"/>
      </w:r>
    </w:p>
    <w:p w14:paraId="09EE27E5" w14:textId="22362ED3"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2.1 – Example MCDA model for use in shared decision-making settings to structure the process for patients trying to choose between potential options for colorectal screening. Adapted from Dolan [112]</w:t>
      </w:r>
      <w:r>
        <w:rPr>
          <w:noProof/>
        </w:rPr>
        <w:tab/>
      </w:r>
      <w:r>
        <w:rPr>
          <w:noProof/>
        </w:rPr>
        <w:fldChar w:fldCharType="begin"/>
      </w:r>
      <w:r>
        <w:rPr>
          <w:noProof/>
        </w:rPr>
        <w:instrText xml:space="preserve"> PAGEREF _Toc476241444 \h </w:instrText>
      </w:r>
      <w:r>
        <w:rPr>
          <w:noProof/>
        </w:rPr>
      </w:r>
      <w:r>
        <w:rPr>
          <w:noProof/>
        </w:rPr>
        <w:fldChar w:fldCharType="separate"/>
      </w:r>
      <w:r>
        <w:rPr>
          <w:noProof/>
        </w:rPr>
        <w:t>31</w:t>
      </w:r>
      <w:r>
        <w:rPr>
          <w:noProof/>
        </w:rPr>
        <w:fldChar w:fldCharType="end"/>
      </w:r>
    </w:p>
    <w:p w14:paraId="107D4061" w14:textId="69E2EEA9"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2.2 – Performance of three possible screening regimens, based on all criteria and the scores shown in Table 2.3. Flexible sigmoidoscopy /5 years dominates DCBE/ 5 years.</w:t>
      </w:r>
      <w:r>
        <w:rPr>
          <w:noProof/>
        </w:rPr>
        <w:tab/>
      </w:r>
      <w:r>
        <w:rPr>
          <w:noProof/>
        </w:rPr>
        <w:fldChar w:fldCharType="begin"/>
      </w:r>
      <w:r>
        <w:rPr>
          <w:noProof/>
        </w:rPr>
        <w:instrText xml:space="preserve"> PAGEREF _Toc476241445 \h </w:instrText>
      </w:r>
      <w:r>
        <w:rPr>
          <w:noProof/>
        </w:rPr>
      </w:r>
      <w:r>
        <w:rPr>
          <w:noProof/>
        </w:rPr>
        <w:fldChar w:fldCharType="separate"/>
      </w:r>
      <w:r>
        <w:rPr>
          <w:noProof/>
        </w:rPr>
        <w:t>37</w:t>
      </w:r>
      <w:r>
        <w:rPr>
          <w:noProof/>
        </w:rPr>
        <w:fldChar w:fldCharType="end"/>
      </w:r>
    </w:p>
    <w:p w14:paraId="301B87F4" w14:textId="77BC1453"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3.1 – PRISMA flowchart of search process, including original 2011 search (left and centre) and subsequent 2013 revision (right), using a pearl growing strategy</w:t>
      </w:r>
      <w:r>
        <w:rPr>
          <w:noProof/>
        </w:rPr>
        <w:tab/>
      </w:r>
      <w:r>
        <w:rPr>
          <w:noProof/>
        </w:rPr>
        <w:fldChar w:fldCharType="begin"/>
      </w:r>
      <w:r>
        <w:rPr>
          <w:noProof/>
        </w:rPr>
        <w:instrText xml:space="preserve"> PAGEREF _Toc476241446 \h </w:instrText>
      </w:r>
      <w:r>
        <w:rPr>
          <w:noProof/>
        </w:rPr>
      </w:r>
      <w:r>
        <w:rPr>
          <w:noProof/>
        </w:rPr>
        <w:fldChar w:fldCharType="separate"/>
      </w:r>
      <w:r>
        <w:rPr>
          <w:noProof/>
        </w:rPr>
        <w:t>52</w:t>
      </w:r>
      <w:r>
        <w:rPr>
          <w:noProof/>
        </w:rPr>
        <w:fldChar w:fldCharType="end"/>
      </w:r>
    </w:p>
    <w:p w14:paraId="2B3B76C1" w14:textId="3C0250CA"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3.2 – Cumulative number of relevant papers published by date of publication, split by whether relating to PBMA or other MCDA technique</w:t>
      </w:r>
      <w:r>
        <w:rPr>
          <w:noProof/>
        </w:rPr>
        <w:tab/>
      </w:r>
      <w:r>
        <w:rPr>
          <w:noProof/>
        </w:rPr>
        <w:fldChar w:fldCharType="begin"/>
      </w:r>
      <w:r>
        <w:rPr>
          <w:noProof/>
        </w:rPr>
        <w:instrText xml:space="preserve"> PAGEREF _Toc476241447 \h </w:instrText>
      </w:r>
      <w:r>
        <w:rPr>
          <w:noProof/>
        </w:rPr>
      </w:r>
      <w:r>
        <w:rPr>
          <w:noProof/>
        </w:rPr>
        <w:fldChar w:fldCharType="separate"/>
      </w:r>
      <w:r>
        <w:rPr>
          <w:noProof/>
        </w:rPr>
        <w:t>64</w:t>
      </w:r>
      <w:r>
        <w:rPr>
          <w:noProof/>
        </w:rPr>
        <w:fldChar w:fldCharType="end"/>
      </w:r>
    </w:p>
    <w:p w14:paraId="23479F29" w14:textId="404E5890"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3.3 – Primary purpose of MCDA approach used in included papers</w:t>
      </w:r>
      <w:r>
        <w:rPr>
          <w:noProof/>
        </w:rPr>
        <w:tab/>
      </w:r>
      <w:r>
        <w:rPr>
          <w:noProof/>
        </w:rPr>
        <w:fldChar w:fldCharType="begin"/>
      </w:r>
      <w:r>
        <w:rPr>
          <w:noProof/>
        </w:rPr>
        <w:instrText xml:space="preserve"> PAGEREF _Toc476241448 \h </w:instrText>
      </w:r>
      <w:r>
        <w:rPr>
          <w:noProof/>
        </w:rPr>
      </w:r>
      <w:r>
        <w:rPr>
          <w:noProof/>
        </w:rPr>
        <w:fldChar w:fldCharType="separate"/>
      </w:r>
      <w:r>
        <w:rPr>
          <w:noProof/>
        </w:rPr>
        <w:t>64</w:t>
      </w:r>
      <w:r>
        <w:rPr>
          <w:noProof/>
        </w:rPr>
        <w:fldChar w:fldCharType="end"/>
      </w:r>
    </w:p>
    <w:p w14:paraId="0DB1A198" w14:textId="663B6621"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3.4 – Count of MCDA methodology used in included papers</w:t>
      </w:r>
      <w:r>
        <w:rPr>
          <w:noProof/>
        </w:rPr>
        <w:tab/>
      </w:r>
      <w:r>
        <w:rPr>
          <w:noProof/>
        </w:rPr>
        <w:fldChar w:fldCharType="begin"/>
      </w:r>
      <w:r>
        <w:rPr>
          <w:noProof/>
        </w:rPr>
        <w:instrText xml:space="preserve"> PAGEREF _Toc476241449 \h </w:instrText>
      </w:r>
      <w:r>
        <w:rPr>
          <w:noProof/>
        </w:rPr>
      </w:r>
      <w:r>
        <w:rPr>
          <w:noProof/>
        </w:rPr>
        <w:fldChar w:fldCharType="separate"/>
      </w:r>
      <w:r>
        <w:rPr>
          <w:noProof/>
        </w:rPr>
        <w:t>65</w:t>
      </w:r>
      <w:r>
        <w:rPr>
          <w:noProof/>
        </w:rPr>
        <w:fldChar w:fldCharType="end"/>
      </w:r>
    </w:p>
    <w:p w14:paraId="7290F272" w14:textId="40A9CB7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3.5 – Geographic spread of papers included, where the setting has been specified. The stronger colour indicates the proportion of studies that came from the most common country on each continent (i.e. UK, Canada, China, Brazil, South Africa).</w:t>
      </w:r>
      <w:r>
        <w:rPr>
          <w:noProof/>
        </w:rPr>
        <w:tab/>
      </w:r>
      <w:r>
        <w:rPr>
          <w:noProof/>
        </w:rPr>
        <w:fldChar w:fldCharType="begin"/>
      </w:r>
      <w:r>
        <w:rPr>
          <w:noProof/>
        </w:rPr>
        <w:instrText xml:space="preserve"> PAGEREF _Toc476241450 \h </w:instrText>
      </w:r>
      <w:r>
        <w:rPr>
          <w:noProof/>
        </w:rPr>
      </w:r>
      <w:r>
        <w:rPr>
          <w:noProof/>
        </w:rPr>
        <w:fldChar w:fldCharType="separate"/>
      </w:r>
      <w:r>
        <w:rPr>
          <w:noProof/>
        </w:rPr>
        <w:t>66</w:t>
      </w:r>
      <w:r>
        <w:rPr>
          <w:noProof/>
        </w:rPr>
        <w:fldChar w:fldCharType="end"/>
      </w:r>
    </w:p>
    <w:p w14:paraId="3DB20264" w14:textId="26CE8DD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4.1 – Stages to CPH guidance development process</w:t>
      </w:r>
      <w:r>
        <w:rPr>
          <w:noProof/>
        </w:rPr>
        <w:tab/>
      </w:r>
      <w:r>
        <w:rPr>
          <w:noProof/>
        </w:rPr>
        <w:fldChar w:fldCharType="begin"/>
      </w:r>
      <w:r>
        <w:rPr>
          <w:noProof/>
        </w:rPr>
        <w:instrText xml:space="preserve"> PAGEREF _Toc476241451 \h </w:instrText>
      </w:r>
      <w:r>
        <w:rPr>
          <w:noProof/>
        </w:rPr>
      </w:r>
      <w:r>
        <w:rPr>
          <w:noProof/>
        </w:rPr>
        <w:fldChar w:fldCharType="separate"/>
      </w:r>
      <w:r>
        <w:rPr>
          <w:noProof/>
        </w:rPr>
        <w:t>80</w:t>
      </w:r>
      <w:r>
        <w:rPr>
          <w:noProof/>
        </w:rPr>
        <w:fldChar w:fldCharType="end"/>
      </w:r>
    </w:p>
    <w:p w14:paraId="71127D48" w14:textId="3A5DDF9E"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4.2 – The eight principles outlined in NICE's Social Value Judgments document [63]</w:t>
      </w:r>
      <w:r>
        <w:rPr>
          <w:noProof/>
        </w:rPr>
        <w:tab/>
      </w:r>
      <w:r>
        <w:rPr>
          <w:noProof/>
        </w:rPr>
        <w:fldChar w:fldCharType="begin"/>
      </w:r>
      <w:r>
        <w:rPr>
          <w:noProof/>
        </w:rPr>
        <w:instrText xml:space="preserve"> PAGEREF _Toc476241452 \h </w:instrText>
      </w:r>
      <w:r>
        <w:rPr>
          <w:noProof/>
        </w:rPr>
      </w:r>
      <w:r>
        <w:rPr>
          <w:noProof/>
        </w:rPr>
        <w:fldChar w:fldCharType="separate"/>
      </w:r>
      <w:r>
        <w:rPr>
          <w:noProof/>
        </w:rPr>
        <w:t>87</w:t>
      </w:r>
      <w:r>
        <w:rPr>
          <w:noProof/>
        </w:rPr>
        <w:fldChar w:fldCharType="end"/>
      </w:r>
    </w:p>
    <w:p w14:paraId="6D5D33E1" w14:textId="5E2C9FBD"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4.3 – Without appropriate checks and processes to reduce the risk of biases, NICE committees should just fold up now</w:t>
      </w:r>
      <w:r>
        <w:rPr>
          <w:noProof/>
        </w:rPr>
        <w:tab/>
      </w:r>
      <w:r>
        <w:rPr>
          <w:noProof/>
        </w:rPr>
        <w:fldChar w:fldCharType="begin"/>
      </w:r>
      <w:r>
        <w:rPr>
          <w:noProof/>
        </w:rPr>
        <w:instrText xml:space="preserve"> PAGEREF _Toc476241453 \h </w:instrText>
      </w:r>
      <w:r>
        <w:rPr>
          <w:noProof/>
        </w:rPr>
      </w:r>
      <w:r>
        <w:rPr>
          <w:noProof/>
        </w:rPr>
        <w:fldChar w:fldCharType="separate"/>
      </w:r>
      <w:r>
        <w:rPr>
          <w:noProof/>
        </w:rPr>
        <w:t>96</w:t>
      </w:r>
      <w:r>
        <w:rPr>
          <w:noProof/>
        </w:rPr>
        <w:fldChar w:fldCharType="end"/>
      </w:r>
    </w:p>
    <w:p w14:paraId="2B9C4157" w14:textId="293F7B43"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5.1 – Example prospective modelling framework, as used in PH41[191]</w:t>
      </w:r>
      <w:r>
        <w:rPr>
          <w:noProof/>
        </w:rPr>
        <w:tab/>
      </w:r>
      <w:r>
        <w:rPr>
          <w:noProof/>
        </w:rPr>
        <w:fldChar w:fldCharType="begin"/>
      </w:r>
      <w:r>
        <w:rPr>
          <w:noProof/>
        </w:rPr>
        <w:instrText xml:space="preserve"> PAGEREF _Toc476241454 \h </w:instrText>
      </w:r>
      <w:r>
        <w:rPr>
          <w:noProof/>
        </w:rPr>
      </w:r>
      <w:r>
        <w:rPr>
          <w:noProof/>
        </w:rPr>
        <w:fldChar w:fldCharType="separate"/>
      </w:r>
      <w:r>
        <w:rPr>
          <w:noProof/>
        </w:rPr>
        <w:t>108</w:t>
      </w:r>
      <w:r>
        <w:rPr>
          <w:noProof/>
        </w:rPr>
        <w:fldChar w:fldCharType="end"/>
      </w:r>
    </w:p>
    <w:p w14:paraId="24837129" w14:textId="45C93AC0"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5.2 – Economic modelling techniques used in NICE public health guidance over period of review</w:t>
      </w:r>
      <w:r>
        <w:rPr>
          <w:noProof/>
        </w:rPr>
        <w:tab/>
      </w:r>
      <w:r>
        <w:rPr>
          <w:noProof/>
        </w:rPr>
        <w:fldChar w:fldCharType="begin"/>
      </w:r>
      <w:r>
        <w:rPr>
          <w:noProof/>
        </w:rPr>
        <w:instrText xml:space="preserve"> PAGEREF _Toc476241455 \h </w:instrText>
      </w:r>
      <w:r>
        <w:rPr>
          <w:noProof/>
        </w:rPr>
      </w:r>
      <w:r>
        <w:rPr>
          <w:noProof/>
        </w:rPr>
        <w:fldChar w:fldCharType="separate"/>
      </w:r>
      <w:r>
        <w:rPr>
          <w:noProof/>
        </w:rPr>
        <w:t>130</w:t>
      </w:r>
      <w:r>
        <w:rPr>
          <w:noProof/>
        </w:rPr>
        <w:fldChar w:fldCharType="end"/>
      </w:r>
    </w:p>
    <w:p w14:paraId="61990177" w14:textId="5A98B638"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5.3 – Decision-making using ad hoc and formal MCDA techniques, taken from Baltussen and Niessen [6]</w:t>
      </w:r>
      <w:r>
        <w:rPr>
          <w:noProof/>
        </w:rPr>
        <w:tab/>
      </w:r>
      <w:r>
        <w:rPr>
          <w:noProof/>
        </w:rPr>
        <w:fldChar w:fldCharType="begin"/>
      </w:r>
      <w:r>
        <w:rPr>
          <w:noProof/>
        </w:rPr>
        <w:instrText xml:space="preserve"> PAGEREF _Toc476241456 \h </w:instrText>
      </w:r>
      <w:r>
        <w:rPr>
          <w:noProof/>
        </w:rPr>
      </w:r>
      <w:r>
        <w:rPr>
          <w:noProof/>
        </w:rPr>
        <w:fldChar w:fldCharType="separate"/>
      </w:r>
      <w:r>
        <w:rPr>
          <w:noProof/>
        </w:rPr>
        <w:t>136</w:t>
      </w:r>
      <w:r>
        <w:rPr>
          <w:noProof/>
        </w:rPr>
        <w:fldChar w:fldCharType="end"/>
      </w:r>
    </w:p>
    <w:p w14:paraId="45DA2EB0" w14:textId="32FEF5A6"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5.4 – Example of how MCDA can be used to derive quantitative results from experts [129]</w:t>
      </w:r>
      <w:r>
        <w:rPr>
          <w:noProof/>
        </w:rPr>
        <w:tab/>
      </w:r>
      <w:r>
        <w:rPr>
          <w:noProof/>
        </w:rPr>
        <w:fldChar w:fldCharType="begin"/>
      </w:r>
      <w:r>
        <w:rPr>
          <w:noProof/>
        </w:rPr>
        <w:instrText xml:space="preserve"> PAGEREF _Toc476241457 \h </w:instrText>
      </w:r>
      <w:r>
        <w:rPr>
          <w:noProof/>
        </w:rPr>
      </w:r>
      <w:r>
        <w:rPr>
          <w:noProof/>
        </w:rPr>
        <w:fldChar w:fldCharType="separate"/>
      </w:r>
      <w:r>
        <w:rPr>
          <w:noProof/>
        </w:rPr>
        <w:t>140</w:t>
      </w:r>
      <w:r>
        <w:rPr>
          <w:noProof/>
        </w:rPr>
        <w:fldChar w:fldCharType="end"/>
      </w:r>
    </w:p>
    <w:p w14:paraId="5E3DE476" w14:textId="68760151"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6.1 – Final iteration of criteria derived at the topic selection workshop, shown in hierarchy</w:t>
      </w:r>
      <w:r>
        <w:rPr>
          <w:noProof/>
        </w:rPr>
        <w:tab/>
      </w:r>
      <w:r>
        <w:rPr>
          <w:noProof/>
        </w:rPr>
        <w:fldChar w:fldCharType="begin"/>
      </w:r>
      <w:r>
        <w:rPr>
          <w:noProof/>
        </w:rPr>
        <w:instrText xml:space="preserve"> PAGEREF _Toc476241458 \h </w:instrText>
      </w:r>
      <w:r>
        <w:rPr>
          <w:noProof/>
        </w:rPr>
      </w:r>
      <w:r>
        <w:rPr>
          <w:noProof/>
        </w:rPr>
        <w:fldChar w:fldCharType="separate"/>
      </w:r>
      <w:r>
        <w:rPr>
          <w:noProof/>
        </w:rPr>
        <w:t>157</w:t>
      </w:r>
      <w:r>
        <w:rPr>
          <w:noProof/>
        </w:rPr>
        <w:fldChar w:fldCharType="end"/>
      </w:r>
    </w:p>
    <w:p w14:paraId="07726A7F" w14:textId="49630321"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lastRenderedPageBreak/>
        <w:t>Figure 7.1 - Field showing range of possible MCDA-based approaches, described by evidence requirements and resource/time use (from Reddy et al. [350])</w:t>
      </w:r>
      <w:r>
        <w:rPr>
          <w:noProof/>
        </w:rPr>
        <w:tab/>
      </w:r>
      <w:r>
        <w:rPr>
          <w:noProof/>
        </w:rPr>
        <w:fldChar w:fldCharType="begin"/>
      </w:r>
      <w:r>
        <w:rPr>
          <w:noProof/>
        </w:rPr>
        <w:instrText xml:space="preserve"> PAGEREF _Toc476241459 \h </w:instrText>
      </w:r>
      <w:r>
        <w:rPr>
          <w:noProof/>
        </w:rPr>
      </w:r>
      <w:r>
        <w:rPr>
          <w:noProof/>
        </w:rPr>
        <w:fldChar w:fldCharType="separate"/>
      </w:r>
      <w:r>
        <w:rPr>
          <w:noProof/>
        </w:rPr>
        <w:t>176</w:t>
      </w:r>
      <w:r>
        <w:rPr>
          <w:noProof/>
        </w:rPr>
        <w:fldChar w:fldCharType="end"/>
      </w:r>
    </w:p>
    <w:p w14:paraId="4B6C45A1" w14:textId="4CF232BC"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7.2 - Example multi objective optimisation model, which describes the ideal apportioning of a budget under a scenario where the local government would have to pay for drug costs and ASSIST was to be provided</w:t>
      </w:r>
      <w:r>
        <w:rPr>
          <w:noProof/>
        </w:rPr>
        <w:tab/>
      </w:r>
      <w:r>
        <w:rPr>
          <w:noProof/>
        </w:rPr>
        <w:fldChar w:fldCharType="begin"/>
      </w:r>
      <w:r>
        <w:rPr>
          <w:noProof/>
        </w:rPr>
        <w:instrText xml:space="preserve"> PAGEREF _Toc476241460 \h </w:instrText>
      </w:r>
      <w:r>
        <w:rPr>
          <w:noProof/>
        </w:rPr>
      </w:r>
      <w:r>
        <w:rPr>
          <w:noProof/>
        </w:rPr>
        <w:fldChar w:fldCharType="separate"/>
      </w:r>
      <w:r>
        <w:rPr>
          <w:noProof/>
        </w:rPr>
        <w:t>186</w:t>
      </w:r>
      <w:r>
        <w:rPr>
          <w:noProof/>
        </w:rPr>
        <w:fldChar w:fldCharType="end"/>
      </w:r>
    </w:p>
    <w:p w14:paraId="13B813DF" w14:textId="6267A037" w:rsidR="00E516A2" w:rsidRDefault="00E516A2">
      <w:pPr>
        <w:pStyle w:val="TableofFigures"/>
        <w:tabs>
          <w:tab w:val="right" w:leader="dot" w:pos="9016"/>
        </w:tabs>
        <w:rPr>
          <w:rFonts w:asciiTheme="minorHAnsi" w:eastAsiaTheme="minorEastAsia" w:hAnsiTheme="minorHAnsi" w:cstheme="minorBidi"/>
          <w:noProof/>
          <w:lang w:val="en-IE" w:eastAsia="en-IE"/>
        </w:rPr>
      </w:pPr>
      <w:r>
        <w:rPr>
          <w:noProof/>
        </w:rPr>
        <w:t>Figure 8.1 - Overview of the thesis’ framework; showing relationship between research objectives (row 1), research questions (row 2) and research outputs (row 3) and chapters (row 4) [as with Figure 1.2]</w:t>
      </w:r>
      <w:r>
        <w:rPr>
          <w:noProof/>
        </w:rPr>
        <w:tab/>
      </w:r>
      <w:r>
        <w:rPr>
          <w:noProof/>
        </w:rPr>
        <w:fldChar w:fldCharType="begin"/>
      </w:r>
      <w:r>
        <w:rPr>
          <w:noProof/>
        </w:rPr>
        <w:instrText xml:space="preserve"> PAGEREF _Toc476241461 \h </w:instrText>
      </w:r>
      <w:r>
        <w:rPr>
          <w:noProof/>
        </w:rPr>
      </w:r>
      <w:r>
        <w:rPr>
          <w:noProof/>
        </w:rPr>
        <w:fldChar w:fldCharType="separate"/>
      </w:r>
      <w:r>
        <w:rPr>
          <w:noProof/>
        </w:rPr>
        <w:t>194</w:t>
      </w:r>
      <w:r>
        <w:rPr>
          <w:noProof/>
        </w:rPr>
        <w:fldChar w:fldCharType="end"/>
      </w:r>
    </w:p>
    <w:p w14:paraId="69B48ACD" w14:textId="0D8CB815" w:rsidR="009C62FF" w:rsidRPr="00F10391" w:rsidRDefault="0067668F" w:rsidP="00494A9A">
      <w:r w:rsidRPr="00F10391">
        <w:fldChar w:fldCharType="end"/>
      </w:r>
      <w:bookmarkStart w:id="20" w:name="_Toc313187807"/>
    </w:p>
    <w:p w14:paraId="4E3DD056" w14:textId="77777777" w:rsidR="000E04E1" w:rsidRPr="00F10391" w:rsidRDefault="000E04E1" w:rsidP="0063065F">
      <w:pPr>
        <w:rPr>
          <w:sz w:val="28"/>
          <w:szCs w:val="28"/>
        </w:rPr>
      </w:pPr>
      <w:bookmarkStart w:id="21" w:name="_Toc453595415"/>
      <w:r w:rsidRPr="00F10391">
        <w:br w:type="page"/>
      </w:r>
    </w:p>
    <w:p w14:paraId="346E425E" w14:textId="77777777" w:rsidR="0067668F" w:rsidRPr="00F10391" w:rsidRDefault="00F30F35" w:rsidP="00494A9A">
      <w:pPr>
        <w:pStyle w:val="Heading2"/>
      </w:pPr>
      <w:bookmarkStart w:id="22" w:name="_Toc476241511"/>
      <w:r w:rsidRPr="00F10391">
        <w:lastRenderedPageBreak/>
        <w:t>Di</w:t>
      </w:r>
      <w:r w:rsidR="0067668F" w:rsidRPr="00F10391">
        <w:t>ssemination</w:t>
      </w:r>
      <w:bookmarkEnd w:id="20"/>
      <w:bookmarkEnd w:id="21"/>
      <w:bookmarkEnd w:id="22"/>
    </w:p>
    <w:p w14:paraId="04F4E2CC" w14:textId="77777777" w:rsidR="0067668F" w:rsidRPr="00F10391" w:rsidRDefault="0067668F" w:rsidP="00494A9A"/>
    <w:p w14:paraId="41AD6CFF" w14:textId="77777777" w:rsidR="0067668F" w:rsidRPr="00F10391" w:rsidRDefault="0067668F" w:rsidP="00490B5D">
      <w:pPr>
        <w:pStyle w:val="Heading3"/>
      </w:pPr>
      <w:bookmarkStart w:id="23" w:name="_Toc453595416"/>
      <w:bookmarkStart w:id="24" w:name="_Toc476241512"/>
      <w:r w:rsidRPr="00F10391">
        <w:t>Papers</w:t>
      </w:r>
      <w:bookmarkEnd w:id="23"/>
      <w:bookmarkEnd w:id="24"/>
    </w:p>
    <w:p w14:paraId="353B5804" w14:textId="77777777" w:rsidR="0067668F" w:rsidRPr="00F10391" w:rsidRDefault="0067668F" w:rsidP="00490B5D">
      <w:r w:rsidRPr="00F10391">
        <w:t>Reddy, B. P., Kelly, M. P., Thokala, P., Walters, S. J., &amp; Duenas, A. (2014). Prioritising public health guidance topics in the National Institute for Health and Care Excellence using the Analytic Hierarchy Process. </w:t>
      </w:r>
      <w:r w:rsidRPr="00F10391">
        <w:rPr>
          <w:i/>
          <w:iCs/>
        </w:rPr>
        <w:t>Public health</w:t>
      </w:r>
      <w:r w:rsidRPr="00F10391">
        <w:t>, </w:t>
      </w:r>
      <w:r w:rsidRPr="00F10391">
        <w:rPr>
          <w:i/>
          <w:iCs/>
        </w:rPr>
        <w:t>128</w:t>
      </w:r>
      <w:r w:rsidRPr="00F10391">
        <w:t>(10), 896-903.</w:t>
      </w:r>
    </w:p>
    <w:p w14:paraId="40AC6214" w14:textId="77777777" w:rsidR="0067668F" w:rsidRPr="00F10391" w:rsidRDefault="0067668F" w:rsidP="00A662B3">
      <w:r w:rsidRPr="00F10391">
        <w:t>Reddy, B. P., Thokala, P., Warhurst, K., Chambers, H., Iliff, A., Bowker, L., Walters, S</w:t>
      </w:r>
      <w:r w:rsidR="00397C60" w:rsidRPr="00F10391">
        <w:t>. J., Duenas, A., Kelly, M. P. (2016)</w:t>
      </w:r>
      <w:r w:rsidR="00694AA8">
        <w:t>.</w:t>
      </w:r>
      <w:r w:rsidR="00397C60" w:rsidRPr="00F10391">
        <w:t xml:space="preserve"> </w:t>
      </w:r>
      <w:r w:rsidRPr="00F10391">
        <w:t>Using MCDA to generate and interpret evidence to inform local government investment in public health.</w:t>
      </w:r>
      <w:r w:rsidR="00397C60" w:rsidRPr="00F10391">
        <w:t xml:space="preserve"> </w:t>
      </w:r>
      <w:r w:rsidR="00397C60" w:rsidRPr="00F10391">
        <w:rPr>
          <w:i/>
        </w:rPr>
        <w:t>EURO Journal on Decision Processes,</w:t>
      </w:r>
      <w:r w:rsidR="00397C60" w:rsidRPr="00F10391">
        <w:t xml:space="preserve"> p. 1-21.</w:t>
      </w:r>
    </w:p>
    <w:p w14:paraId="2A846320" w14:textId="2A52D684" w:rsidR="0067668F" w:rsidRDefault="00397C60" w:rsidP="00005AA6">
      <w:r w:rsidRPr="00F10391">
        <w:t>Reddy, B.P., Adams, R., Walsh, C., Barry, M., Kind, P. (2015)</w:t>
      </w:r>
      <w:r w:rsidR="00694AA8">
        <w:t>.</w:t>
      </w:r>
      <w:r w:rsidRPr="00F10391">
        <w:t xml:space="preserve"> Using the Analytic Hierarchy Process to Derive Health State Utilities from Ordinal Preference Data. </w:t>
      </w:r>
      <w:r w:rsidRPr="00F10391">
        <w:rPr>
          <w:i/>
        </w:rPr>
        <w:t xml:space="preserve">Value in Health, </w:t>
      </w:r>
      <w:r w:rsidRPr="00F10391">
        <w:t>18(6), 841-845.</w:t>
      </w:r>
    </w:p>
    <w:p w14:paraId="46FC4FAF" w14:textId="6CD1AE46" w:rsidR="008668CB" w:rsidRDefault="008668CB" w:rsidP="00005AA6"/>
    <w:p w14:paraId="6AB63B53" w14:textId="77777777" w:rsidR="008668CB" w:rsidRDefault="008668CB" w:rsidP="0063065F">
      <w:pPr>
        <w:pStyle w:val="Heading3"/>
      </w:pPr>
      <w:bookmarkStart w:id="25" w:name="_Toc476241513"/>
      <w:r>
        <w:t>Book chapter</w:t>
      </w:r>
      <w:bookmarkEnd w:id="25"/>
    </w:p>
    <w:p w14:paraId="6C0ED610" w14:textId="77777777" w:rsidR="008668CB" w:rsidRDefault="008668CB" w:rsidP="008668CB">
      <w:r>
        <w:t>Reddy, B.P., Thokala, P., Duenas, A. (2017). MCDA for resource allocation at a local level: an application in the UK. In: Marsh K, Goetghebeur M, Thokala P, Baltussen R (eds) Multi-criteria decision analysis to support healthcare decisions. Springer, Cham, pp 171–194</w:t>
      </w:r>
    </w:p>
    <w:p w14:paraId="43179BE1" w14:textId="77777777" w:rsidR="008668CB" w:rsidRPr="00F10391" w:rsidRDefault="008668CB" w:rsidP="00005AA6"/>
    <w:p w14:paraId="0AA117D2" w14:textId="77777777" w:rsidR="0067668F" w:rsidRPr="00F10391" w:rsidRDefault="0067668F" w:rsidP="00005AA6">
      <w:pPr>
        <w:pStyle w:val="Heading3"/>
      </w:pPr>
      <w:bookmarkStart w:id="26" w:name="_Toc453595417"/>
      <w:bookmarkStart w:id="27" w:name="_Toc476241514"/>
      <w:r w:rsidRPr="00F10391">
        <w:t>Conference presentations</w:t>
      </w:r>
      <w:bookmarkEnd w:id="26"/>
      <w:r w:rsidR="00BF706F" w:rsidRPr="00F10391">
        <w:t xml:space="preserve"> and first authoured posters</w:t>
      </w:r>
      <w:bookmarkEnd w:id="27"/>
    </w:p>
    <w:p w14:paraId="611B8976" w14:textId="77777777" w:rsidR="009B68F0" w:rsidRPr="00F10391" w:rsidRDefault="009B68F0" w:rsidP="00D24504">
      <w:pPr>
        <w:rPr>
          <w:lang w:eastAsia="en-US"/>
        </w:rPr>
      </w:pPr>
      <w:r w:rsidRPr="00F10391">
        <w:rPr>
          <w:lang w:eastAsia="en-US"/>
        </w:rPr>
        <w:t>Results of the EQ-5D-3L valuation project for Ireland. Poster at ISPOR conference, Milan, November 2015</w:t>
      </w:r>
      <w:r w:rsidR="00397C60" w:rsidRPr="00F10391">
        <w:rPr>
          <w:lang w:eastAsia="en-US"/>
        </w:rPr>
        <w:t>.</w:t>
      </w:r>
    </w:p>
    <w:p w14:paraId="78755A37" w14:textId="77777777" w:rsidR="009B68F0" w:rsidRPr="00F10391" w:rsidRDefault="009B68F0" w:rsidP="00D24504">
      <w:pPr>
        <w:rPr>
          <w:lang w:eastAsia="en-US"/>
        </w:rPr>
      </w:pPr>
      <w:r w:rsidRPr="00F10391">
        <w:rPr>
          <w:lang w:eastAsia="en-US"/>
        </w:rPr>
        <w:t>Experienced vs. Hypothetical health state preferences using EQ-5D 3L and 5L versions: a national study. Poster at ISPOR conference, Milan, November 2015</w:t>
      </w:r>
      <w:r w:rsidR="00397C60" w:rsidRPr="00F10391">
        <w:rPr>
          <w:lang w:eastAsia="en-US"/>
        </w:rPr>
        <w:t>.</w:t>
      </w:r>
    </w:p>
    <w:p w14:paraId="4912F4D4" w14:textId="77777777" w:rsidR="009B68F0" w:rsidRPr="00F10391" w:rsidRDefault="009B68F0" w:rsidP="00D24504">
      <w:pPr>
        <w:rPr>
          <w:lang w:eastAsia="en-US"/>
        </w:rPr>
      </w:pPr>
      <w:r w:rsidRPr="00F10391">
        <w:rPr>
          <w:lang w:eastAsia="en-US"/>
        </w:rPr>
        <w:t>Modelling methods for EQ-5D: a fitting time for change. Poster at ISPOR conference, Milan, November 2015</w:t>
      </w:r>
      <w:r w:rsidR="00397C60" w:rsidRPr="00F10391">
        <w:rPr>
          <w:lang w:eastAsia="en-US"/>
        </w:rPr>
        <w:t>.</w:t>
      </w:r>
    </w:p>
    <w:p w14:paraId="774744CD" w14:textId="77777777" w:rsidR="009B68F0" w:rsidRPr="00F10391" w:rsidRDefault="009B68F0" w:rsidP="00D24504">
      <w:pPr>
        <w:rPr>
          <w:lang w:eastAsia="en-US"/>
        </w:rPr>
      </w:pPr>
      <w:r w:rsidRPr="00F10391">
        <w:rPr>
          <w:lang w:eastAsia="en-US"/>
        </w:rPr>
        <w:t xml:space="preserve">Using </w:t>
      </w:r>
      <w:r w:rsidR="00397C60" w:rsidRPr="00F10391">
        <w:rPr>
          <w:lang w:eastAsia="en-US"/>
        </w:rPr>
        <w:t>The Analytic Hierarchy Process t</w:t>
      </w:r>
      <w:r w:rsidRPr="00F10391">
        <w:rPr>
          <w:lang w:eastAsia="en-US"/>
        </w:rPr>
        <w:t xml:space="preserve">o Derive Health State Utilities </w:t>
      </w:r>
      <w:r w:rsidR="00397C60" w:rsidRPr="00F10391">
        <w:rPr>
          <w:lang w:eastAsia="en-US"/>
        </w:rPr>
        <w:t>f</w:t>
      </w:r>
      <w:r w:rsidRPr="00F10391">
        <w:rPr>
          <w:lang w:eastAsia="en-US"/>
        </w:rPr>
        <w:t>rom Ordinal Preference Data. Poster at ISPOR conference, Amste</w:t>
      </w:r>
      <w:r w:rsidR="00397C60" w:rsidRPr="00F10391">
        <w:rPr>
          <w:lang w:eastAsia="en-US"/>
        </w:rPr>
        <w:t>rdam, November 2014.</w:t>
      </w:r>
    </w:p>
    <w:p w14:paraId="042759DF" w14:textId="77777777" w:rsidR="0067668F" w:rsidRPr="00F10391" w:rsidRDefault="00584F0E" w:rsidP="006A5AA3">
      <w:r w:rsidRPr="00F10391">
        <w:t xml:space="preserve">Introduction </w:t>
      </w:r>
      <w:r w:rsidR="00397C60" w:rsidRPr="00F10391">
        <w:t>t</w:t>
      </w:r>
      <w:r w:rsidR="0067668F" w:rsidRPr="00F10391">
        <w:t xml:space="preserve">o Multi Criteria Decision Analysis </w:t>
      </w:r>
      <w:r w:rsidR="00397C60" w:rsidRPr="00F10391">
        <w:t>i</w:t>
      </w:r>
      <w:r w:rsidR="0067668F" w:rsidRPr="00F10391">
        <w:t>n Healthcare. Opening presentation at workshop on “Incorporating preferences into decision making: selecting an appropriate multi-criteria decision analysis weighting method in health care” at Society for Medical Decision Making Conference, Antwerp, June 2014</w:t>
      </w:r>
      <w:r w:rsidR="00397C60" w:rsidRPr="00F10391">
        <w:t>.</w:t>
      </w:r>
    </w:p>
    <w:p w14:paraId="74AF7AFA" w14:textId="77777777" w:rsidR="0067668F" w:rsidRPr="00F10391" w:rsidRDefault="0067668F" w:rsidP="006942ED">
      <w:r w:rsidRPr="00F10391">
        <w:t xml:space="preserve">Analysis </w:t>
      </w:r>
      <w:r w:rsidR="00397C60" w:rsidRPr="00F10391">
        <w:t>of</w:t>
      </w:r>
      <w:r w:rsidRPr="00F10391">
        <w:t xml:space="preserve"> Ranked Preferences </w:t>
      </w:r>
      <w:r w:rsidR="00397C60" w:rsidRPr="00F10391">
        <w:t>for</w:t>
      </w:r>
      <w:r w:rsidRPr="00F10391">
        <w:t xml:space="preserve"> EQ-5D Health States: Demonstrating The Practical Value </w:t>
      </w:r>
      <w:r w:rsidR="00397C60" w:rsidRPr="00F10391">
        <w:t>of</w:t>
      </w:r>
      <w:r w:rsidRPr="00F10391">
        <w:t xml:space="preserve"> Analytic Hierarchy Process (AHP) In A Simulated Dataset. Presentation at Society for Medical Decision Making Conference, Antwerp, June 2014</w:t>
      </w:r>
      <w:r w:rsidR="00397C60" w:rsidRPr="00F10391">
        <w:t>.</w:t>
      </w:r>
    </w:p>
    <w:p w14:paraId="0B0DC727" w14:textId="77777777" w:rsidR="0067668F" w:rsidRPr="00F10391" w:rsidRDefault="0067668F" w:rsidP="006942ED">
      <w:r w:rsidRPr="00F10391">
        <w:lastRenderedPageBreak/>
        <w:t>An MCDA approach to prioritising public health interventions – a ‘knowledge based’ approach to reducing tobacco prevalence in South Yorkshire. Presentation at Operational Research Applied to Health Services (ORAHS) Conference, Istanbul, July 2013.</w:t>
      </w:r>
    </w:p>
    <w:p w14:paraId="2A9DE03C" w14:textId="77777777" w:rsidR="0067668F" w:rsidRPr="00F10391" w:rsidRDefault="0067668F" w:rsidP="00700267">
      <w:r w:rsidRPr="00F10391">
        <w:t>A Young OR Guide to Multi Criteria Decision Analysis. Keynote presentation at Young OR Conference, Exeter, April 2013.</w:t>
      </w:r>
    </w:p>
    <w:p w14:paraId="05B03910" w14:textId="77777777" w:rsidR="0067668F" w:rsidRPr="00F10391" w:rsidRDefault="0067668F" w:rsidP="00700267">
      <w:r w:rsidRPr="00F10391">
        <w:t xml:space="preserve">MCDA approaches to prioritisation in NICE. Presentation at OR Society Conference (OR54), Edinburgh, Sep 2012. </w:t>
      </w:r>
    </w:p>
    <w:p w14:paraId="5489D76E" w14:textId="77777777" w:rsidR="0067668F" w:rsidRPr="00F10391" w:rsidRDefault="0067668F">
      <w:r w:rsidRPr="00F10391">
        <w:t>Investigating MCDA approaches for the National Institute for Health and Clinical Excellence.</w:t>
      </w:r>
      <w:r w:rsidRPr="00F10391">
        <w:rPr>
          <w:i/>
        </w:rPr>
        <w:t xml:space="preserve"> </w:t>
      </w:r>
      <w:r w:rsidRPr="00F10391">
        <w:t xml:space="preserve">Presentation at 25th European Conference on Operational Research (EURO), Vilnius, July 2012. </w:t>
      </w:r>
    </w:p>
    <w:p w14:paraId="471A6EC7" w14:textId="77777777" w:rsidR="0067668F" w:rsidRPr="00F10391" w:rsidRDefault="0067668F">
      <w:r w:rsidRPr="00F10391">
        <w:t xml:space="preserve">Multi-Criteria Decision Analysis (MCDA) Approaches to Prioritisation in NICE. Presentation at Festival of Public Health, Manchester, July 2012. </w:t>
      </w:r>
    </w:p>
    <w:p w14:paraId="5C189DA3" w14:textId="77777777" w:rsidR="0067668F" w:rsidRPr="00F10391" w:rsidRDefault="0067668F">
      <w:r w:rsidRPr="00F10391">
        <w:t>A Nice Use for MCDA in Public Health – Potential new approaches in the National Institute for Health and Clinical Excellence. Presentation at Student Conference on Operational Research (SCOR), Nottingham, April 2012.</w:t>
      </w:r>
    </w:p>
    <w:p w14:paraId="37644BC9" w14:textId="77777777" w:rsidR="0067668F" w:rsidRPr="00F10391" w:rsidRDefault="0067668F">
      <w:r w:rsidRPr="00F10391">
        <w:t>Could Multi-Criteria Decision Analysis Offer a Nice Fit with Public Health? Exploring the National Institute for Health and Clinical Excellence decision-making process. Presentation at OR Society Conference (OR53), Nottingham, Sep 2011.</w:t>
      </w:r>
    </w:p>
    <w:p w14:paraId="55762A19" w14:textId="3C686AC7" w:rsidR="009C1AB0" w:rsidRPr="00F10391" w:rsidRDefault="009C1AB0" w:rsidP="0063065F">
      <w:pPr>
        <w:sectPr w:rsidR="009C1AB0" w:rsidRPr="00F10391" w:rsidSect="009C1AB0">
          <w:footerReference w:type="default" r:id="rId9"/>
          <w:footnotePr>
            <w:numFmt w:val="lowerRoman"/>
          </w:footnotePr>
          <w:pgSz w:w="11906" w:h="16838" w:code="9"/>
          <w:pgMar w:top="1440" w:right="1440" w:bottom="1440" w:left="1440" w:header="708" w:footer="708" w:gutter="0"/>
          <w:pgNumType w:fmt="lowerRoman"/>
          <w:cols w:space="720"/>
          <w:docGrid w:linePitch="299"/>
        </w:sectPr>
      </w:pPr>
      <w:bookmarkStart w:id="28" w:name="_Toc453235345"/>
      <w:bookmarkStart w:id="29" w:name="_Toc453595418"/>
      <w:bookmarkStart w:id="30" w:name="_Toc313187908"/>
      <w:bookmarkStart w:id="31" w:name="_Toc313619479"/>
      <w:bookmarkEnd w:id="0"/>
      <w:bookmarkEnd w:id="1"/>
      <w:bookmarkEnd w:id="2"/>
    </w:p>
    <w:p w14:paraId="145F5819" w14:textId="41B7EA6F" w:rsidR="00D22CE3" w:rsidRPr="00F10391" w:rsidRDefault="00D22CE3" w:rsidP="00A662B3">
      <w:pPr>
        <w:pStyle w:val="Heading1"/>
        <w:numPr>
          <w:ilvl w:val="0"/>
          <w:numId w:val="0"/>
        </w:numPr>
      </w:pPr>
      <w:bookmarkStart w:id="32" w:name="_Toc476241515"/>
      <w:r w:rsidRPr="00F10391">
        <w:lastRenderedPageBreak/>
        <w:t>Chapter 1:</w:t>
      </w:r>
      <w:r w:rsidRPr="00F10391">
        <w:tab/>
      </w:r>
      <w:r w:rsidR="00F476AF">
        <w:tab/>
      </w:r>
      <w:r w:rsidRPr="00F10391">
        <w:t>Thesis overview</w:t>
      </w:r>
      <w:bookmarkEnd w:id="28"/>
      <w:bookmarkEnd w:id="29"/>
      <w:bookmarkEnd w:id="32"/>
    </w:p>
    <w:p w14:paraId="28C3744D" w14:textId="77777777" w:rsidR="00D22CE3" w:rsidRPr="00F10391" w:rsidRDefault="00D22CE3" w:rsidP="00494A9A"/>
    <w:p w14:paraId="6D5170CE" w14:textId="19042CCB" w:rsidR="00D22CE3" w:rsidRPr="00F10391" w:rsidRDefault="00D22CE3" w:rsidP="00494A9A">
      <w:r w:rsidRPr="00F10391">
        <w:t xml:space="preserve">The aim of this thesis is to explore if multiple criteria decision analysis (MCDA) techniques can be designed that are suitable for use at decision-maker level in public health </w:t>
      </w:r>
      <w:r w:rsidR="006C7AFB">
        <w:t xml:space="preserve">in </w:t>
      </w:r>
      <w:r w:rsidRPr="00F10391">
        <w:t xml:space="preserve">England. </w:t>
      </w:r>
    </w:p>
    <w:p w14:paraId="68618FEF" w14:textId="77777777" w:rsidR="00D22CE3" w:rsidRPr="00F10391" w:rsidRDefault="00D22CE3" w:rsidP="00490B5D">
      <w:r w:rsidRPr="00F10391">
        <w:t xml:space="preserve">The term ‘suitability’, in this context, was intended to mean that such techniques are technically feasible but also practicable in reality, taking into account contextual, institutional and other factors that may affect the likelihood of a working model’s subsequent implementation. This approach was developed from the </w:t>
      </w:r>
      <w:r w:rsidR="004B4DBB" w:rsidRPr="00F10391">
        <w:t>related concepts</w:t>
      </w:r>
      <w:r w:rsidRPr="00F10391">
        <w:t xml:space="preserve"> of “accessibility” and “acceptability” described by Williams and Bryan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Given the need to understand both aspects, a sequence of issues required investigation: the kinds of techniques available; where and how they have been used in public health; the decision-making structures within the National Institute for Health and Care Excellence (NICE); how techniques are already used there; and in terms of designing and piloting such approaches to verify whether all such issues can actually be incorporated into a design and, if possible, implemented. Each of these issues essentially developed into the basis for a chapter of the thesis, together explaining both why and how such approaches could be used. The thesis structure, specific research objectives and questions are developed and outlined over the course of this chapter. </w:t>
      </w:r>
    </w:p>
    <w:p w14:paraId="01DBC2D5" w14:textId="77777777" w:rsidR="00D22CE3" w:rsidRPr="00F10391" w:rsidRDefault="00D22CE3" w:rsidP="00490B5D">
      <w:r w:rsidRPr="00F10391">
        <w:t>The work was funded by ESRC CASE award ES/I026088/1, entitled ‘Multi criteria approaches to public health decision-making’, with NICE as the non-academic partner. As a result, the term ‘decision-maker level’ initially meant specifically within NICE. As the project developed, changes to the public health provision process meant that it was also possible to consider local government-level decision-making as relevant. Other bodies, such as private companies or community groups, that provide public health interventions were not included.</w:t>
      </w:r>
    </w:p>
    <w:p w14:paraId="66CE1448" w14:textId="77777777" w:rsidR="00D22CE3" w:rsidRPr="00F10391" w:rsidRDefault="00D22CE3" w:rsidP="00A662B3">
      <w:pPr>
        <w:rPr>
          <w:i/>
        </w:rPr>
      </w:pPr>
      <w:r w:rsidRPr="00F10391">
        <w:t xml:space="preserve">Full ethics approval for stages of research requiring stakeholder engagement (specifically Chapters 6 and 7) was given in advance by the School of Health and Related Research (ScHARR) ethics committee in the University of Sheffield, which is provided in Appendix A. Other sections did not require additional ethical approval. </w:t>
      </w:r>
    </w:p>
    <w:p w14:paraId="0AED0320" w14:textId="77777777" w:rsidR="00D22CE3" w:rsidRPr="00F10391" w:rsidRDefault="00D22CE3" w:rsidP="00A662B3"/>
    <w:p w14:paraId="419D9B7F" w14:textId="77777777" w:rsidR="00D22CE3" w:rsidRPr="00F10391" w:rsidRDefault="00D22CE3" w:rsidP="00A662B3">
      <w:pPr>
        <w:pStyle w:val="Numberedheading2"/>
      </w:pPr>
      <w:bookmarkStart w:id="33" w:name="_Toc453235346"/>
      <w:bookmarkStart w:id="34" w:name="_Toc453595419"/>
      <w:bookmarkStart w:id="35" w:name="_Toc476241516"/>
      <w:r w:rsidRPr="00F10391">
        <w:t>1.1</w:t>
      </w:r>
      <w:r w:rsidRPr="00F10391">
        <w:tab/>
      </w:r>
      <w:r w:rsidRPr="00F10391">
        <w:tab/>
        <w:t>Background and problem specification</w:t>
      </w:r>
      <w:bookmarkEnd w:id="33"/>
      <w:bookmarkEnd w:id="34"/>
      <w:bookmarkEnd w:id="35"/>
    </w:p>
    <w:p w14:paraId="56632BCE" w14:textId="77777777" w:rsidR="00D22CE3" w:rsidRPr="00F10391" w:rsidRDefault="00D22CE3" w:rsidP="00005AA6"/>
    <w:p w14:paraId="3594616B" w14:textId="77777777" w:rsidR="00D22CE3" w:rsidRPr="00F10391" w:rsidRDefault="00D22CE3" w:rsidP="00005AA6">
      <w:r w:rsidRPr="00F10391">
        <w:t xml:space="preserve">The Wanless Report </w:t>
      </w:r>
      <w:r w:rsidRPr="00F10391">
        <w:fldChar w:fldCharType="begin"/>
      </w:r>
      <w:r w:rsidRPr="00F10391">
        <w:instrText xml:space="preserve"> ADDIN EN.CITE &lt;EndNote&gt;&lt;Cite&gt;&lt;Author&gt;Wanless&lt;/Author&gt;&lt;Year&gt;2002&lt;/Year&gt;&lt;RecNum&gt;151&lt;/RecNum&gt;&lt;DisplayText&gt;[2]&lt;/DisplayText&gt;&lt;record&gt;&lt;rec-number&gt;151&lt;/rec-number&gt;&lt;foreign-keys&gt;&lt;key app="EN" db-id="sz9092dv2s5fpze9wpgx0zxgv5ar00aezrvf" timestamp="0"&gt;151&lt;/key&gt;&lt;/foreign-keys&gt;&lt;ref-type name="Journal Article"&gt;17&lt;/ref-type&gt;&lt;contributors&gt;&lt;authors&gt;&lt;author&gt;Wanless, Derek&lt;/author&gt;&lt;/authors&gt;&lt;/contributors&gt;&lt;titles&gt;&lt;title&gt;Securing our future health: taking a long-term view&lt;/title&gt;&lt;secondary-title&gt;London: HM Treasury&lt;/secondary-title&gt;&lt;/titles&gt;&lt;pages&gt;39&lt;/pages&gt;&lt;dates&gt;&lt;year&gt;2002&lt;/year&gt;&lt;/dates&gt;&lt;urls&gt;&lt;/urls&gt;&lt;/record&gt;&lt;/Cite&gt;&lt;/EndNote&gt;</w:instrText>
      </w:r>
      <w:r w:rsidRPr="00F10391">
        <w:fldChar w:fldCharType="separate"/>
      </w:r>
      <w:r w:rsidRPr="00F10391">
        <w:t>[2]</w:t>
      </w:r>
      <w:r w:rsidRPr="00F10391">
        <w:fldChar w:fldCharType="end"/>
      </w:r>
      <w:r w:rsidRPr="00F10391">
        <w:t xml:space="preserve"> </w:t>
      </w:r>
      <w:r w:rsidR="00084AC3">
        <w:t xml:space="preserve">(p.5) </w:t>
      </w:r>
      <w:r w:rsidRPr="00F10391">
        <w:t xml:space="preserve">stated that “to achieve the objective of allocating funding more efficiently between health care and public health, it is vital that... analytic methods are used”. Difficulties have emerged in attempting to apply traditional evidence-based approaches directly to public health interventions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It is challenging to quantify adequately and model their multiple effects. As a result, certain interventions cannot in practice be investigated due to a lack of clear evidence, as well as for ethical reasons and because the non-health population impacts generally cannot easily be explicitly modelled into the decision process. </w:t>
      </w:r>
    </w:p>
    <w:p w14:paraId="186A08B6" w14:textId="77777777" w:rsidR="00D22CE3" w:rsidRPr="00F10391" w:rsidRDefault="00D22CE3" w:rsidP="00005AA6">
      <w:r w:rsidRPr="00F10391">
        <w:t xml:space="preserve">MCDA techniques may be able to play some role in addressing at least some of these issues, with academic interest in attempting to do so growing for some years </w:t>
      </w:r>
      <w:r w:rsidRPr="00F10391">
        <w:fldChar w:fldCharType="begin">
          <w:fldData xml:space="preserve">PEVuZE5vdGU+PENpdGU+PEF1dGhvcj5EZXZsaW48L0F1dGhvcj48WWVhcj4yMDExPC9ZZWFyPjxS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==
</w:fldData>
        </w:fldChar>
      </w:r>
      <w:r w:rsidRPr="00F10391">
        <w:instrText xml:space="preserve"> ADDIN EN.CITE </w:instrText>
      </w:r>
      <w:r w:rsidRPr="00F10391">
        <w:fldChar w:fldCharType="begin">
          <w:fldData xml:space="preserve">PEVuZE5vdGU+PENpdGU+PEF1dGhvcj5EZXZsaW48L0F1dGhvcj48WWVhcj4yMDExPC9ZZWFyPjxS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==
</w:fldData>
        </w:fldChar>
      </w:r>
      <w:r w:rsidRPr="00F10391">
        <w:instrText xml:space="preserve"> ADDIN EN.CITE.DATA </w:instrText>
      </w:r>
      <w:r w:rsidRPr="00F10391">
        <w:fldChar w:fldCharType="end"/>
      </w:r>
      <w:r w:rsidRPr="00F10391">
        <w:fldChar w:fldCharType="separate"/>
      </w:r>
      <w:r w:rsidRPr="00F10391">
        <w:t>[4-7]</w:t>
      </w:r>
      <w:r w:rsidRPr="00F10391">
        <w:fldChar w:fldCharType="end"/>
      </w:r>
      <w:r w:rsidRPr="00F10391">
        <w:t>.</w:t>
      </w:r>
    </w:p>
    <w:p w14:paraId="36DCE27E" w14:textId="77777777" w:rsidR="00D22CE3" w:rsidRPr="00F10391" w:rsidRDefault="00D22CE3" w:rsidP="00005AA6">
      <w:r w:rsidRPr="00F10391">
        <w:lastRenderedPageBreak/>
        <w:t xml:space="preserve">MCDA techniques are an extension of decision theory “for appraising alternatives on individual, often conflicting criteria and combining them into one overall appraisal” </w:t>
      </w:r>
      <w:r w:rsidRPr="00F10391">
        <w:fldChar w:fldCharType="begin"/>
      </w:r>
      <w:r w:rsidRPr="00F10391">
        <w:instrText xml:space="preserve"> ADDIN EN.CITE &lt;EndNote&gt;&lt;Cite&gt;&lt;Author&gt;Keeney&lt;/Author&gt;&lt;Year&gt;1993&lt;/Year&gt;&lt;RecNum&gt;260&lt;/RecNum&gt;&lt;DisplayText&gt;[8]&lt;/DisplayText&gt;&lt;record&gt;&lt;rec-number&gt;260&lt;/rec-number&gt;&lt;foreign-keys&gt;&lt;key app="EN" db-id="sz9092dv2s5fpze9wpgx0zxgv5ar00aezrvf" timestamp="0"&gt;260&lt;/key&gt;&lt;/foreign-keys&gt;&lt;ref-type name="Book"&gt;6&lt;/ref-type&gt;&lt;contributors&gt;&lt;authors&gt;&lt;author&gt;Keeney, Ralph L&lt;/author&gt;&lt;author&gt;Raiffa, Howard&lt;/author&gt;&lt;/authors&gt;&lt;/contributors&gt;&lt;titles&gt;&lt;title&gt;Decisions with multiple objectives: preferences and value trade-offs&lt;/title&gt;&lt;/titles&gt;&lt;dates&gt;&lt;year&gt;1993&lt;/year&gt;&lt;/dates&gt;&lt;publisher&gt;Cambridge university press&lt;/publisher&gt;&lt;isbn&gt;0521438837&lt;/isbn&gt;&lt;urls&gt;&lt;/urls&gt;&lt;/record&gt;&lt;/Cite&gt;&lt;/EndNote&gt;</w:instrText>
      </w:r>
      <w:r w:rsidRPr="00F10391">
        <w:fldChar w:fldCharType="separate"/>
      </w:r>
      <w:r w:rsidRPr="00F10391">
        <w:t>[8]</w:t>
      </w:r>
      <w:r w:rsidRPr="00F10391">
        <w:fldChar w:fldCharType="end"/>
      </w:r>
      <w:r w:rsidR="00700267">
        <w:t xml:space="preserve"> (quoted in</w:t>
      </w:r>
      <w:r w:rsidR="00BA279D">
        <w:t xml:space="preserve"> </w:t>
      </w:r>
      <w:r w:rsidR="00700267">
        <w:t xml:space="preserve">Thokala et al. </w:t>
      </w:r>
      <w:r w:rsidR="00700267">
        <w:fldChar w:fldCharType="begin"/>
      </w:r>
      <w:r w:rsidR="00700267">
        <w:instrText xml:space="preserve"> ADDIN EN.CITE &lt;EndNote&gt;&lt;Cite&gt;&lt;Author&gt;Thokala&lt;/Author&gt;&lt;Year&gt;2016&lt;/Year&gt;&lt;RecNum&gt;366&lt;/RecNum&gt;&lt;DisplayText&gt;[9]&lt;/DisplayText&gt;&lt;record&gt;&lt;rec-number&gt;366&lt;/rec-number&gt;&lt;foreign-keys&gt;&lt;key app="EN" db-id="sz9092dv2s5fpze9wpgx0zxgv5ar00aezrvf" timestamp="1455902383"&gt;366&lt;/key&gt;&lt;/foreign-keys&gt;&lt;ref-type name="Journal Article"&gt;17&lt;/ref-type&gt;&lt;contributors&gt;&lt;authors&gt;&lt;author&gt;Thokala, Praveen&lt;/author&gt;&lt;author&gt;Devlin, Nancy&lt;/author&gt;&lt;author&gt;Marsh, Kevin&lt;/author&gt;&lt;author&gt;Baltussen, Rob&lt;/author&gt;&lt;author&gt;Boysen, Meindert&lt;/author&gt;&lt;author&gt;Kalo, Zoltan&lt;/author&gt;&lt;author&gt;Longrenn, Thomas&lt;/author&gt;&lt;author&gt;Mussen, Filip&lt;/author&gt;&lt;author&gt;Peacock, Stuart&lt;/author&gt;&lt;author&gt;Watkins, John&lt;/author&gt;&lt;/authors&gt;&lt;/contributors&gt;&lt;titles&gt;&lt;title&gt;Multiple Criteria Decision Analysis for Health Care Decision Making—An Introduction: Report 1 of the ISPOR MCDA Emerging Good Practices Task Force&lt;/title&gt;&lt;secondary-title&gt;Value in Health&lt;/secondary-title&gt;&lt;/titles&gt;&lt;periodical&gt;&lt;full-title&gt;Value in Health&lt;/full-title&gt;&lt;/periodical&gt;&lt;dates&gt;&lt;year&gt;2016&lt;/year&gt;&lt;/dates&gt;&lt;isbn&gt;1098-3015&lt;/isbn&gt;&lt;urls&gt;&lt;/urls&gt;&lt;/record&gt;&lt;/Cite&gt;&lt;/EndNote&gt;</w:instrText>
      </w:r>
      <w:r w:rsidR="00700267">
        <w:fldChar w:fldCharType="separate"/>
      </w:r>
      <w:r w:rsidR="00700267">
        <w:rPr>
          <w:noProof/>
        </w:rPr>
        <w:t>[9]</w:t>
      </w:r>
      <w:r w:rsidR="00700267">
        <w:fldChar w:fldCharType="end"/>
      </w:r>
      <w:r w:rsidR="00700267">
        <w:t xml:space="preserve"> (p.2))</w:t>
      </w:r>
      <w:r w:rsidRPr="00F10391">
        <w:t>. The approaches comprise a family of related analytical methods suitable for structuring complex decision problems.</w:t>
      </w:r>
    </w:p>
    <w:p w14:paraId="52E9D456" w14:textId="77777777" w:rsidR="00D22CE3" w:rsidRPr="00F10391" w:rsidRDefault="00D22CE3" w:rsidP="00D24504">
      <w:r w:rsidRPr="00F10391">
        <w:t xml:space="preserve">Typically, MCDA techniques are applied to problems that not only include multiple conflicting criteria, but also feature multiple objectives, multiple ways of measuring these, multiple stakeholders, and/or high levels of uncertainty. Implementing MCDA approaches for such problems may lead to greater stakeholder involvement, transparency, consistency, improved outcomes, better evidence or a better understanding of organisational aims and processes. On the other hand, they can be relatively resource intensive, and will not be appropriate in every setting. </w:t>
      </w:r>
    </w:p>
    <w:p w14:paraId="6F83DBE7" w14:textId="77777777" w:rsidR="00D22CE3" w:rsidRPr="00F10391" w:rsidRDefault="00D22CE3" w:rsidP="00D24504">
      <w:r w:rsidRPr="00F10391">
        <w:t xml:space="preserve">There are disagreements as to the exact boundaries of MCDA – such as whether weighting is always required, and whether only certain types of weighting are acceptable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These are further discussed in the next chapter. However, for the purposes of this thesis, MCDA is defined as:</w:t>
      </w:r>
    </w:p>
    <w:p w14:paraId="30982601" w14:textId="77777777" w:rsidR="00D22CE3" w:rsidRPr="0063065F" w:rsidRDefault="00D22CE3" w:rsidP="00D24504">
      <w:pPr>
        <w:ind w:left="720"/>
        <w:rPr>
          <w:i/>
        </w:rPr>
      </w:pPr>
      <w:r w:rsidRPr="0063065F">
        <w:rPr>
          <w:i/>
        </w:rPr>
        <w:t xml:space="preserve">approaches that can rank, prioritise or choose between given alternative potential actions, by scoring the actions on explicit criteria, and where the criteria are themselves weighted (unless it is clear from the prior stages that such weighting is unnecessary because of dominance or effective dominance). </w:t>
      </w:r>
    </w:p>
    <w:p w14:paraId="57F6BC38" w14:textId="2539C013" w:rsidR="00D22CE3" w:rsidRPr="00F10391" w:rsidRDefault="00D22CE3" w:rsidP="00494A9A">
      <w:r w:rsidRPr="00F10391">
        <w:t xml:space="preserve">This is not to say that alternative related approaches are not useful – Chapter 5 discusses how cost-consequence analysis (CCA), similar to a performance matrix, could be used as a stepping-stone to a full-blown MCDA. But this thesis will not include such techniques as MCDA approaches in and of themselves. Neither will current ‘deliberations’ within NICE, notwithstanding the fact that they may be considering multiple criteria as part of their decision-making processes. </w:t>
      </w:r>
      <w:r w:rsidR="00D2689B">
        <w:t>I</w:t>
      </w:r>
      <w:r w:rsidRPr="00F10391">
        <w:t xml:space="preserve">n public health </w:t>
      </w:r>
      <w:r w:rsidR="00D2689B">
        <w:t xml:space="preserve">settings </w:t>
      </w:r>
      <w:r w:rsidRPr="00F10391">
        <w:t xml:space="preserve">the </w:t>
      </w:r>
      <w:r w:rsidR="00097A0C">
        <w:t xml:space="preserve">criteria </w:t>
      </w:r>
      <w:r w:rsidRPr="00F10391">
        <w:t>most recognised</w:t>
      </w:r>
      <w:r w:rsidR="00CC3C43">
        <w:t xml:space="preserve"> </w:t>
      </w:r>
      <w:r w:rsidR="00097A0C">
        <w:t xml:space="preserve">as </w:t>
      </w:r>
      <w:r w:rsidR="00CC3C43">
        <w:t xml:space="preserve">potentially </w:t>
      </w:r>
      <w:r w:rsidR="00097A0C">
        <w:t>in conflict</w:t>
      </w:r>
      <w:r w:rsidR="00CC3C43">
        <w:t xml:space="preserve"> </w:t>
      </w:r>
      <w:r w:rsidR="00D2689B">
        <w:t xml:space="preserve">are those of </w:t>
      </w:r>
      <w:r w:rsidRPr="00F10391">
        <w:t xml:space="preserve">effectiveness and equity, though dozens of others are described over the course of the thesis. There is a range of procedures existing for deciding on and combining the weights and scores, and for choosing the criteria themselves, and these are also discussed in the next chapter. </w:t>
      </w:r>
    </w:p>
    <w:p w14:paraId="2F9F919A" w14:textId="338A51B3" w:rsidR="00D22CE3" w:rsidRPr="00F10391" w:rsidRDefault="00D22CE3" w:rsidP="00494A9A">
      <w:r w:rsidRPr="00F10391">
        <w:t xml:space="preserve">Public health can also be interpreted differently depending on context. This thesis follows the broad definition of NICE’s Centre for Public Health (CPH), as it being “about the promotion of good health and the prevention of ill health”, taking an “inclusive” perspective </w:t>
      </w:r>
      <w:r w:rsidR="00700267">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00700267">
        <w:fldChar w:fldCharType="separate"/>
      </w:r>
      <w:r w:rsidR="00700267">
        <w:rPr>
          <w:noProof/>
        </w:rPr>
        <w:t>[10]</w:t>
      </w:r>
      <w:r w:rsidR="00700267">
        <w:fldChar w:fldCharType="end"/>
      </w:r>
      <w:r w:rsidR="00700267">
        <w:t xml:space="preserve"> (p.136)</w:t>
      </w:r>
      <w:r w:rsidRPr="00F10391">
        <w:t xml:space="preserve">.  </w:t>
      </w:r>
    </w:p>
    <w:p w14:paraId="17A191F2" w14:textId="77777777" w:rsidR="00D22CE3" w:rsidRPr="00F10391" w:rsidRDefault="00D22CE3" w:rsidP="00490B5D">
      <w:r w:rsidRPr="00F10391">
        <w:t>The research was conducted primarily in English settings, with fieldwork in both NICE and at local government level. The research happened to coincide with a period of change in the provision of public health services in the UK, coming about subsequent to the election of the Conservative-Liberal Democrat coalition government in 2010. These changes inevitably precipitated the need for further reappraisal of decision-making approaches, both in NICE and at local government level. This created opportunities for the research programme to explore the application of MCDA techniques in novel, practical settings.</w:t>
      </w:r>
    </w:p>
    <w:p w14:paraId="2C68B1F4" w14:textId="77777777" w:rsidR="00D22CE3" w:rsidRDefault="00D22CE3" w:rsidP="00490B5D"/>
    <w:p w14:paraId="07C0519A" w14:textId="77777777" w:rsidR="006E3179" w:rsidRPr="00F10391" w:rsidRDefault="006E3179" w:rsidP="00A662B3"/>
    <w:p w14:paraId="78074640" w14:textId="77777777" w:rsidR="00D22CE3" w:rsidRPr="00F10391" w:rsidRDefault="00D22CE3" w:rsidP="00A662B3">
      <w:pPr>
        <w:pStyle w:val="Numberedheading2"/>
      </w:pPr>
      <w:bookmarkStart w:id="36" w:name="_Toc453235347"/>
      <w:bookmarkStart w:id="37" w:name="_Toc453595420"/>
      <w:bookmarkStart w:id="38" w:name="_Toc476241517"/>
      <w:r w:rsidRPr="00F10391">
        <w:lastRenderedPageBreak/>
        <w:t>1.2</w:t>
      </w:r>
      <w:r w:rsidRPr="00F10391">
        <w:tab/>
      </w:r>
      <w:r w:rsidRPr="00F10391">
        <w:tab/>
        <w:t>Methods and research model</w:t>
      </w:r>
      <w:bookmarkEnd w:id="36"/>
      <w:bookmarkEnd w:id="37"/>
      <w:bookmarkEnd w:id="38"/>
    </w:p>
    <w:p w14:paraId="4A1F0620" w14:textId="77777777" w:rsidR="00D22CE3" w:rsidRPr="00F10391" w:rsidRDefault="00D22CE3" w:rsidP="00A662B3"/>
    <w:p w14:paraId="233AE3A7" w14:textId="77777777" w:rsidR="00D22CE3" w:rsidRPr="00F10391" w:rsidRDefault="00D22CE3" w:rsidP="00005AA6">
      <w:r w:rsidRPr="00F10391">
        <w:t xml:space="preserve">This project has attempted from its earliest days, insofar as possible, to take a hands-on approach. It seemed important that approaches could be tested in real-world settings in order to further inform the debate around whether or not MCDA techniques could ever be used in NICE and similar decision-making settings, given that they have been discussed for some years </w:t>
      </w:r>
      <w:r w:rsidRPr="00F10391">
        <w:fldChar w:fldCharType="begin"/>
      </w:r>
      <w:r w:rsidRPr="00F10391">
        <w:instrText xml:space="preserve"> ADDIN EN.CITE &lt;EndNote&gt;&lt;Cite&gt;&lt;Author&gt;Devlin&lt;/Author&gt;&lt;Year&gt;2011&lt;/Year&gt;&lt;RecNum&gt;37&lt;/RecNum&gt;&lt;DisplayText&gt;[4, 5]&lt;/DisplayText&gt;&lt;record&gt;&lt;rec-number&gt;37&lt;/rec-number&gt;&lt;foreign-keys&gt;&lt;key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Cite&gt;&lt;Author&gt;Thokala&lt;/Author&gt;&lt;Year&gt;2012&lt;/Year&gt;&lt;RecNum&gt;141&lt;/RecNum&gt;&lt;record&gt;&lt;rec-number&gt;141&lt;/rec-number&gt;&lt;foreign-keys&gt;&lt;key app="EN" db-id="sz9092dv2s5fpze9wpgx0zxgv5ar00aezrvf" timestamp="0"&gt;141&lt;/key&gt;&lt;/foreign-keys&gt;&lt;ref-type name="Journal Article"&gt;17&lt;/ref-type&gt;&lt;contributors&gt;&lt;authors&gt;&lt;author&gt;Thokala, Praveen&lt;/author&gt;&lt;author&gt;Duenas, Alejandra&lt;/author&gt;&lt;/authors&gt;&lt;/contributors&gt;&lt;titles&gt;&lt;title&gt;Multiple criteria decision analysis for health technology assessment&lt;/title&gt;&lt;secondary-title&gt;Value in Health&lt;/secondary-title&gt;&lt;/titles&gt;&lt;periodical&gt;&lt;full-title&gt;Value in Health&lt;/full-title&gt;&lt;/periodical&gt;&lt;pages&gt;1172-1181&lt;/pages&gt;&lt;volume&gt;15&lt;/volume&gt;&lt;number&gt;8&lt;/number&gt;&lt;dates&gt;&lt;year&gt;2012&lt;/year&gt;&lt;/dates&gt;&lt;isbn&gt;1098-3015&lt;/isbn&gt;&lt;urls&gt;&lt;related-urls&gt;&lt;url&gt;http://www.valueinhealthjournal.com/article/S1098-3015(12)01655-5/pdf&lt;/url&gt;&lt;/related-urls&gt;&lt;/urls&gt;&lt;/record&gt;&lt;/Cite&gt;&lt;/EndNote&gt;</w:instrText>
      </w:r>
      <w:r w:rsidRPr="00F10391">
        <w:fldChar w:fldCharType="separate"/>
      </w:r>
      <w:r w:rsidRPr="00F10391">
        <w:t>[4, 5]</w:t>
      </w:r>
      <w:r w:rsidRPr="00F10391">
        <w:fldChar w:fldCharType="end"/>
      </w:r>
      <w:r w:rsidRPr="00F10391">
        <w:t xml:space="preserve"> but with few attempts being made to utilise such approaches within NICE itself. </w:t>
      </w:r>
    </w:p>
    <w:p w14:paraId="253C31F8" w14:textId="04336C18" w:rsidR="00D22CE3" w:rsidRPr="00F10391" w:rsidRDefault="00D22CE3" w:rsidP="00005AA6">
      <w:r w:rsidRPr="00F10391">
        <w:t xml:space="preserve">My own background prior to beginning the PhD was in operational research (OR), as applied to healthcare settings. OR techniques use quantitative analytical techniques to inform decision-making for a given problem and tend to take a pragmatic outlook. MCDA approaches are a subset of such OR techniques. OR is normally thought of as taking a micro-level perspective applied to a specific problem </w:t>
      </w:r>
      <w:r w:rsidRPr="00F10391">
        <w:fldChar w:fldCharType="begin"/>
      </w:r>
      <w:r w:rsidR="00700267">
        <w:instrText xml:space="preserve"> ADDIN EN.CITE &lt;EndNote&gt;&lt;Cite&gt;&lt;Author&gt;Remme&lt;/Author&gt;&lt;Year&gt;2010&lt;/Year&gt;&lt;RecNum&gt;300&lt;/RecNum&gt;&lt;DisplayText&gt;[11]&lt;/DisplayText&gt;&lt;record&gt;&lt;rec-number&gt;300&lt;/rec-number&gt;&lt;foreign-keys&gt;&lt;key app="EN" db-id="sz9092dv2s5fpze9wpgx0zxgv5ar00aezrvf" timestamp="0"&gt;300&lt;/key&gt;&lt;/foreign-keys&gt;&lt;ref-type name="Journal Article"&gt;17&lt;/ref-type&gt;&lt;contributors&gt;&lt;authors&gt;&lt;author&gt;Remme, JHF&lt;/author&gt;&lt;author&gt;Adam, T&lt;/author&gt;&lt;author&gt;Becerra-Posada, F&lt;/author&gt;&lt;author&gt;D’arcangues, C&lt;/author&gt;&lt;author&gt;Devlin, M&lt;/author&gt;&lt;/authors&gt;&lt;/contributors&gt;&lt;titles&gt;&lt;title&gt;Defining Research to Improve Health Systems&lt;/title&gt;&lt;secondary-title&gt;PLOS Medicine&lt;/secondary-title&gt;&lt;/titles&gt;&lt;pages&gt;48&lt;/pages&gt;&lt;volume&gt;7&lt;/volume&gt;&lt;number&gt;11&lt;/number&gt;&lt;section&gt;1&lt;/section&gt;&lt;dates&gt;&lt;year&gt;2010&lt;/year&gt;&lt;/dates&gt;&lt;urls&gt;&lt;/urls&gt;&lt;/record&gt;&lt;/Cite&gt;&lt;/EndNote&gt;</w:instrText>
      </w:r>
      <w:r w:rsidRPr="00F10391">
        <w:fldChar w:fldCharType="separate"/>
      </w:r>
      <w:r w:rsidR="00700267">
        <w:rPr>
          <w:noProof/>
        </w:rPr>
        <w:t>[11]</w:t>
      </w:r>
      <w:r w:rsidRPr="00F10391">
        <w:fldChar w:fldCharType="end"/>
      </w:r>
      <w:r w:rsidRPr="00F10391">
        <w:t xml:space="preserve">, and this thesis attempts to apply it at the </w:t>
      </w:r>
      <w:r w:rsidR="005F0872">
        <w:t xml:space="preserve">broader </w:t>
      </w:r>
      <w:r w:rsidRPr="00F10391">
        <w:t>level of</w:t>
      </w:r>
      <w:r w:rsidR="00193831">
        <w:t xml:space="preserve"> prioritisation within the</w:t>
      </w:r>
      <w:r w:rsidR="00CC3C43">
        <w:t xml:space="preserve"> </w:t>
      </w:r>
      <w:r w:rsidRPr="00F10391">
        <w:t>health service</w:t>
      </w:r>
      <w:r w:rsidR="00193831">
        <w:rPr>
          <w:rStyle w:val="CommentReference"/>
          <w:lang w:eastAsia="en-US"/>
        </w:rPr>
        <w:t>.</w:t>
      </w:r>
      <w:r w:rsidRPr="00F10391">
        <w:t xml:space="preserve"> Implementation science has been described as the intermediate step between OR and health services research </w:t>
      </w:r>
      <w:r w:rsidRPr="00F10391">
        <w:fldChar w:fldCharType="begin"/>
      </w:r>
      <w:r w:rsidR="00700267">
        <w:instrText xml:space="preserve"> ADDIN EN.CITE &lt;EndNote&gt;&lt;Cite&gt;&lt;Author&gt;Remme&lt;/Author&gt;&lt;Year&gt;2010&lt;/Year&gt;&lt;RecNum&gt;300&lt;/RecNum&gt;&lt;DisplayText&gt;[11]&lt;/DisplayText&gt;&lt;record&gt;&lt;rec-number&gt;300&lt;/rec-number&gt;&lt;foreign-keys&gt;&lt;key app="EN" db-id="sz9092dv2s5fpze9wpgx0zxgv5ar00aezrvf" timestamp="0"&gt;300&lt;/key&gt;&lt;/foreign-keys&gt;&lt;ref-type name="Journal Article"&gt;17&lt;/ref-type&gt;&lt;contributors&gt;&lt;authors&gt;&lt;author&gt;Remme, JHF&lt;/author&gt;&lt;author&gt;Adam, T&lt;/author&gt;&lt;author&gt;Becerra-Posada, F&lt;/author&gt;&lt;author&gt;D’arcangues, C&lt;/author&gt;&lt;author&gt;Devlin, M&lt;/author&gt;&lt;/authors&gt;&lt;/contributors&gt;&lt;titles&gt;&lt;title&gt;Defining Research to Improve Health Systems&lt;/title&gt;&lt;secondary-title&gt;PLOS Medicine&lt;/secondary-title&gt;&lt;/titles&gt;&lt;pages&gt;48&lt;/pages&gt;&lt;volume&gt;7&lt;/volume&gt;&lt;number&gt;11&lt;/number&gt;&lt;section&gt;1&lt;/section&gt;&lt;dates&gt;&lt;year&gt;2010&lt;/year&gt;&lt;/dates&gt;&lt;urls&gt;&lt;/urls&gt;&lt;/record&gt;&lt;/Cite&gt;&lt;/EndNote&gt;</w:instrText>
      </w:r>
      <w:r w:rsidRPr="00F10391">
        <w:fldChar w:fldCharType="separate"/>
      </w:r>
      <w:r w:rsidR="00700267">
        <w:rPr>
          <w:noProof/>
        </w:rPr>
        <w:t>[11]</w:t>
      </w:r>
      <w:r w:rsidRPr="00F10391">
        <w:fldChar w:fldCharType="end"/>
      </w:r>
      <w:r w:rsidRPr="00F10391">
        <w:t xml:space="preserve">, and may therefore offer a useful bridge between the disciplines. It is defined as the scientific study of methods to promote the systematic uptake of research findings and other evidence based practices into routine practice to improve the quality and effectiveness of health services and care </w:t>
      </w:r>
      <w:r w:rsidRPr="00F10391">
        <w:fldChar w:fldCharType="begin"/>
      </w:r>
      <w:r w:rsidR="00700267">
        <w:instrText xml:space="preserve"> ADDIN EN.CITE &lt;EndNote&gt;&lt;Cite&gt;&lt;Author&gt;Bhattacharyya&lt;/Author&gt;&lt;Year&gt;2009&lt;/Year&gt;&lt;RecNum&gt;301&lt;/RecNum&gt;&lt;DisplayText&gt;[12]&lt;/DisplayText&gt;&lt;record&gt;&lt;rec-number&gt;301&lt;/rec-number&gt;&lt;foreign-keys&gt;&lt;key app="EN" db-id="sz9092dv2s5fpze9wpgx0zxgv5ar00aezrvf" timestamp="0"&gt;301&lt;/key&gt;&lt;/foreign-keys&gt;&lt;ref-type name="Journal Article"&gt;17&lt;/ref-type&gt;&lt;contributors&gt;&lt;authors&gt;&lt;author&gt;Bhattacharyya, Onil&lt;/author&gt;&lt;author&gt;Reeves, Scott&lt;/author&gt;&lt;author&gt;Zwarenstein, Merrick&lt;/author&gt;&lt;/authors&gt;&lt;/contributors&gt;&lt;titles&gt;&lt;title&gt;What is implementation research? Rationale, concepts, and practices&lt;/title&gt;&lt;secondary-title&gt;Research on Social Work Practice&lt;/secondary-title&gt;&lt;/titles&gt;&lt;pages&gt;491-502&lt;/pages&gt;&lt;volume&gt;19&lt;/volume&gt;&lt;number&gt;5&lt;/number&gt;&lt;dates&gt;&lt;year&gt;2009&lt;/year&gt;&lt;/dates&gt;&lt;isbn&gt;1049-7315&lt;/isbn&gt;&lt;urls&gt;&lt;/urls&gt;&lt;/record&gt;&lt;/Cite&gt;&lt;/EndNote&gt;</w:instrText>
      </w:r>
      <w:r w:rsidRPr="00F10391">
        <w:fldChar w:fldCharType="separate"/>
      </w:r>
      <w:r w:rsidR="00700267">
        <w:rPr>
          <w:noProof/>
        </w:rPr>
        <w:t>[12]</w:t>
      </w:r>
      <w:r w:rsidRPr="00F10391">
        <w:fldChar w:fldCharType="end"/>
      </w:r>
      <w:r w:rsidRPr="00F10391">
        <w:t>.</w:t>
      </w:r>
    </w:p>
    <w:p w14:paraId="1155C8B2" w14:textId="77777777" w:rsidR="00D22CE3" w:rsidRPr="00F10391" w:rsidRDefault="00D22CE3" w:rsidP="00005AA6">
      <w:r w:rsidRPr="00F10391">
        <w:t xml:space="preserve">Nilsen </w:t>
      </w:r>
      <w:r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Pr="00F10391">
        <w:fldChar w:fldCharType="separate"/>
      </w:r>
      <w:r w:rsidR="00700267">
        <w:rPr>
          <w:noProof/>
        </w:rPr>
        <w:t>[13]</w:t>
      </w:r>
      <w:r w:rsidRPr="00F10391">
        <w:fldChar w:fldCharType="end"/>
      </w:r>
      <w:r w:rsidRPr="00F10391">
        <w:t xml:space="preserve"> describes a range of frameworks used in implementation science literature, and within this, this thesis is best described as following a “process” research model, and specifically an “action model”. Such models:</w:t>
      </w:r>
    </w:p>
    <w:p w14:paraId="230100B9" w14:textId="2F8998B0" w:rsidR="00D22CE3" w:rsidRPr="00F10391" w:rsidRDefault="00D22CE3" w:rsidP="00D24504">
      <w:pPr>
        <w:ind w:left="720"/>
      </w:pPr>
      <w:r w:rsidRPr="00F10391">
        <w:t xml:space="preserve">“describe and/or guide the process of translating research into practice. Specifically, an action model is a type of process model that provides practical guidance in the planning and execution of implementation endeavours and/or implementation strategies to facilitate implementation” </w:t>
      </w:r>
      <w:r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Pr="00F10391">
        <w:fldChar w:fldCharType="separate"/>
      </w:r>
      <w:r w:rsidR="00700267">
        <w:rPr>
          <w:noProof/>
        </w:rPr>
        <w:t>[13]</w:t>
      </w:r>
      <w:r w:rsidRPr="00F10391">
        <w:fldChar w:fldCharType="end"/>
      </w:r>
      <w:r w:rsidRPr="00F10391">
        <w:t xml:space="preserve"> (</w:t>
      </w:r>
      <w:r w:rsidR="008533CC">
        <w:t>p.</w:t>
      </w:r>
      <w:r w:rsidRPr="00F10391">
        <w:t xml:space="preserve">3). </w:t>
      </w:r>
    </w:p>
    <w:p w14:paraId="78858B8D" w14:textId="77777777" w:rsidR="00D22CE3" w:rsidRPr="00F10391" w:rsidRDefault="00D22CE3" w:rsidP="00494A9A">
      <w:r w:rsidRPr="00F10391">
        <w:t xml:space="preserve">While this thesis’s overall approach can be described as following Nilsen’s action model methodology, its specific objectives can be thought of as a series of sub-stages. Lee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xml:space="preserve"> describes how best to pair research design with decision context in health settings, and outlines a number of such designs that can be used with a project depending on the nature of previous research in the setting and the specific research programme’s aims. The thesis is made up of two of the phases that Lee outlines: the first being “problem specification” and the second itself made up of parallel “intervention development” and “intervention implementation” stages. These research objectives are individually described in the next section.</w:t>
      </w:r>
    </w:p>
    <w:p w14:paraId="364791F7" w14:textId="77777777" w:rsidR="00D22CE3" w:rsidRPr="00F10391" w:rsidRDefault="00D22CE3" w:rsidP="00494A9A">
      <w:r w:rsidRPr="00F10391">
        <w:t xml:space="preserve">The thesis’ overall conceptual model can therefore be thought of as the using the generalizable steps that are outlined in Lee’s model for choosing appropriate research questions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xml:space="preserve">, as applied to Nilsen’s action model of research (with its focus on ultimate implementation) </w:t>
      </w:r>
      <w:r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Pr="00F10391">
        <w:fldChar w:fldCharType="separate"/>
      </w:r>
      <w:r w:rsidR="00700267">
        <w:rPr>
          <w:noProof/>
        </w:rPr>
        <w:t>[13]</w:t>
      </w:r>
      <w:r w:rsidRPr="00F10391">
        <w:fldChar w:fldCharType="end"/>
      </w:r>
      <w:r w:rsidRPr="00F10391">
        <w:t xml:space="preserve">. </w:t>
      </w:r>
    </w:p>
    <w:p w14:paraId="72B78060" w14:textId="77777777" w:rsidR="00D22CE3" w:rsidRPr="00F10391" w:rsidRDefault="00D22CE3" w:rsidP="00494A9A">
      <w:r w:rsidRPr="00F10391">
        <w:t xml:space="preserve">This approach allows for the structuring of a loose, though pragmatic, soft OR-style perspective onto the thesis structure – ensuring that the results are ultimately implementable (and are therefore ‘suitable’ as defined earlier), while ensuring that there is a theoretical basis underpinning them. Even within this approach there is some degree of nuance. Lee suggests that a given project could be predominantly made up of one of an iterative cycle of processes: exploratory, descriptive, explanatory, evaluative or transformative in nature. In practice, the </w:t>
      </w:r>
      <w:r w:rsidRPr="00F10391">
        <w:lastRenderedPageBreak/>
        <w:t>thesis is itself made up of related sub-projects, and as such individual chapters in this thesis correspond to each of these stages. Taken together, these should offer a stronger and more coherent message than simply the sum of its parts.</w:t>
      </w:r>
    </w:p>
    <w:p w14:paraId="04C4E64E" w14:textId="77777777" w:rsidR="00D22CE3" w:rsidRPr="00F10391" w:rsidRDefault="00D22CE3" w:rsidP="00490B5D">
      <w:r w:rsidRPr="00F10391">
        <w:t>The first year of the research focussed on defining a scope for the thesis and acquiring the basic knowledge required to do build upon this. Chapter 2, describing various MCDA and other evidence-based approaches in public health, and Chapter 3 – a systematic review of where MCDA has previously been reported as used – were written over this period, though the review has since been revised.</w:t>
      </w:r>
    </w:p>
    <w:p w14:paraId="10C3E288" w14:textId="77777777" w:rsidR="00D22CE3" w:rsidRPr="00F10391" w:rsidRDefault="00D22CE3" w:rsidP="00490B5D">
      <w:r w:rsidRPr="00F10391">
        <w:t xml:space="preserve">I then spent six months working in NICE’s offices in London to better understand the context in which its Centre for Public Health directorate’s decisions were made and to better understand and articulate what the thesis’ next steps should be. Such context is vital - implementation is inevitably a social process, inseparable from the context in which it takes place </w:t>
      </w:r>
      <w:r w:rsidRPr="00F10391">
        <w:fldChar w:fldCharType="begin"/>
      </w:r>
      <w:r w:rsidR="00700267">
        <w:instrText xml:space="preserve"> ADDIN EN.CITE &lt;EndNote&gt;&lt;Cite&gt;&lt;Author&gt;Damschroder&lt;/Author&gt;&lt;Year&gt;2009&lt;/Year&gt;&lt;RecNum&gt;303&lt;/RecNum&gt;&lt;DisplayText&gt;[15]&lt;/DisplayText&gt;&lt;record&gt;&lt;rec-number&gt;303&lt;/rec-number&gt;&lt;foreign-keys&gt;&lt;key app="EN" db-id="sz9092dv2s5fpze9wpgx0zxgv5ar00aezrvf" timestamp="0"&gt;303&lt;/key&gt;&lt;/foreign-keys&gt;&lt;ref-type name="Journal Article"&gt;17&lt;/ref-type&gt;&lt;contributors&gt;&lt;authors&gt;&lt;author&gt;Damschroder, Laura J&lt;/author&gt;&lt;author&gt;Aron, David C&lt;/author&gt;&lt;author&gt;Keith, Rosalind E&lt;/author&gt;&lt;author&gt;Kirsh, Susan R&lt;/author&gt;&lt;author&gt;Alexander, Jeffery A&lt;/author&gt;&lt;author&gt;Lowery, Julie C&lt;/author&gt;&lt;/authors&gt;&lt;/contributors&gt;&lt;titles&gt;&lt;title&gt;Fostering implementation of health services research findings into practice: a consolidated framework for advancing implementation science&lt;/title&gt;&lt;secondary-title&gt;Implement Sci&lt;/secondary-title&gt;&lt;/titles&gt;&lt;pages&gt;50&lt;/pages&gt;&lt;volume&gt;4&lt;/volume&gt;&lt;number&gt;1&lt;/number&gt;&lt;dates&gt;&lt;year&gt;2009&lt;/year&gt;&lt;/dates&gt;&lt;urls&gt;&lt;/urls&gt;&lt;/record&gt;&lt;/Cite&gt;&lt;/EndNote&gt;</w:instrText>
      </w:r>
      <w:r w:rsidRPr="00F10391">
        <w:fldChar w:fldCharType="separate"/>
      </w:r>
      <w:r w:rsidR="00700267">
        <w:rPr>
          <w:noProof/>
        </w:rPr>
        <w:t>[15]</w:t>
      </w:r>
      <w:r w:rsidRPr="00F10391">
        <w:fldChar w:fldCharType="end"/>
      </w:r>
      <w:r w:rsidRPr="00F10391">
        <w:t xml:space="preserve">. This secondment gave a depth of understanding of the processes which would likely have been impossible from an outsider’s perspective, attempting to fully comprehend NICE’s processes through reports alone. My experience there allowed for better understanding of decision-making contexts and frameworks, the organisational structure and culture, its values and attitudes, its role for stakeholders and so on. Alongside a related literature search, the secondment served as the basis for Chapter 4, describing NICE decision-making processes. </w:t>
      </w:r>
    </w:p>
    <w:p w14:paraId="45D6249E" w14:textId="77777777" w:rsidR="00D22CE3" w:rsidRPr="00F10391" w:rsidRDefault="00D22CE3" w:rsidP="00A662B3">
      <w:r w:rsidRPr="00F10391">
        <w:t>The only stage at which such issues are recorded and stated publicly and explicitly is in the economic modelling process. Therefore, a review of the criteria (and varying economic evaluation techniques and perspectives) was conducted, and this is described in Chapter 5. Together, the secondment and modelling review allowed for a better understanding of the potential implications of applying MCDA approaches in such settings – and to better understand how MCDA was already being applied in the guidance process and to identify any sub-processes where MCDA might next be applied. Some novel potential MCDA-led approaches for use in NICE are described in this chapter.</w:t>
      </w:r>
    </w:p>
    <w:p w14:paraId="4347977E" w14:textId="77777777" w:rsidR="00D22CE3" w:rsidRPr="00F10391" w:rsidRDefault="00D22CE3" w:rsidP="00A662B3">
      <w:r w:rsidRPr="00F10391">
        <w:t xml:space="preserve">The thesis’ aim evolved as the findings from each chapter became clearer (even if the specific wording of the aim did not particularly change), and was influenced particularly by results of the reviews in chapters 2, 3 and 4. Chapter 2 highlighted the full range of techniques available (some of which I was naturally unfamiliar with before starting). Chapter 3 showed the dearth of reported applications of MCDA approaches to complex organisations, and specifically those in cost-effectiveness settings. Chapter 4 showed that ‘decision-making’ in the provision of public health was not a monolithic, conveyer belt-style framework within NICE for carrying out cost-effectiveness appraisals, but a process made up of a number of sub-stages and actors and paired to the context of the guidance. Suitability at decision-maker level could theoretically be applied at any one of these sub-stages if necessary, or even further down the process at local authority level. </w:t>
      </w:r>
    </w:p>
    <w:p w14:paraId="2C8B8B4D" w14:textId="77777777" w:rsidR="00D22CE3" w:rsidRPr="00F10391" w:rsidRDefault="00D22CE3" w:rsidP="00A662B3">
      <w:r w:rsidRPr="00F10391">
        <w:t xml:space="preserve">Chapter 6 describes a pilot using an MCDA approach in NICE for the topic selection stage – which was deemed to be well suited to this given the lack of structure in the current processes. This stage does not require any direct health economic component, which made it potentially more acceptable (and more likely to be implementable) to certain decision-makers, who had legitimate concerns as to whether taking further criteria into account could be used as a Trojan </w:t>
      </w:r>
      <w:r w:rsidRPr="00F10391">
        <w:lastRenderedPageBreak/>
        <w:t xml:space="preserve">horse to undermine the current opportunity cost-led approach </w:t>
      </w:r>
      <w:r w:rsidRPr="00F10391">
        <w:fldChar w:fldCharType="begin"/>
      </w:r>
      <w:r w:rsidR="00700267">
        <w:instrText xml:space="preserve"> ADDIN EN.CITE &lt;EndNote&gt;&lt;Cite&gt;&lt;Author&gt;Kennedy&lt;/Author&gt;&lt;Year&gt;2009&lt;/Year&gt;&lt;RecNum&gt;76&lt;/RecNum&gt;&lt;DisplayText&gt;[16]&lt;/DisplayText&gt;&lt;record&gt;&lt;rec-number&gt;76&lt;/rec-number&gt;&lt;foreign-keys&gt;&lt;key app="EN" db-id="sz9092dv2s5fpze9wpgx0zxgv5ar00aezrvf" timestamp="0"&gt;76&lt;/key&gt;&lt;/foreign-keys&gt;&lt;ref-type name="Report"&gt;27&lt;/ref-type&gt;&lt;contributors&gt;&lt;authors&gt;&lt;author&gt;Kennedy, I&lt;/author&gt;&lt;/authors&gt;&lt;/contributors&gt;&lt;titles&gt;&lt;title&gt;Appraising the value of innovation and other benefits a short study for NICE.&lt;/title&gt;&lt;/titles&gt;&lt;dates&gt;&lt;year&gt;2009&lt;/year&gt;&lt;/dates&gt;&lt;urls&gt;&lt;/urls&gt;&lt;/record&gt;&lt;/Cite&gt;&lt;/EndNote&gt;</w:instrText>
      </w:r>
      <w:r w:rsidRPr="00F10391">
        <w:fldChar w:fldCharType="separate"/>
      </w:r>
      <w:r w:rsidR="00700267">
        <w:rPr>
          <w:noProof/>
        </w:rPr>
        <w:t>[16]</w:t>
      </w:r>
      <w:r w:rsidRPr="00F10391">
        <w:fldChar w:fldCharType="end"/>
      </w:r>
      <w:r w:rsidRPr="00F10391">
        <w:t>. Given these issues, a pilot – rather than a full-scale implementation – was used.</w:t>
      </w:r>
    </w:p>
    <w:p w14:paraId="006BCA3D" w14:textId="77777777" w:rsidR="00D22CE3" w:rsidRPr="00F10391" w:rsidRDefault="00D22CE3" w:rsidP="00A662B3">
      <w:r w:rsidRPr="00F10391">
        <w:t xml:space="preserve">We were subsequently contacted somewhat serendipitously by a consortium of managers of tobacco services who were in the process of moving from Primary Care Trusts to local government, level arising from the Health and Social Care Act, 2013 </w:t>
      </w:r>
      <w:r w:rsidRPr="00F10391">
        <w:fldChar w:fldCharType="begin"/>
      </w:r>
      <w:r w:rsidR="00700267">
        <w:instrText xml:space="preserve"> ADDIN EN.CITE &lt;EndNote&gt;&lt;Cite&gt;&lt;Author&gt;UK Government&lt;/Author&gt;&lt;Year&gt;2012&lt;/Year&gt;&lt;RecNum&gt;172&lt;/RecNum&gt;&lt;DisplayText&gt;[17]&lt;/DisplayText&gt;&lt;record&gt;&lt;rec-number&gt;172&lt;/rec-number&gt;&lt;foreign-keys&gt;&lt;key app="EN" db-id="sz9092dv2s5fpze9wpgx0zxgv5ar00aezrvf" timestamp="0"&gt;172&lt;/key&gt;&lt;/foreign-keys&gt;&lt;ref-type name="Report"&gt;27&lt;/ref-type&gt;&lt;contributors&gt;&lt;authors&gt;&lt;author&gt;UK Government,&lt;/author&gt;&lt;/authors&gt;&lt;/contributors&gt;&lt;titles&gt;&lt;title&gt;The Health and Social Care Act&lt;/title&gt;&lt;/titles&gt;&lt;dates&gt;&lt;year&gt;2012&lt;/year&gt;&lt;/dates&gt;&lt;pub-location&gt;London&lt;/pub-location&gt;&lt;publisher&gt;Stationery Office&lt;/publisher&gt;&lt;urls&gt;&lt;related-urls&gt;&lt;url&gt;Available at http://www.legislation.gov.uk/ukpga/2012/7/contents/enacted&lt;/url&gt;&lt;/related-urls&gt;&lt;/urls&gt;&lt;access-date&gt;15 October 2014&lt;/access-date&gt;&lt;/record&gt;&lt;/Cite&gt;&lt;/EndNote&gt;</w:instrText>
      </w:r>
      <w:r w:rsidRPr="00F10391">
        <w:fldChar w:fldCharType="separate"/>
      </w:r>
      <w:r w:rsidR="00700267">
        <w:rPr>
          <w:noProof/>
        </w:rPr>
        <w:t>[17]</w:t>
      </w:r>
      <w:r w:rsidRPr="00F10391">
        <w:fldChar w:fldCharType="end"/>
      </w:r>
      <w:r w:rsidRPr="00F10391">
        <w:t xml:space="preserve">, which added another level of government to the process of public health provision. They required help in trying to use some kind of “knowledge-based approach” (as they called it) to quantify implicit knowledge, while incorporating a formal approach to inform their decisions about funding to reduce tobacco prevalence. An appropriate MCDA framework was devised to do so, and its results were largely implemented, becoming the basis for Chapter 7. </w:t>
      </w:r>
    </w:p>
    <w:p w14:paraId="423A41A7" w14:textId="77777777" w:rsidR="00D22CE3" w:rsidRPr="00F10391" w:rsidRDefault="00D22CE3" w:rsidP="00005AA6">
      <w:r w:rsidRPr="00F10391">
        <w:t>The final chapter provides a summary of results for each of the research questions and allows for overall discussion and recommendations.</w:t>
      </w:r>
    </w:p>
    <w:p w14:paraId="4FF5860D" w14:textId="77777777" w:rsidR="00D22CE3" w:rsidRPr="00F10391" w:rsidRDefault="00D22CE3" w:rsidP="00005AA6"/>
    <w:p w14:paraId="1924729F" w14:textId="77777777" w:rsidR="00D22CE3" w:rsidRPr="00F10391" w:rsidRDefault="00D22CE3" w:rsidP="00005AA6">
      <w:pPr>
        <w:pStyle w:val="Numberedheading2"/>
      </w:pPr>
      <w:bookmarkStart w:id="39" w:name="_Toc453235348"/>
      <w:bookmarkStart w:id="40" w:name="_Toc453595421"/>
      <w:bookmarkStart w:id="41" w:name="_Toc476241518"/>
      <w:r w:rsidRPr="00F10391">
        <w:t>1.3</w:t>
      </w:r>
      <w:r w:rsidRPr="00F10391">
        <w:softHyphen/>
      </w:r>
      <w:r w:rsidRPr="00F10391">
        <w:tab/>
      </w:r>
      <w:r w:rsidRPr="00F10391">
        <w:tab/>
        <w:t>Conceptual framework and research objectives</w:t>
      </w:r>
      <w:bookmarkEnd w:id="39"/>
      <w:bookmarkEnd w:id="40"/>
      <w:bookmarkEnd w:id="41"/>
    </w:p>
    <w:p w14:paraId="264E05B2" w14:textId="77777777" w:rsidR="00D22CE3" w:rsidRPr="00F10391" w:rsidRDefault="00D22CE3" w:rsidP="00D24504"/>
    <w:p w14:paraId="1A3D3F87" w14:textId="77777777" w:rsidR="00D22CE3" w:rsidRPr="00F10391" w:rsidRDefault="00D22CE3" w:rsidP="00D24504">
      <w:r w:rsidRPr="00F10391">
        <w:t>The research objectives used represent the overarching framework from which specific research questions can be derived. On a specific study, we might expect only one such objective to be present, though in the case of a broader, multi-year study such as this one, multiple stages are possible.</w:t>
      </w:r>
    </w:p>
    <w:p w14:paraId="3ABAEAEC" w14:textId="77777777" w:rsidR="00D22CE3" w:rsidRPr="00F10391" w:rsidRDefault="00D22CE3" w:rsidP="00D24504">
      <w:r w:rsidRPr="00F10391">
        <w:t xml:space="preserve">The ‘problem specification’ stage outlined in Lee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xml:space="preserve"> largely corresponds to ‘why’ we may wish to use MCDA approaches in public health decision-making in England. This stage is about setting out the terms of reference for the project, the objective facts, as well as the assumptions and value systems used in practice in interpreting these. It can therefore ensure that conclusions are meaningful and can be used as a basis in deriving implementable solutions. </w:t>
      </w:r>
    </w:p>
    <w:p w14:paraId="2FD32126" w14:textId="77777777" w:rsidR="00D22CE3" w:rsidRPr="00F10391" w:rsidRDefault="00D22CE3" w:rsidP="00D24504">
      <w:r w:rsidRPr="00F10391">
        <w:t>The second stage is made up of parallel ‘intervention development’ and ‘intervention implementation’ stages, and relates to ‘how’ we might apply such approaches in relevant decision-making settings. These objectives were merged as it seemed more natural and logical for chapters 6 and 7 to report the development of interventions and their subsequent implementation in tandem, rather than their being reported in separate sections of the thesis. As their names imply, the two stages relate to the ‘how to develop’ and ‘how to implement’ such approaches. Lee argues that both of these issues are particularly important (and often neglected) stages in health service research studies, and that in order to be useful:</w:t>
      </w:r>
    </w:p>
    <w:p w14:paraId="51AB783C" w14:textId="11DFEDCC" w:rsidR="00D22CE3" w:rsidRPr="00F10391" w:rsidRDefault="00D22CE3" w:rsidP="006A5AA3">
      <w:pPr>
        <w:ind w:left="720"/>
      </w:pPr>
      <w:r w:rsidRPr="00F10391">
        <w:t xml:space="preserve">“we require not just technical how-to knowledge, but also to translate said knowledge into meaningful action, and such implementation questions are best addressed by process research methodologies such as action research”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xml:space="preserve"> (</w:t>
      </w:r>
      <w:r w:rsidR="008533CC">
        <w:t>p.</w:t>
      </w:r>
      <w:r w:rsidRPr="00F10391">
        <w:t xml:space="preserve">10). </w:t>
      </w:r>
    </w:p>
    <w:p w14:paraId="3A306FF0" w14:textId="77777777" w:rsidR="00D22CE3" w:rsidRPr="00F10391" w:rsidRDefault="00D22CE3" w:rsidP="00494A9A">
      <w:r w:rsidRPr="00F10391">
        <w:t>This quotation therefore brings together the work of Nilsen, Lee and, in effect, Williams and Bryan’s concepts of accessibility and acceptability, by which ‘suitability’ is judged later in the thesis.</w:t>
      </w:r>
    </w:p>
    <w:p w14:paraId="6F43115E" w14:textId="77777777" w:rsidR="00D22CE3" w:rsidRPr="00F10391" w:rsidRDefault="00D22CE3" w:rsidP="00494A9A">
      <w:r w:rsidRPr="00F10391">
        <w:lastRenderedPageBreak/>
        <w:t>In practice there is occasionally some degree of crossover between objectives – the systematic review for example provides information on both how and why such an approach might be appropriate for public health decision-making. Though simplified, this ‘how and why’ model of the two research objectives should therefore help ensure better understanding of the role of each chapter within the broader structure of the thesis, and how each contributes to the overall aim.</w:t>
      </w:r>
    </w:p>
    <w:p w14:paraId="7AFE326A" w14:textId="77777777" w:rsidR="00D22CE3" w:rsidRPr="00F10391" w:rsidRDefault="00D22CE3" w:rsidP="00490B5D">
      <w:r w:rsidRPr="00F10391">
        <w:t xml:space="preserve">Lee’s paper also stresses the importance of applying a fit for purpose model to link stages of the research design, given the research problem. Following such a model should encourage robust and clear reporting of the research area, so “the means chosen are appropriate to specified ends”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004B773A">
        <w:t xml:space="preserve"> (p.20)</w:t>
      </w:r>
      <w:r w:rsidRPr="00F10391">
        <w:t xml:space="preserve">. The model specified, shown below in Figure 1.1, has been used as a basis for structuring this chapter and broader thesis. </w:t>
      </w:r>
    </w:p>
    <w:p w14:paraId="04E102AC" w14:textId="245FAB3C" w:rsidR="00D22CE3" w:rsidRPr="00F10391" w:rsidRDefault="00D22CE3" w:rsidP="00490B5D">
      <w:pPr>
        <w:pStyle w:val="Caption"/>
      </w:pPr>
      <w:bookmarkStart w:id="42" w:name="_Toc476241442"/>
      <w:r w:rsidRPr="00F10391">
        <w:t xml:space="preserve">Figure </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.1 - Model to ensure rigour in matching research designs to research problems, from Lee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bookmarkEnd w:id="42"/>
      <w:r w:rsidRPr="00F10391">
        <w:fldChar w:fldCharType="end"/>
      </w:r>
    </w:p>
    <w:p w14:paraId="47304532" w14:textId="77777777" w:rsidR="00D22CE3" w:rsidRPr="00F10391" w:rsidRDefault="00D22CE3" w:rsidP="00A662B3">
      <w:r w:rsidRPr="00F10391">
        <w:rPr>
          <w:noProof/>
          <w:lang w:val="en-IE" w:eastAsia="en-IE"/>
        </w:rPr>
        <w:drawing>
          <wp:inline distT="0" distB="0" distL="0" distR="0" wp14:anchorId="2251BBED" wp14:editId="34A34A8A">
            <wp:extent cx="5156200" cy="2235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0" cy="2235200"/>
                    </a:xfrm>
                    <a:prstGeom prst="rect">
                      <a:avLst/>
                    </a:prstGeom>
                    <a:noFill/>
                    <a:ln>
                      <a:noFill/>
                    </a:ln>
                  </pic:spPr>
                </pic:pic>
              </a:graphicData>
            </a:graphic>
          </wp:inline>
        </w:drawing>
      </w:r>
    </w:p>
    <w:p w14:paraId="21DB584C" w14:textId="77777777" w:rsidR="00D22CE3" w:rsidRPr="00F10391" w:rsidRDefault="00D22CE3" w:rsidP="00A662B3">
      <w:r w:rsidRPr="00F10391">
        <w:t>The relationships between the research objectives, research questions and research outputs are shown in Figure 1.2. This chapter describes all steps up to and including the research design, and the remaining steps are revisited in the final chapter.</w:t>
      </w:r>
    </w:p>
    <w:p w14:paraId="76D719DF" w14:textId="77777777" w:rsidR="00D22CE3" w:rsidRPr="00F10391" w:rsidRDefault="00D22CE3" w:rsidP="00A662B3"/>
    <w:p w14:paraId="35087E0B" w14:textId="77777777" w:rsidR="00D22CE3" w:rsidRPr="00F10391" w:rsidRDefault="00D22CE3" w:rsidP="00005AA6">
      <w:pPr>
        <w:pStyle w:val="Numberedheading2"/>
      </w:pPr>
      <w:bookmarkStart w:id="43" w:name="_Toc453235349"/>
      <w:bookmarkStart w:id="44" w:name="_Toc453595422"/>
      <w:bookmarkStart w:id="45" w:name="_Toc476241519"/>
      <w:r w:rsidRPr="00F10391">
        <w:t>1.4</w:t>
      </w:r>
      <w:r w:rsidRPr="00F10391">
        <w:tab/>
      </w:r>
      <w:r w:rsidRPr="00F10391">
        <w:tab/>
        <w:t>Research questions</w:t>
      </w:r>
      <w:bookmarkEnd w:id="43"/>
      <w:bookmarkEnd w:id="44"/>
      <w:bookmarkEnd w:id="45"/>
    </w:p>
    <w:p w14:paraId="21D8338E" w14:textId="77777777" w:rsidR="00D22CE3" w:rsidRPr="00F10391" w:rsidRDefault="00D22CE3" w:rsidP="00005AA6"/>
    <w:p w14:paraId="7E3E93F7" w14:textId="77777777" w:rsidR="00D22CE3" w:rsidRPr="00F10391" w:rsidRDefault="00D22CE3" w:rsidP="00005AA6">
      <w:r w:rsidRPr="00F10391">
        <w:t xml:space="preserve">The aim of this thesis is to explore if multiple criteria decision analysis techniques can be designed that are suitable for use at decision-maker level in public health </w:t>
      </w:r>
      <w:r w:rsidR="00D2689B">
        <w:t xml:space="preserve">in </w:t>
      </w:r>
      <w:r w:rsidRPr="00F10391">
        <w:t xml:space="preserve">England. </w:t>
      </w:r>
    </w:p>
    <w:p w14:paraId="41BF7293" w14:textId="77777777" w:rsidR="00D22CE3" w:rsidRPr="00F10391" w:rsidRDefault="00D22CE3" w:rsidP="00D24504">
      <w:r w:rsidRPr="00F10391">
        <w:t>To achieve this, it attempts to answer four specific research questions:</w:t>
      </w:r>
    </w:p>
    <w:p w14:paraId="689B5761" w14:textId="77777777" w:rsidR="00D22CE3" w:rsidRPr="00F10391" w:rsidRDefault="00D22CE3" w:rsidP="00D24504">
      <w:pPr>
        <w:pStyle w:val="ListParagraph"/>
        <w:numPr>
          <w:ilvl w:val="0"/>
          <w:numId w:val="38"/>
        </w:numPr>
      </w:pPr>
      <w:r w:rsidRPr="00F10391">
        <w:t>Which relevant techniques are available and where have they been used in public health settings?</w:t>
      </w:r>
    </w:p>
    <w:p w14:paraId="2A74063F" w14:textId="56B2610F" w:rsidR="00D22CE3" w:rsidRPr="00F10391" w:rsidRDefault="00D22CE3" w:rsidP="00D24504">
      <w:pPr>
        <w:pStyle w:val="ListParagraph"/>
        <w:numPr>
          <w:ilvl w:val="0"/>
          <w:numId w:val="38"/>
        </w:numPr>
      </w:pPr>
      <w:r w:rsidRPr="00F10391">
        <w:t xml:space="preserve">How are decisions made in the </w:t>
      </w:r>
      <w:r w:rsidR="00D2689B">
        <w:t>Centre for Public Health</w:t>
      </w:r>
      <w:r w:rsidRPr="00F10391">
        <w:t>, according to its reference case and in practice?</w:t>
      </w:r>
    </w:p>
    <w:p w14:paraId="402068D7" w14:textId="77777777" w:rsidR="00D22CE3" w:rsidRPr="00F10391" w:rsidRDefault="00D22CE3" w:rsidP="00D24504">
      <w:pPr>
        <w:pStyle w:val="ListParagraph"/>
        <w:numPr>
          <w:ilvl w:val="0"/>
          <w:numId w:val="38"/>
        </w:numPr>
      </w:pPr>
      <w:r w:rsidRPr="00F10391">
        <w:t>Can suitable MCDA techniques be piloted or implemented at decision-maker level?</w:t>
      </w:r>
    </w:p>
    <w:p w14:paraId="3662E4A9" w14:textId="77777777" w:rsidR="00D22CE3" w:rsidRPr="00F10391" w:rsidRDefault="00D22CE3" w:rsidP="00D24504">
      <w:pPr>
        <w:pStyle w:val="ListParagraph"/>
        <w:numPr>
          <w:ilvl w:val="0"/>
          <w:numId w:val="38"/>
        </w:numPr>
      </w:pPr>
      <w:r w:rsidRPr="00F10391">
        <w:t xml:space="preserve">What recommendations can be drawn? </w:t>
      </w:r>
    </w:p>
    <w:p w14:paraId="733C7C3E" w14:textId="77777777" w:rsidR="00D22CE3" w:rsidRPr="00F10391" w:rsidRDefault="00D22CE3" w:rsidP="0063065F">
      <w:pPr>
        <w:rPr>
          <w:lang w:eastAsia="en-US"/>
        </w:rPr>
      </w:pPr>
    </w:p>
    <w:p w14:paraId="72775A52" w14:textId="77777777" w:rsidR="00D22CE3" w:rsidRPr="00F10391" w:rsidRDefault="00D22CE3" w:rsidP="00494A9A">
      <w:pPr>
        <w:sectPr w:rsidR="00D22CE3" w:rsidRPr="00F10391" w:rsidSect="00D33999">
          <w:footnotePr>
            <w:numFmt w:val="lowerRoman"/>
          </w:footnotePr>
          <w:pgSz w:w="11906" w:h="16838" w:code="9"/>
          <w:pgMar w:top="1440" w:right="1440" w:bottom="1440" w:left="1440" w:header="708" w:footer="708" w:gutter="0"/>
          <w:pgNumType w:start="1"/>
          <w:cols w:space="720"/>
          <w:docGrid w:linePitch="299"/>
        </w:sectPr>
      </w:pPr>
      <w:r w:rsidRPr="00F10391">
        <w:rPr>
          <w:noProof/>
          <w:lang w:val="en-IE" w:eastAsia="en-IE"/>
        </w:rPr>
        <w:lastRenderedPageBreak/>
        <mc:AlternateContent>
          <mc:Choice Requires="wps">
            <w:drawing>
              <wp:anchor distT="45720" distB="45720" distL="114300" distR="114300" simplePos="0" relativeHeight="251666432" behindDoc="0" locked="0" layoutInCell="1" allowOverlap="1" wp14:anchorId="776F68FF" wp14:editId="081BE8D0">
                <wp:simplePos x="0" y="0"/>
                <wp:positionH relativeFrom="column">
                  <wp:posOffset>-3796030</wp:posOffset>
                </wp:positionH>
                <wp:positionV relativeFrom="paragraph">
                  <wp:posOffset>3524250</wp:posOffset>
                </wp:positionV>
                <wp:extent cx="8451850" cy="1404620"/>
                <wp:effectExtent l="0" t="635" r="5715" b="5715"/>
                <wp:wrapSquare wrapText="bothSides"/>
                <wp:docPr id="2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51850" cy="1404620"/>
                        </a:xfrm>
                        <a:prstGeom prst="rect">
                          <a:avLst/>
                        </a:prstGeom>
                        <a:solidFill>
                          <a:srgbClr val="FFFFFF"/>
                        </a:solidFill>
                        <a:ln w="9525">
                          <a:noFill/>
                          <a:miter lim="800000"/>
                          <a:headEnd/>
                          <a:tailEnd/>
                        </a:ln>
                      </wps:spPr>
                      <wps:txbx>
                        <w:txbxContent>
                          <w:p w14:paraId="555406FC" w14:textId="268C30FA" w:rsidR="0063065F" w:rsidRDefault="0063065F" w:rsidP="00494A9A">
                            <w:pPr>
                              <w:pStyle w:val="Caption"/>
                            </w:pPr>
                            <w:bookmarkStart w:id="46" w:name="_Toc476241443"/>
                            <w:r>
                              <w:t>Figure 1.</w:t>
                            </w:r>
                            <w:r>
                              <w:fldChar w:fldCharType="begin"/>
                            </w:r>
                            <w:r>
                              <w:instrText xml:space="preserve"> SEQ Figure \* ARABIC \s 1 </w:instrText>
                            </w:r>
                            <w:r>
                              <w:fldChar w:fldCharType="separate"/>
                            </w:r>
                            <w:r>
                              <w:rPr>
                                <w:noProof/>
                              </w:rPr>
                              <w:t>2</w:t>
                            </w:r>
                            <w:r>
                              <w:rPr>
                                <w:noProof/>
                              </w:rPr>
                              <w:fldChar w:fldCharType="end"/>
                            </w:r>
                            <w:r>
                              <w:t xml:space="preserve"> – Overview of the thesis’ framework – showing relationship between research objectives , research questions, research outputs and chapters</w:t>
                            </w:r>
                            <w:bookmarkEnd w:id="4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76F68FF" id="_x0000_t202" coordsize="21600,21600" o:spt="202" path="m,l,21600r21600,l21600,xe">
                <v:stroke joinstyle="miter"/>
                <v:path gradientshapeok="t" o:connecttype="rect"/>
              </v:shapetype>
              <v:shape id="Text Box 2" o:spid="_x0000_s1026" type="#_x0000_t202" style="position:absolute;left:0;text-align:left;margin-left:-298.9pt;margin-top:277.5pt;width:665.5pt;height:110.6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" stroked="f">
                <v:textbox style="mso-fit-shape-to-text:t">
                  <w:txbxContent>
                    <w:p w14:paraId="555406FC" w14:textId="268C30FA" w:rsidR="0063065F" w:rsidRDefault="0063065F" w:rsidP="00494A9A">
                      <w:pPr>
                        <w:pStyle w:val="Caption"/>
                      </w:pPr>
                      <w:bookmarkStart w:id="47" w:name="_Toc476241443"/>
                      <w:r>
                        <w:t>Figure 1.</w:t>
                      </w:r>
                      <w:r>
                        <w:fldChar w:fldCharType="begin"/>
                      </w:r>
                      <w:r>
                        <w:instrText xml:space="preserve"> SEQ Figure \* ARABIC \s 1 </w:instrText>
                      </w:r>
                      <w:r>
                        <w:fldChar w:fldCharType="separate"/>
                      </w:r>
                      <w:r>
                        <w:rPr>
                          <w:noProof/>
                        </w:rPr>
                        <w:t>2</w:t>
                      </w:r>
                      <w:r>
                        <w:rPr>
                          <w:noProof/>
                        </w:rPr>
                        <w:fldChar w:fldCharType="end"/>
                      </w:r>
                      <w:r>
                        <w:t xml:space="preserve"> – Overview of the thesis’ framework – showing relationship between research objectives , research questions, research outputs and chapters</w:t>
                      </w:r>
                      <w:bookmarkEnd w:id="47"/>
                    </w:p>
                  </w:txbxContent>
                </v:textbox>
                <w10:wrap type="square"/>
              </v:shape>
            </w:pict>
          </mc:Fallback>
        </mc:AlternateContent>
      </w:r>
      <w:r w:rsidRPr="00F10391">
        <w:rPr>
          <w:noProof/>
          <w:lang w:val="en-IE" w:eastAsia="en-IE"/>
        </w:rPr>
        <w:drawing>
          <wp:inline distT="0" distB="0" distL="0" distR="0" wp14:anchorId="31BF35E0" wp14:editId="0F82A2B4">
            <wp:extent cx="8283658" cy="5436603"/>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294279" cy="5443573"/>
                    </a:xfrm>
                    <a:prstGeom prst="rect">
                      <a:avLst/>
                    </a:prstGeom>
                    <a:noFill/>
                  </pic:spPr>
                </pic:pic>
              </a:graphicData>
            </a:graphic>
          </wp:inline>
        </w:drawing>
      </w:r>
    </w:p>
    <w:p w14:paraId="67D0E91B" w14:textId="77777777" w:rsidR="00582388" w:rsidRPr="00F10391" w:rsidRDefault="00582388" w:rsidP="00582388">
      <w:bookmarkStart w:id="47" w:name="_Toc453235350"/>
      <w:bookmarkStart w:id="48" w:name="_Toc453595423"/>
      <w:r w:rsidRPr="00F10391">
        <w:lastRenderedPageBreak/>
        <w:t>Specific research aims for each chapter, and how these contribute to the research questions above, are given at appropriate times throughout.</w:t>
      </w:r>
    </w:p>
    <w:p w14:paraId="548BB19C" w14:textId="77777777" w:rsidR="00582388" w:rsidRDefault="00582388" w:rsidP="0063065F"/>
    <w:p w14:paraId="0E2990BB" w14:textId="77777777" w:rsidR="00D22CE3" w:rsidRPr="00F10391" w:rsidRDefault="00D22CE3" w:rsidP="00494A9A">
      <w:pPr>
        <w:pStyle w:val="Numberedheading2"/>
      </w:pPr>
      <w:bookmarkStart w:id="49" w:name="_Toc476241520"/>
      <w:r w:rsidRPr="00F10391">
        <w:t>1.5</w:t>
      </w:r>
      <w:r w:rsidRPr="00F10391">
        <w:tab/>
      </w:r>
      <w:r w:rsidRPr="00F10391">
        <w:tab/>
        <w:t>Research design</w:t>
      </w:r>
      <w:bookmarkEnd w:id="47"/>
      <w:bookmarkEnd w:id="48"/>
      <w:bookmarkEnd w:id="49"/>
    </w:p>
    <w:p w14:paraId="6BA20E5A" w14:textId="77777777" w:rsidR="00D22CE3" w:rsidRPr="00F10391" w:rsidRDefault="00D22CE3" w:rsidP="00494A9A"/>
    <w:p w14:paraId="430D8A48" w14:textId="77777777" w:rsidR="00D22CE3" w:rsidRPr="00F10391" w:rsidRDefault="00D22CE3" w:rsidP="00490B5D">
      <w:r w:rsidRPr="00F10391">
        <w:t>It is intended that each chapter should build upon those preceding it, rather than standing alone.</w:t>
      </w:r>
    </w:p>
    <w:p w14:paraId="797EC219" w14:textId="56638BEB" w:rsidR="00D22CE3" w:rsidRPr="00F10391" w:rsidRDefault="00D22CE3" w:rsidP="00490B5D">
      <w:r w:rsidRPr="00F10391">
        <w:t xml:space="preserve">Chapter 2 provides a brief history of the growing role of various decision support systems within the health services. The health economic and MCDA frameworks available are described, alongside the reasons why we might wish to use them in practice. It also introduces further issues that decision-making bodies such as NICE aim to take into account, such as competing definitions of equity. </w:t>
      </w:r>
      <w:r w:rsidR="00EA0258">
        <w:t>The appro</w:t>
      </w:r>
      <w:r w:rsidR="001036EB">
        <w:t xml:space="preserve">ach used in this chapter </w:t>
      </w:r>
      <w:r w:rsidR="008529EB">
        <w:t xml:space="preserve">was the result of a familiarisation process carried out at the beginning of the research period. </w:t>
      </w:r>
      <w:r w:rsidR="001036EB">
        <w:t>K</w:t>
      </w:r>
      <w:r w:rsidR="00EA0258">
        <w:t>ey papers and books</w:t>
      </w:r>
      <w:r w:rsidR="008529EB">
        <w:t xml:space="preserve"> </w:t>
      </w:r>
      <w:r w:rsidR="001036EB">
        <w:t xml:space="preserve">used </w:t>
      </w:r>
      <w:r w:rsidR="008529EB">
        <w:t xml:space="preserve">were </w:t>
      </w:r>
      <w:r w:rsidR="001036EB">
        <w:t xml:space="preserve">identified </w:t>
      </w:r>
      <w:r w:rsidR="008529EB">
        <w:t>by supervisors</w:t>
      </w:r>
      <w:r w:rsidR="00EA0258">
        <w:t xml:space="preserve">, discovered </w:t>
      </w:r>
      <w:r w:rsidR="00694AA8">
        <w:t xml:space="preserve">by myself </w:t>
      </w:r>
      <w:r w:rsidR="00EA0258">
        <w:t xml:space="preserve">via pearl growing or generally stumbled upon through immersion in </w:t>
      </w:r>
      <w:r w:rsidR="001036EB">
        <w:t xml:space="preserve">the </w:t>
      </w:r>
      <w:r w:rsidR="00EA0258">
        <w:t xml:space="preserve">relevant literature. </w:t>
      </w:r>
      <w:r w:rsidR="002C5447">
        <w:t>Though somewhat unstructured, t</w:t>
      </w:r>
      <w:r w:rsidR="008529EB">
        <w:t>his approach</w:t>
      </w:r>
      <w:r w:rsidR="00EA0258">
        <w:t xml:space="preserve"> </w:t>
      </w:r>
      <w:r w:rsidR="00C43235">
        <w:t xml:space="preserve">seemed </w:t>
      </w:r>
      <w:r w:rsidR="002C5447">
        <w:t>necessary</w:t>
      </w:r>
      <w:r w:rsidR="008529EB">
        <w:t xml:space="preserve"> in a</w:t>
      </w:r>
      <w:r w:rsidR="00C43235">
        <w:t>llow</w:t>
      </w:r>
      <w:r w:rsidR="008529EB">
        <w:t>ing</w:t>
      </w:r>
      <w:r w:rsidR="00C43235">
        <w:t xml:space="preserve"> </w:t>
      </w:r>
      <w:r w:rsidR="002C5447">
        <w:t>my familiarisation</w:t>
      </w:r>
      <w:r w:rsidR="00EA0258">
        <w:t xml:space="preserve"> with the backgrou</w:t>
      </w:r>
      <w:r w:rsidR="001036EB">
        <w:t>nd area, and to help settle on iss</w:t>
      </w:r>
      <w:r w:rsidR="00BA279D">
        <w:t>u</w:t>
      </w:r>
      <w:r w:rsidR="001036EB">
        <w:t>es such as r</w:t>
      </w:r>
      <w:r w:rsidR="00EA0258">
        <w:t>elevant definitions for future use</w:t>
      </w:r>
      <w:r w:rsidR="00C43235">
        <w:t>.</w:t>
      </w:r>
    </w:p>
    <w:p w14:paraId="0EE92009" w14:textId="77777777" w:rsidR="00D22CE3" w:rsidRPr="00F10391" w:rsidRDefault="00D22CE3" w:rsidP="00A662B3">
      <w:r w:rsidRPr="00F10391">
        <w:t xml:space="preserve">A narrative systematic review was carried out to investigate where MCDA approaches had actually been researched in the past in public health settings, described in Chapter 3. This showed there to be a wide variety of approaches that have been applied (alongside an equal variety of interventions that might be considered as public health measures). It is to my knowledge the first such systematic review carried out. The narrative review approach was chosen as there was no clear metric by which to compare all papers against each other, and hence a pluralist methodology was required </w:t>
      </w:r>
      <w:r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Pr="00F10391">
        <w:fldChar w:fldCharType="separate"/>
      </w:r>
      <w:r w:rsidR="00700267">
        <w:rPr>
          <w:noProof/>
        </w:rPr>
        <w:t>[13]</w:t>
      </w:r>
      <w:r w:rsidRPr="00F10391">
        <w:fldChar w:fldCharType="end"/>
      </w:r>
      <w:r w:rsidRPr="00F10391">
        <w:t xml:space="preserve">. </w:t>
      </w:r>
      <w:r w:rsidR="00C43235">
        <w:t>This</w:t>
      </w:r>
      <w:r w:rsidR="001036EB">
        <w:t xml:space="preserve"> approach</w:t>
      </w:r>
      <w:r w:rsidR="00C43235">
        <w:t xml:space="preserve"> allowed for the results to be presented in as</w:t>
      </w:r>
      <w:r w:rsidR="00C43235" w:rsidRPr="00F10391">
        <w:t xml:space="preserve"> meaningful and systematic </w:t>
      </w:r>
      <w:r w:rsidR="00C43235">
        <w:t xml:space="preserve">a </w:t>
      </w:r>
      <w:r w:rsidR="00C43235" w:rsidRPr="00F10391">
        <w:t xml:space="preserve">way </w:t>
      </w:r>
      <w:r w:rsidR="00C43235">
        <w:t xml:space="preserve">as </w:t>
      </w:r>
      <w:r w:rsidR="00C43235" w:rsidRPr="00F10391">
        <w:t>possible</w:t>
      </w:r>
      <w:r w:rsidR="001036EB">
        <w:t xml:space="preserve">, given the </w:t>
      </w:r>
      <w:r w:rsidR="00BA279D" w:rsidRPr="00F67418">
        <w:t>heterogeneous</w:t>
      </w:r>
      <w:r w:rsidR="001036EB">
        <w:t xml:space="preserve"> measures used ac</w:t>
      </w:r>
      <w:r w:rsidR="00694AA8">
        <w:t>ros</w:t>
      </w:r>
      <w:r w:rsidR="001036EB">
        <w:t>s the case studies that were identified</w:t>
      </w:r>
      <w:r w:rsidR="00C43235">
        <w:t>. The review was initially car</w:t>
      </w:r>
      <w:r w:rsidR="001036EB">
        <w:t>ried out in 2011 and</w:t>
      </w:r>
      <w:r w:rsidR="00C43235">
        <w:t xml:space="preserve"> extended in 2013 (both reported toge</w:t>
      </w:r>
      <w:r w:rsidR="001036EB">
        <w:t xml:space="preserve">ther as Part 1 of the chapter). A </w:t>
      </w:r>
      <w:r w:rsidR="00C43235">
        <w:t>revised bibliographic analysis was carried out up to the end of 2014 (reported in Part 2)</w:t>
      </w:r>
      <w:r w:rsidR="001036EB">
        <w:t>, which</w:t>
      </w:r>
      <w:r w:rsidR="00C43235">
        <w:t xml:space="preserve"> captured the changing tren</w:t>
      </w:r>
      <w:r w:rsidR="00694AA8">
        <w:t>ds in publication in the area over</w:t>
      </w:r>
      <w:r w:rsidR="00C43235">
        <w:t xml:space="preserve"> the intervening period. Part 3 offers overall conclusions.</w:t>
      </w:r>
    </w:p>
    <w:p w14:paraId="207EC2ED" w14:textId="4EB3350A" w:rsidR="00D22CE3" w:rsidRPr="00F10391" w:rsidRDefault="00D22CE3" w:rsidP="00A662B3">
      <w:r w:rsidRPr="00F10391">
        <w:t xml:space="preserve">While Chapter 2 describes the theoretical underpinnings of health economic and MCDA techniques, Chapter 4 provides a description of how decisions are actually made in practice in NICE. The formal processes used and role of actors and stakeholders at each stage is described. The CPH directorate has a responsibility to formally consider equity concerns, balancing these with the cost-effectiveness of approaches. How these are expected to be balanced </w:t>
      </w:r>
      <w:r w:rsidR="001036EB">
        <w:t>was found to be somewhat</w:t>
      </w:r>
      <w:r w:rsidRPr="00F10391">
        <w:t xml:space="preserve"> unclear and is to a certain extent unstated. The waters are muddied further by a number of other less obvious considerations that should also be taken into account or are known to have been used in the past, which are described. Such criteria are currently considered “implicitly”, meaning we have little or no way of knowing if in past guidance they were in fact formally considered and how much weight was given to them. This chapter was informed by the time I spent working in the CPH to better understand this context, but also by a review of NICE methodological reports</w:t>
      </w:r>
      <w:r w:rsidR="002C5447">
        <w:t>. It used</w:t>
      </w:r>
      <w:r w:rsidR="008A7437">
        <w:t xml:space="preserve"> a</w:t>
      </w:r>
      <w:r w:rsidR="001962A7" w:rsidRPr="00F10391">
        <w:t xml:space="preserve"> prag</w:t>
      </w:r>
      <w:r w:rsidR="001036EB">
        <w:t xml:space="preserve">matic </w:t>
      </w:r>
      <w:r w:rsidR="001962A7" w:rsidRPr="00F10391">
        <w:t xml:space="preserve">combination </w:t>
      </w:r>
      <w:r w:rsidR="001962A7" w:rsidRPr="00F10391">
        <w:lastRenderedPageBreak/>
        <w:t xml:space="preserve">of a literature search and </w:t>
      </w:r>
      <w:r w:rsidR="002C5447">
        <w:t xml:space="preserve">a </w:t>
      </w:r>
      <w:r w:rsidR="001962A7" w:rsidRPr="00F10391">
        <w:t>semi-ethnographic approach</w:t>
      </w:r>
      <w:r w:rsidR="00B37229">
        <w:t>, which</w:t>
      </w:r>
      <w:r w:rsidR="008A7437">
        <w:t xml:space="preserve"> was </w:t>
      </w:r>
      <w:r w:rsidR="001036EB">
        <w:t>influenced by</w:t>
      </w:r>
      <w:r w:rsidR="008A7437">
        <w:t xml:space="preserve"> my prior experience with</w:t>
      </w:r>
      <w:r w:rsidR="001036EB">
        <w:t xml:space="preserve"> soft OR approaches.</w:t>
      </w:r>
      <w:r w:rsidR="001962A7" w:rsidRPr="00F10391">
        <w:t xml:space="preserve"> The iterative nature allowed for something of an overlap between data analysis with data collection, especially in the field notes </w:t>
      </w:r>
      <w:r w:rsidR="008A7437">
        <w:t>taken</w:t>
      </w:r>
      <w:r w:rsidR="001962A7" w:rsidRPr="00F10391">
        <w:t xml:space="preserve"> during the secondment</w:t>
      </w:r>
      <w:r w:rsidR="001036EB">
        <w:t xml:space="preserve">. </w:t>
      </w:r>
      <w:r w:rsidR="001962A7" w:rsidRPr="00F10391">
        <w:t xml:space="preserve">The approach </w:t>
      </w:r>
      <w:r w:rsidR="008A7437">
        <w:t>emphasised pragmatism</w:t>
      </w:r>
      <w:r w:rsidR="001036EB">
        <w:t xml:space="preserve"> – both in identifying appropriate </w:t>
      </w:r>
      <w:r w:rsidR="00BB144E">
        <w:t>concepts that could</w:t>
      </w:r>
      <w:r w:rsidR="001036EB">
        <w:t xml:space="preserve"> be investigated in subsequ</w:t>
      </w:r>
      <w:r w:rsidR="008A7437">
        <w:t>ent cha</w:t>
      </w:r>
      <w:r w:rsidR="001036EB">
        <w:t>pters</w:t>
      </w:r>
      <w:r w:rsidR="001962A7" w:rsidRPr="00F10391">
        <w:t>, and in helping to ensure ultimate implementation of relevant concepts</w:t>
      </w:r>
      <w:r w:rsidR="001036EB">
        <w:t xml:space="preserve">. </w:t>
      </w:r>
      <w:r w:rsidR="008A7437">
        <w:t>The s</w:t>
      </w:r>
      <w:r w:rsidR="001036EB">
        <w:t xml:space="preserve">oft OR </w:t>
      </w:r>
      <w:r w:rsidR="008A7437">
        <w:t>philosophy pr</w:t>
      </w:r>
      <w:r w:rsidR="002C5447">
        <w:t>ovided an overall direction - such tech</w:t>
      </w:r>
      <w:r w:rsidR="00BA279D">
        <w:t>n</w:t>
      </w:r>
      <w:r w:rsidR="002C5447">
        <w:t xml:space="preserve">iques </w:t>
      </w:r>
      <w:r w:rsidR="008A7437">
        <w:t xml:space="preserve">are </w:t>
      </w:r>
      <w:r w:rsidR="001962A7">
        <w:t xml:space="preserve">particularly useful </w:t>
      </w:r>
      <w:r w:rsidR="001036EB">
        <w:t xml:space="preserve">in structuring the study’s </w:t>
      </w:r>
      <w:r w:rsidR="001962A7">
        <w:t>processes, the thinking of analysts and stakeholder</w:t>
      </w:r>
      <w:r w:rsidR="00BB144E">
        <w:t>s</w:t>
      </w:r>
      <w:r w:rsidR="008A7437">
        <w:t>,</w:t>
      </w:r>
      <w:r w:rsidR="001962A7">
        <w:t xml:space="preserve"> and</w:t>
      </w:r>
      <w:r w:rsidR="008A7437">
        <w:t xml:space="preserve"> in such</w:t>
      </w:r>
      <w:r w:rsidR="001962A7">
        <w:t xml:space="preserve"> complex and </w:t>
      </w:r>
      <w:r w:rsidR="002C5447">
        <w:t>messy structures in general – all of which seemed relevant in this setting</w:t>
      </w:r>
      <w:r w:rsidR="008668CB">
        <w:t>.</w:t>
      </w:r>
    </w:p>
    <w:p w14:paraId="3A08C6C7" w14:textId="77777777" w:rsidR="00D22CE3" w:rsidRPr="00F10391" w:rsidRDefault="00D22CE3" w:rsidP="00A662B3">
      <w:r w:rsidRPr="00F10391">
        <w:t>The only stage of the CPH guidance process in which such issues are explicitly listed as a general rule is during economic modelling. Chapter 5 describes the results of a formal review of criteria used in all economic modelling stages of all CPH guidance up until October 2014. These found there to be considerable variation from one study to the next regarding the economic evaluation techniques used, which were be decided for each topic on a case-by-case basis. It also highlighted how and where multiple criteria have already been included in the decision processes. More formal MCDA techniques could in principle prove appropriate in incorporating the competing criteria into decision processes in future. This would allow any trade-offs to occur in a more transparent and consistent way. Some potential approaches to do so in a NICE setting are described.</w:t>
      </w:r>
    </w:p>
    <w:p w14:paraId="15458F5A" w14:textId="4C069B39" w:rsidR="008533CC" w:rsidRPr="00F10391" w:rsidRDefault="00D22CE3" w:rsidP="00005AA6">
      <w:r w:rsidRPr="00F10391">
        <w:t xml:space="preserve">Chapters 6 and 7 describe attempts to implement such approaches with real life decision-makers. These chapters take a case study approach, which are useful in highlighting practical concerns </w:t>
      </w:r>
      <w:r w:rsidRPr="00F10391">
        <w:fldChar w:fldCharType="begin"/>
      </w:r>
      <w:r w:rsidR="00700267">
        <w:instrText xml:space="preserve"> ADDIN EN.CITE &lt;EndNote&gt;&lt;Cite&gt;&lt;Author&gt;Eckstein&lt;/Author&gt;&lt;Year&gt;2000&lt;/Year&gt;&lt;RecNum&gt;359&lt;/RecNum&gt;&lt;DisplayText&gt;[18]&lt;/DisplayText&gt;&lt;record&gt;&lt;rec-number&gt;359&lt;/rec-number&gt;&lt;foreign-keys&gt;&lt;key app="EN" db-id="sz9092dv2s5fpze9wpgx0zxgv5ar00aezrvf" timestamp="0"&gt;359&lt;/key&gt;&lt;/foreign-keys&gt;&lt;ref-type name="Journal Article"&gt;17&lt;/ref-type&gt;&lt;contributors&gt;&lt;authors&gt;&lt;author&gt;Eckstein, Harry&lt;/author&gt;&lt;/authors&gt;&lt;/contributors&gt;&lt;titles&gt;&lt;title&gt;Case study and theory in political science&lt;/title&gt;&lt;secondary-title&gt;Case study method&lt;/secondary-title&gt;&lt;/titles&gt;&lt;pages&gt;119-164&lt;/pages&gt;&lt;dates&gt;&lt;year&gt;2000&lt;/year&gt;&lt;/dates&gt;&lt;urls&gt;&lt;/urls&gt;&lt;/record&gt;&lt;/Cite&gt;&lt;/EndNote&gt;</w:instrText>
      </w:r>
      <w:r w:rsidRPr="00F10391">
        <w:fldChar w:fldCharType="separate"/>
      </w:r>
      <w:r w:rsidR="00700267">
        <w:rPr>
          <w:noProof/>
        </w:rPr>
        <w:t>[18]</w:t>
      </w:r>
      <w:r w:rsidRPr="00F10391">
        <w:fldChar w:fldCharType="end"/>
      </w:r>
      <w:r w:rsidRPr="00F10391">
        <w:t xml:space="preserve"> that may not otherwise be apparent through thought experiments alone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w:t>
      </w:r>
      <w:r w:rsidR="00000EB1" w:rsidRPr="00F10391">
        <w:t xml:space="preserve">Case study evaluations are valuable where broad, complex questions have to be addressed in complex circumstances </w:t>
      </w:r>
      <w:r w:rsidR="00000EB1" w:rsidRPr="00F10391">
        <w:fldChar w:fldCharType="begin"/>
      </w:r>
      <w:r w:rsidR="00700267">
        <w:instrText xml:space="preserve"> ADDIN EN.CITE &lt;EndNote&gt;&lt;Cite&gt;&lt;Author&gt;Keen&lt;/Author&gt;&lt;Year&gt;1995&lt;/Year&gt;&lt;RecNum&gt;357&lt;/RecNum&gt;&lt;DisplayText&gt;[20]&lt;/DisplayText&gt;&lt;record&gt;&lt;rec-number&gt;357&lt;/rec-number&gt;&lt;foreign-keys&gt;&lt;key app="EN" db-id="sz9092dv2s5fpze9wpgx0zxgv5ar00aezrvf" timestamp="0"&gt;357&lt;/key&gt;&lt;/foreign-keys&gt;&lt;ref-type name="Journal Article"&gt;17&lt;/ref-type&gt;&lt;contributors&gt;&lt;authors&gt;&lt;author&gt;Keen, Justin&lt;/author&gt;&lt;author&gt;Packwood, Tim&lt;/author&gt;&lt;/authors&gt;&lt;/contributors&gt;&lt;titles&gt;&lt;title&gt;Case study evaluation&lt;/title&gt;&lt;secondary-title&gt;BMJ: British Medical Journal&lt;/secondary-title&gt;&lt;/titles&gt;&lt;pages&gt;444&lt;/pages&gt;&lt;volume&gt;311&lt;/volume&gt;&lt;number&gt;7002&lt;/number&gt;&lt;dates&gt;&lt;year&gt;1995&lt;/year&gt;&lt;/dates&gt;&lt;urls&gt;&lt;related-urls&gt;&lt;url&gt;http://www.ncbi.nlm.nih.gov/pmc/articles/PMC2550500/pdf/bmj00605-0048.pdf&lt;/url&gt;&lt;/related-urls&gt;&lt;/urls&gt;&lt;/record&gt;&lt;/Cite&gt;&lt;/EndNote&gt;</w:instrText>
      </w:r>
      <w:r w:rsidR="00000EB1" w:rsidRPr="00F10391">
        <w:fldChar w:fldCharType="separate"/>
      </w:r>
      <w:r w:rsidR="00700267">
        <w:rPr>
          <w:noProof/>
        </w:rPr>
        <w:t>[20]</w:t>
      </w:r>
      <w:r w:rsidR="00000EB1" w:rsidRPr="00F10391">
        <w:fldChar w:fldCharType="end"/>
      </w:r>
      <w:r w:rsidR="00000EB1" w:rsidRPr="00F10391">
        <w:t xml:space="preserve">. By incorporating the context of the decision, practical concerns are highlighted </w:t>
      </w:r>
      <w:r w:rsidR="00000EB1" w:rsidRPr="00F10391">
        <w:fldChar w:fldCharType="begin"/>
      </w:r>
      <w:r w:rsidR="00700267">
        <w:instrText xml:space="preserve"> ADDIN EN.CITE &lt;EndNote&gt;&lt;Cite&gt;&lt;Author&gt;Eckstein&lt;/Author&gt;&lt;Year&gt;2000&lt;/Year&gt;&lt;RecNum&gt;359&lt;/RecNum&gt;&lt;DisplayText&gt;[18]&lt;/DisplayText&gt;&lt;record&gt;&lt;rec-number&gt;359&lt;/rec-number&gt;&lt;foreign-keys&gt;&lt;key app="EN" db-id="sz9092dv2s5fpze9wpgx0zxgv5ar00aezrvf" timestamp="0"&gt;359&lt;/key&gt;&lt;/foreign-keys&gt;&lt;ref-type name="Journal Article"&gt;17&lt;/ref-type&gt;&lt;contributors&gt;&lt;authors&gt;&lt;author&gt;Eckstein, Harry&lt;/author&gt;&lt;/authors&gt;&lt;/contributors&gt;&lt;titles&gt;&lt;title&gt;Case study and theory in political science&lt;/title&gt;&lt;secondary-title&gt;Case study method&lt;/secondary-title&gt;&lt;/titles&gt;&lt;pages&gt;119-164&lt;/pages&gt;&lt;dates&gt;&lt;year&gt;2000&lt;/year&gt;&lt;/dates&gt;&lt;urls&gt;&lt;/urls&gt;&lt;/record&gt;&lt;/Cite&gt;&lt;/EndNote&gt;</w:instrText>
      </w:r>
      <w:r w:rsidR="00000EB1" w:rsidRPr="00F10391">
        <w:fldChar w:fldCharType="separate"/>
      </w:r>
      <w:r w:rsidR="00700267">
        <w:rPr>
          <w:noProof/>
        </w:rPr>
        <w:t>[18]</w:t>
      </w:r>
      <w:r w:rsidR="00000EB1" w:rsidRPr="00F10391">
        <w:fldChar w:fldCharType="end"/>
      </w:r>
      <w:r w:rsidR="00BB144E">
        <w:t xml:space="preserve">, providing rich, contextual </w:t>
      </w:r>
      <w:r w:rsidR="00BB144E" w:rsidRPr="00F10391">
        <w:rPr>
          <w:lang w:eastAsia="en-US"/>
        </w:rPr>
        <w:t>informatio</w:t>
      </w:r>
      <w:r w:rsidR="002C5447">
        <w:rPr>
          <w:lang w:eastAsia="en-US"/>
        </w:rPr>
        <w:t>n</w:t>
      </w:r>
      <w:r w:rsidR="00000EB1" w:rsidRPr="00F10391">
        <w:t>. Case studies that have been carried out to a sufficiently high standard can act as exemplars</w:t>
      </w:r>
      <w:r w:rsidR="003A7DB7">
        <w:t xml:space="preserve"> </w:t>
      </w:r>
      <w:r w:rsidR="003A7DB7">
        <w:fldChar w:fldCharType="begin"/>
      </w:r>
      <w:r w:rsidR="00700267">
        <w:instrText xml:space="preserve"> ADDIN EN.CITE &lt;EndNote&gt;&lt;Cite&gt;&lt;Author&gt;Kuhn&lt;/Author&gt;&lt;Year&gt;1982&lt;/Year&gt;&lt;RecNum&gt;360&lt;/RecNum&gt;&lt;DisplayText&gt;[21]&lt;/DisplayText&gt;&lt;record&gt;&lt;rec-number&gt;360&lt;/rec-number&gt;&lt;foreign-keys&gt;&lt;key app="EN" db-id="sz9092dv2s5fpze9wpgx0zxgv5ar00aezrvf" timestamp="0"&gt;360&lt;/key&gt;&lt;/foreign-keys&gt;&lt;ref-type name="Book"&gt;6&lt;/ref-type&gt;&lt;contributors&gt;&lt;authors&gt;&lt;author&gt;Kuhn, Thomas S&lt;/author&gt;&lt;/authors&gt;&lt;/contributors&gt;&lt;titles&gt;&lt;title&gt;What are Scientific Revolutions?&lt;/title&gt;&lt;/titles&gt;&lt;dates&gt;&lt;year&gt;1982&lt;/year&gt;&lt;/dates&gt;&lt;publisher&gt;Centre for Cognitive Science, Massachusetts Institute of Technology&lt;/publisher&gt;&lt;urls&gt;&lt;/urls&gt;&lt;/record&gt;&lt;/Cite&gt;&lt;/EndNote&gt;</w:instrText>
      </w:r>
      <w:r w:rsidR="003A7DB7">
        <w:fldChar w:fldCharType="separate"/>
      </w:r>
      <w:r w:rsidR="00700267">
        <w:rPr>
          <w:noProof/>
        </w:rPr>
        <w:t>[21]</w:t>
      </w:r>
      <w:r w:rsidR="003A7DB7">
        <w:fldChar w:fldCharType="end"/>
      </w:r>
      <w:r w:rsidR="00BB144E">
        <w:t xml:space="preserve">, while </w:t>
      </w:r>
      <w:r w:rsidR="00000EB1" w:rsidRPr="00F10391">
        <w:t>carrying out such studies helps to ensure that researchers possess a wide enough range of practical knowledge to carry o</w:t>
      </w:r>
      <w:r w:rsidR="003A7DB7">
        <w:t xml:space="preserve">ut such approaches in reality. </w:t>
      </w:r>
      <w:r w:rsidR="00000EB1" w:rsidRPr="00F10391">
        <w:t xml:space="preserve">With sufficient numbers of case studies, </w:t>
      </w:r>
      <w:r w:rsidR="00BB144E">
        <w:t>new theories may be derived to reconcile</w:t>
      </w:r>
      <w:r w:rsidR="00000EB1" w:rsidRPr="00F10391">
        <w:t xml:space="preserve"> unusual juxtapositions, requiring formulation of novel theory to reconcile them </w:t>
      </w:r>
      <w:r w:rsidR="00BB144E">
        <w:t xml:space="preserve">generating “good theory” </w:t>
      </w:r>
      <w:r w:rsidR="00000EB1"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00000EB1" w:rsidRPr="00F10391">
        <w:fldChar w:fldCharType="separate"/>
      </w:r>
      <w:r w:rsidR="00700267">
        <w:rPr>
          <w:noProof/>
        </w:rPr>
        <w:t>[22]</w:t>
      </w:r>
      <w:r w:rsidR="00000EB1" w:rsidRPr="00F10391">
        <w:fldChar w:fldCharType="end"/>
      </w:r>
      <w:r w:rsidR="00000EB1" w:rsidRPr="00F10391">
        <w:t xml:space="preserve">. </w:t>
      </w:r>
    </w:p>
    <w:p w14:paraId="289934DB" w14:textId="53164DC9" w:rsidR="00D22CE3" w:rsidRPr="00F10391" w:rsidRDefault="00D22CE3" w:rsidP="00005AA6">
      <w:r w:rsidRPr="00F10391">
        <w:t xml:space="preserve">The first </w:t>
      </w:r>
      <w:r w:rsidR="003A7DB7">
        <w:t xml:space="preserve">case study </w:t>
      </w:r>
      <w:r w:rsidRPr="00F10391">
        <w:t xml:space="preserve">describes a pilot MCDA study used to structure a prioritisation process in the CPH. Within the directorate many of the stages used in recommending guidance are well-codified and work relatively well, but the process used to prioritise between potential guidance topics to be investigated in the future </w:t>
      </w:r>
      <w:r w:rsidR="003A7DB7">
        <w:t>were found to be</w:t>
      </w:r>
      <w:r w:rsidR="003A7DB7" w:rsidRPr="00F10391">
        <w:t xml:space="preserve"> </w:t>
      </w:r>
      <w:r w:rsidRPr="00F10391">
        <w:t xml:space="preserve">somewhat vague and reliant throughout on deliberation. The pilot brought together a number of experts, who identified relevant criteria and tested </w:t>
      </w:r>
      <w:r w:rsidR="003A7DB7">
        <w:t xml:space="preserve">the technical feasibility of </w:t>
      </w:r>
      <w:r w:rsidRPr="00F10391">
        <w:t xml:space="preserve">whether an MCDA technique named the Analytic Hierarchy Process would be practical as part of a “decision conference” setting </w:t>
      </w:r>
      <w:r w:rsidRPr="00F10391">
        <w:fldChar w:fldCharType="begin"/>
      </w:r>
      <w:r w:rsidR="00700267">
        <w:instrText xml:space="preserve"> ADDIN EN.CITE &lt;EndNote&gt;&lt;Cite&gt;&lt;Author&gt;Phillips&lt;/Author&gt;&lt;Year&gt;2007&lt;/Year&gt;&lt;RecNum&gt;374&lt;/RecNum&gt;&lt;DisplayText&gt;[23]&lt;/DisplayText&gt;&lt;record&gt;&lt;rec-number&gt;374&lt;/rec-number&gt;&lt;foreign-keys&gt;&lt;key app="EN" db-id="sz9092dv2s5fpze9wpgx0zxgv5ar00aezrvf" timestamp="1456335596"&gt;374&lt;/key&gt;&lt;/foreign-keys&gt;&lt;ref-type name="Book Section"&gt;5&lt;/ref-type&gt;&lt;contributors&gt;&lt;authors&gt;&lt;author&gt;Phillips, Larry&lt;/author&gt;&lt;/authors&gt;&lt;secondary-authors&gt;&lt;author&gt;Edwards, Ward&lt;/author&gt;&lt;author&gt;Miles Jr, Ralph F&lt;/author&gt;&lt;author&gt;Von Winterfeldt, Detlof&lt;/author&gt;&lt;/secondary-authors&gt;&lt;/contributors&gt;&lt;titles&gt;&lt;title&gt;Decision conferencing&lt;/title&gt;&lt;secondary-title&gt;Advances in decision analysis: from foundations to applications&lt;/secondary-title&gt;&lt;/titles&gt;&lt;section&gt;19&lt;/section&gt;&lt;dates&gt;&lt;year&gt;2007&lt;/year&gt;&lt;/dates&gt;&lt;publisher&gt;Cambridge University Press&lt;/publisher&gt;&lt;isbn&gt;1139466127&lt;/isbn&gt;&lt;urls&gt;&lt;/urls&gt;&lt;/record&gt;&lt;/Cite&gt;&lt;/EndNote&gt;</w:instrText>
      </w:r>
      <w:r w:rsidRPr="00F10391">
        <w:fldChar w:fldCharType="separate"/>
      </w:r>
      <w:r w:rsidR="00700267">
        <w:rPr>
          <w:noProof/>
        </w:rPr>
        <w:t>[23]</w:t>
      </w:r>
      <w:r w:rsidRPr="00F10391">
        <w:fldChar w:fldCharType="end"/>
      </w:r>
      <w:r w:rsidRPr="00F10391">
        <w:t xml:space="preserve">. </w:t>
      </w:r>
      <w:r w:rsidR="00000EB1">
        <w:t xml:space="preserve">MCDA techniques require </w:t>
      </w:r>
      <w:r w:rsidR="00660CFE">
        <w:t>eight generally accepted steps (establish the decision context; identify the options to be appraised; identify relevant criteria; score options on criteria; weight criteria; combine the weights and scores; examine results; sensitivity analysis), and the methods for each stage are described in turn, alongside des</w:t>
      </w:r>
      <w:r w:rsidR="00CB2E60">
        <w:t>c</w:t>
      </w:r>
      <w:r w:rsidR="00660CFE">
        <w:t xml:space="preserve">riptions of the </w:t>
      </w:r>
      <w:r w:rsidR="008A7437">
        <w:t>approach’s</w:t>
      </w:r>
      <w:r w:rsidR="00660CFE">
        <w:t xml:space="preserve"> implementation </w:t>
      </w:r>
      <w:r w:rsidR="008A7437">
        <w:t>and its</w:t>
      </w:r>
      <w:r w:rsidR="00660CFE">
        <w:t xml:space="preserve"> evaluation</w:t>
      </w:r>
      <w:r w:rsidR="008A7437">
        <w:t>.</w:t>
      </w:r>
    </w:p>
    <w:p w14:paraId="188D8223" w14:textId="7FC7842B" w:rsidR="00D22CE3" w:rsidRPr="00F10391" w:rsidRDefault="00D22CE3" w:rsidP="00005AA6">
      <w:r w:rsidRPr="00F10391">
        <w:t xml:space="preserve">Local government faces a range of challenges that are quite apart from those of NICE, even if greater collaboration may be required in future. An MCDA approach is described in Chapter 7 that was used to reappraise public health spending on interventions to reduce tobacco </w:t>
      </w:r>
      <w:r w:rsidRPr="00F10391">
        <w:lastRenderedPageBreak/>
        <w:t xml:space="preserve">prevalence across four local government areas in South Yorkshire. </w:t>
      </w:r>
      <w:r w:rsidR="00DD25FC">
        <w:t>As with the case study in Chapter 6, the m</w:t>
      </w:r>
      <w:r w:rsidR="008668CB">
        <w:t xml:space="preserve">ethods associated with </w:t>
      </w:r>
      <w:r w:rsidR="00942A9E">
        <w:t>each of step</w:t>
      </w:r>
      <w:r w:rsidR="008A7437">
        <w:t xml:space="preserve"> </w:t>
      </w:r>
      <w:r w:rsidR="00942A9E">
        <w:t xml:space="preserve">is </w:t>
      </w:r>
      <w:r w:rsidR="00DD25FC">
        <w:t>discussed in turn. However, w</w:t>
      </w:r>
      <w:r w:rsidRPr="00F10391">
        <w:t>hereas the prior chapter piloted solely the model development and decision conference stage of the process, this study required the design of a start-to-finish decision-making process, within the constraints of a range of project-specific challenges</w:t>
      </w:r>
      <w:r w:rsidR="00DD25FC">
        <w:t>. An action research approach was used,</w:t>
      </w:r>
      <w:r w:rsidR="008533CC">
        <w:t xml:space="preserve"> </w:t>
      </w:r>
      <w:r w:rsidR="00DD25FC">
        <w:t xml:space="preserve">requiring close collaboration over a longer period with relevant </w:t>
      </w:r>
      <w:r w:rsidR="00AA0B34">
        <w:t>decision-mak</w:t>
      </w:r>
      <w:r w:rsidR="00DD25FC">
        <w:t xml:space="preserve">ers, before and after the decision conference itself. </w:t>
      </w:r>
      <w:r w:rsidRPr="00F10391">
        <w:t>Expert and stakeholder opinions were elicited to fill known gaps in evidence and the results obtained following an MCDA approach differed significantly from prior practice. The MCDA framework structured the process, transforming an initial impasse over how best to prioritise spending on reducing tobacco prevalence into tangible policy options, addressing a range of relevant issues in a local government context. It helped to clarify the aims of the programme and build relationships with stakeholders. The four councils involved have since implemented wholesale changes in the interventions offered based upon these findings.</w:t>
      </w:r>
      <w:r w:rsidR="00660CFE">
        <w:t xml:space="preserve"> </w:t>
      </w:r>
    </w:p>
    <w:p w14:paraId="07C6449F" w14:textId="77777777" w:rsidR="00D22CE3" w:rsidRPr="00F10391" w:rsidRDefault="00D22CE3" w:rsidP="00005AA6">
      <w:r w:rsidRPr="00F10391">
        <w:t>The final chapter discusses the links between the findings of the previous sections, revisiting the potential role for MCDA in relevant decision-making scenarios. It describes how the thesis extends, supports and challenges prior research into the area. The conclusions and limitations of the thesis are presented, alongside recommendations for future practice and some reflection on my own role in and learnings from the process.</w:t>
      </w:r>
    </w:p>
    <w:p w14:paraId="5C433B50" w14:textId="77777777" w:rsidR="00D22CE3" w:rsidRPr="00F10391" w:rsidRDefault="00D22CE3" w:rsidP="00D24504"/>
    <w:p w14:paraId="1A4744B5" w14:textId="77777777" w:rsidR="00D22CE3" w:rsidRPr="00F10391" w:rsidRDefault="00D22CE3" w:rsidP="00D24504">
      <w:pPr>
        <w:pStyle w:val="Numberedheading2"/>
      </w:pPr>
      <w:bookmarkStart w:id="50" w:name="_Toc453235351"/>
      <w:bookmarkStart w:id="51" w:name="_Toc453595424"/>
      <w:bookmarkStart w:id="52" w:name="_Toc476241521"/>
      <w:r w:rsidRPr="00F10391">
        <w:t>1.6</w:t>
      </w:r>
      <w:r w:rsidRPr="00F10391">
        <w:tab/>
      </w:r>
      <w:r w:rsidRPr="00F10391">
        <w:tab/>
        <w:t>Closing comments</w:t>
      </w:r>
      <w:bookmarkEnd w:id="50"/>
      <w:bookmarkEnd w:id="51"/>
      <w:bookmarkEnd w:id="52"/>
    </w:p>
    <w:p w14:paraId="3B2382A9" w14:textId="77777777" w:rsidR="00D22CE3" w:rsidRPr="00F10391" w:rsidRDefault="00D22CE3" w:rsidP="00D24504"/>
    <w:p w14:paraId="5C585BFE" w14:textId="77777777" w:rsidR="00D22CE3" w:rsidRPr="00F10391" w:rsidRDefault="00D22CE3" w:rsidP="00D24504">
      <w:r w:rsidRPr="00F10391">
        <w:t xml:space="preserve">The remaining stages of Lee’s framework for designing a study, linked to those reported here in Figure 1.1, are described in the concluding chapter. </w:t>
      </w:r>
    </w:p>
    <w:p w14:paraId="44CE0DDE" w14:textId="2C42F190" w:rsidR="00D22CE3" w:rsidRPr="00F10391" w:rsidRDefault="00D22CE3" w:rsidP="006A5AA3">
      <w:r w:rsidRPr="00F10391">
        <w:t xml:space="preserve">The coming chapter marks the beginning of the problem specification stage. It relates to the first research question of </w:t>
      </w:r>
      <w:r w:rsidR="00C4401A">
        <w:t>‘</w:t>
      </w:r>
      <w:r w:rsidR="001C2F16">
        <w:t>W</w:t>
      </w:r>
      <w:r w:rsidRPr="00F10391">
        <w:t>hich relevant techniques are available and where have they been used in public health settings?</w:t>
      </w:r>
      <w:r w:rsidR="00C4401A">
        <w:t>’</w:t>
      </w:r>
      <w:r w:rsidRPr="00F10391">
        <w:t>. The chapter sets out the key definitions, describes the range of evidence-based approaches to decision-making currently used in public health (and in NICE in particular), and the main MCDA approaches that could be considered in future.</w:t>
      </w:r>
    </w:p>
    <w:p w14:paraId="2FF6DB63" w14:textId="77777777" w:rsidR="00D22CE3" w:rsidRPr="00F10391" w:rsidRDefault="00D22CE3" w:rsidP="006942ED"/>
    <w:p w14:paraId="2C4B215C" w14:textId="77777777" w:rsidR="00D22CE3" w:rsidRPr="00F10391" w:rsidRDefault="00D22CE3"/>
    <w:p w14:paraId="594B8955" w14:textId="77777777" w:rsidR="00D22CE3" w:rsidRPr="00F10391" w:rsidRDefault="00D22CE3" w:rsidP="0063065F">
      <w:pPr>
        <w:rPr>
          <w:sz w:val="28"/>
          <w:szCs w:val="28"/>
        </w:rPr>
      </w:pPr>
      <w:bookmarkStart w:id="53" w:name="_Toc282020939"/>
      <w:bookmarkStart w:id="54" w:name="_Toc313187817"/>
      <w:bookmarkStart w:id="55" w:name="_Toc441508914"/>
      <w:r w:rsidRPr="00F10391">
        <w:br w:type="page"/>
      </w:r>
    </w:p>
    <w:p w14:paraId="41E06396" w14:textId="77777777" w:rsidR="00D22CE3" w:rsidRPr="00F10391" w:rsidRDefault="00D22CE3" w:rsidP="00494A9A">
      <w:pPr>
        <w:pStyle w:val="Heading1"/>
      </w:pPr>
      <w:bookmarkStart w:id="56" w:name="_Toc453235352"/>
      <w:bookmarkStart w:id="57" w:name="_Toc453595425"/>
      <w:bookmarkStart w:id="58" w:name="_Toc476241522"/>
      <w:r w:rsidRPr="00F10391">
        <w:lastRenderedPageBreak/>
        <w:t>:</w:t>
      </w:r>
      <w:r w:rsidRPr="00F10391">
        <w:tab/>
        <w:t>An introduction to the decision support techniques used in public health</w:t>
      </w:r>
      <w:bookmarkEnd w:id="53"/>
      <w:bookmarkEnd w:id="56"/>
      <w:bookmarkEnd w:id="57"/>
      <w:bookmarkEnd w:id="58"/>
      <w:r w:rsidRPr="00F10391">
        <w:t xml:space="preserve"> </w:t>
      </w:r>
      <w:bookmarkEnd w:id="54"/>
      <w:bookmarkEnd w:id="55"/>
    </w:p>
    <w:p w14:paraId="585945EF" w14:textId="77777777" w:rsidR="00D22CE3" w:rsidRPr="00F10391" w:rsidRDefault="00D22CE3" w:rsidP="00494A9A"/>
    <w:p w14:paraId="73DCD6DC" w14:textId="0E9E5642" w:rsidR="00D22CE3" w:rsidRPr="00F10391" w:rsidRDefault="00D22CE3" w:rsidP="00490B5D">
      <w:r w:rsidRPr="00F10391">
        <w:t xml:space="preserve">This chapter forms an important stage in the thesis in terms of setting the scene and defining key concepts. Common techniques used in public health decision-making are described, relevant concepts are defined and the main frameworks used in health economic settings in general are introduced. It therefore relates to the first research question outlined in Section 1.4 (and Figure 1.2) of </w:t>
      </w:r>
      <w:r w:rsidR="00C4401A">
        <w:t>‘</w:t>
      </w:r>
      <w:r w:rsidRPr="00F10391">
        <w:rPr>
          <w:i/>
        </w:rPr>
        <w:t>Which relevant techniques are available and where have they been used in public health settings?</w:t>
      </w:r>
      <w:r w:rsidR="00C4401A">
        <w:t>’</w:t>
      </w:r>
      <w:r w:rsidRPr="00F10391">
        <w:rPr>
          <w:i/>
        </w:rPr>
        <w:t xml:space="preserve"> </w:t>
      </w:r>
      <w:r w:rsidRPr="00F10391">
        <w:t xml:space="preserve">Specifically, this chapter aims to provide an introduction to the key </w:t>
      </w:r>
      <w:r w:rsidR="00801B4C">
        <w:t>frameworks used to aid decision-</w:t>
      </w:r>
      <w:r w:rsidRPr="00F10391">
        <w:t>making in health settings, including current health economic techniques and the range of MCDA approaches. Chapter 3 will instead describe where such MCDA techniques have been used in public health in practice.</w:t>
      </w:r>
    </w:p>
    <w:p w14:paraId="7A2BAB7B" w14:textId="77777777" w:rsidR="00D22CE3" w:rsidRPr="00F10391" w:rsidRDefault="00D22CE3" w:rsidP="00490B5D">
      <w:r w:rsidRPr="00F10391">
        <w:t xml:space="preserve">There are a range of possible interpretations of what is meant by ‘health’ and the context of healthcare provision in the UK. A broad background to this is given in the next section and evidence-based medicine is introduced in Section 2.2. This is followed by an introduction to approaches available to analyse this evidence and inform decision-makers in Section 2.3. Economic evaluation techniques are widely used for these purposes, and some of the most common techniques are described in Section 2.4. Multiple criteria decision analysis techniques, though closely related, offer a potential complementary approach (and perhaps in some settings MCDA techniques could potentially offer an alternative to current approaches), and are described in Section 2.5. MCDA approaches have already been used in some health settings at a variety of government levels, and some examples are described in Section 2.6. </w:t>
      </w:r>
    </w:p>
    <w:p w14:paraId="785E8DBC" w14:textId="77777777" w:rsidR="00D22CE3" w:rsidRPr="00F10391" w:rsidRDefault="00D22CE3" w:rsidP="00A662B3"/>
    <w:p w14:paraId="5E704F78" w14:textId="77777777" w:rsidR="00D22CE3" w:rsidRPr="00F10391" w:rsidRDefault="00D22CE3" w:rsidP="00A662B3">
      <w:pPr>
        <w:pStyle w:val="Numberedheading2"/>
      </w:pPr>
      <w:bookmarkStart w:id="59" w:name="_Toc313187818"/>
      <w:bookmarkStart w:id="60" w:name="_Toc441508915"/>
      <w:bookmarkStart w:id="61" w:name="_Toc453235353"/>
      <w:bookmarkStart w:id="62" w:name="_Toc453595426"/>
      <w:bookmarkStart w:id="63" w:name="_Toc476241523"/>
      <w:r w:rsidRPr="00F10391">
        <w:t>2.1</w:t>
      </w:r>
      <w:r w:rsidRPr="00F10391">
        <w:tab/>
      </w:r>
      <w:r w:rsidRPr="00F10391">
        <w:tab/>
        <w:t>Background</w:t>
      </w:r>
      <w:bookmarkEnd w:id="59"/>
      <w:bookmarkEnd w:id="60"/>
      <w:bookmarkEnd w:id="61"/>
      <w:bookmarkEnd w:id="62"/>
      <w:bookmarkEnd w:id="63"/>
    </w:p>
    <w:p w14:paraId="15A59745" w14:textId="77777777" w:rsidR="00D22CE3" w:rsidRPr="00F10391" w:rsidRDefault="00D22CE3" w:rsidP="00A662B3"/>
    <w:p w14:paraId="0CA90265" w14:textId="77777777" w:rsidR="00D22CE3" w:rsidRPr="00F10391" w:rsidRDefault="00D22CE3" w:rsidP="00005AA6">
      <w:r w:rsidRPr="00F10391">
        <w:t xml:space="preserve">There is little consensus around public perceptions of ‘health’. The Miriam-Webster dictionary defines it as </w:t>
      </w:r>
      <w:r w:rsidRPr="00F10391">
        <w:rPr>
          <w:iCs/>
        </w:rPr>
        <w:t>“freedom from physical disease or pain”</w:t>
      </w:r>
      <w:r w:rsidRPr="00F10391">
        <w:t>. But this ignores other aspects we might consider relevant, not least mental illness. The World Health Organisation (WHO), founded immediately after World War 2 and reflected the radical spirit of the times in its wholly more ambitious definition of health as</w:t>
      </w:r>
      <w:r w:rsidRPr="00F10391">
        <w:rPr>
          <w:lang w:eastAsia="en-GB"/>
        </w:rPr>
        <w:t xml:space="preserve"> “a state of complete physical, mental, and social well-being and not merely the absence of disease or infirmity” </w:t>
      </w:r>
      <w:r w:rsidRPr="00F10391">
        <w:rPr>
          <w:lang w:eastAsia="en-GB"/>
        </w:rPr>
        <w:fldChar w:fldCharType="begin"/>
      </w:r>
      <w:r w:rsidR="00700267">
        <w:rPr>
          <w:lang w:eastAsia="en-GB"/>
        </w:rPr>
        <w:instrText xml:space="preserve"> ADDIN EN.CITE &lt;EndNote&gt;&lt;Cite&gt;&lt;Author&gt;Organization&lt;/Author&gt;&lt;Year&gt;1948&lt;/Year&gt;&lt;RecNum&gt;165&lt;/RecNum&gt;&lt;DisplayText&gt;[24]&lt;/DisplayText&gt;&lt;record&gt;&lt;rec-number&gt;165&lt;/rec-number&gt;&lt;foreign-keys&gt;&lt;key app="EN" db-id="sz9092dv2s5fpze9wpgx0zxgv5ar00aezrvf" timestamp="0"&gt;165&lt;/key&gt;&lt;/foreign-keys&gt;&lt;ref-type name="Journal Article"&gt;17&lt;/ref-type&gt;&lt;contributors&gt;&lt;authors&gt;&lt;author&gt;World Health Organization,&lt;/author&gt;&lt;/authors&gt;&lt;/contributors&gt;&lt;titles&gt;&lt;title&gt;World health organization constitution&lt;/title&gt;&lt;secondary-title&gt;Basic documents&lt;/secondary-title&gt;&lt;/titles&gt;&lt;dates&gt;&lt;year&gt;1948&lt;/year&gt;&lt;/dates&gt;&lt;urls&gt;&lt;/urls&gt;&lt;/record&gt;&lt;/Cite&gt;&lt;/EndNote&gt;</w:instrText>
      </w:r>
      <w:r w:rsidRPr="00F10391">
        <w:rPr>
          <w:lang w:eastAsia="en-GB"/>
        </w:rPr>
        <w:fldChar w:fldCharType="separate"/>
      </w:r>
      <w:r w:rsidR="00700267">
        <w:rPr>
          <w:noProof/>
          <w:lang w:eastAsia="en-GB"/>
        </w:rPr>
        <w:t>[24]</w:t>
      </w:r>
      <w:r w:rsidRPr="00F10391">
        <w:rPr>
          <w:lang w:eastAsia="en-GB"/>
        </w:rPr>
        <w:fldChar w:fldCharType="end"/>
      </w:r>
      <w:r w:rsidRPr="00F10391">
        <w:rPr>
          <w:lang w:eastAsia="en-GB"/>
        </w:rPr>
        <w:t xml:space="preserve">. It is perhaps no coincidence that </w:t>
      </w:r>
      <w:r w:rsidRPr="00F10391">
        <w:t>around the same time, the newly elected Labour government under Clement Atlee began to transform British society, establishing the welfare state and founding the National Health Service (NHS), changing the public’s access to, and expectations of, health provision since.</w:t>
      </w:r>
    </w:p>
    <w:p w14:paraId="4ACD8561" w14:textId="6B5FCF4E" w:rsidR="00D22CE3" w:rsidRPr="00F10391" w:rsidRDefault="00D22CE3" w:rsidP="00005AA6">
      <w:pPr>
        <w:rPr>
          <w:iCs/>
        </w:rPr>
      </w:pPr>
      <w:r w:rsidRPr="00F10391">
        <w:t xml:space="preserve">Health is a relative concept and what might be thought of as good health has varied over time and around the world. As Sen </w:t>
      </w:r>
      <w:r w:rsidRPr="00F10391">
        <w:fldChar w:fldCharType="begin"/>
      </w:r>
      <w:r w:rsidR="00700267">
        <w:instrText xml:space="preserve"> ADDIN EN.CITE &lt;EndNote&gt;&lt;Cite ExcludeAuth="1"&gt;&lt;Author&gt;Sen&lt;/Author&gt;&lt;Year&gt;2002&lt;/Year&gt;&lt;RecNum&gt;132&lt;/RecNum&gt;&lt;DisplayText&gt;[25]&lt;/DisplayText&gt;&lt;record&gt;&lt;rec-number&gt;132&lt;/rec-number&gt;&lt;foreign-keys&gt;&lt;key app="EN" db-id="sz9092dv2s5fpze9wpgx0zxgv5ar00aezrvf" timestamp="0"&gt;132&lt;/key&gt;&lt;/foreign-keys&gt;&lt;ref-type name="Journal Article"&gt;17&lt;/ref-type&gt;&lt;contributors&gt;&lt;authors&gt;&lt;author&gt;Sen, Amartya&lt;/author&gt;&lt;/authors&gt;&lt;/contributors&gt;&lt;titles&gt;&lt;title&gt;Health: perception versus observation: Self reported morbidity has severe limitations and can be extremely misleading&lt;/title&gt;&lt;secondary-title&gt;BMJ: British Medical Journal&lt;/secondary-title&gt;&lt;/titles&gt;&lt;pages&gt;860&lt;/pages&gt;&lt;volume&gt;324&lt;/volume&gt;&lt;number&gt;7342&lt;/number&gt;&lt;dates&gt;&lt;year&gt;2002&lt;/year&gt;&lt;/dates&gt;&lt;urls&gt;&lt;related-urls&gt;&lt;url&gt;http://www.ncbi.nlm.nih.gov/pmc/articles/PMC1122815/pdf/860.pdf&lt;/url&gt;&lt;/related-urls&gt;&lt;/urls&gt;&lt;/record&gt;&lt;/Cite&gt;&lt;/EndNote&gt;</w:instrText>
      </w:r>
      <w:r w:rsidRPr="00F10391">
        <w:fldChar w:fldCharType="separate"/>
      </w:r>
      <w:r w:rsidR="00700267">
        <w:rPr>
          <w:noProof/>
        </w:rPr>
        <w:t>[25]</w:t>
      </w:r>
      <w:r w:rsidRPr="00F10391">
        <w:fldChar w:fldCharType="end"/>
      </w:r>
      <w:r w:rsidR="004B773A">
        <w:t xml:space="preserve"> (p.324)</w:t>
      </w:r>
      <w:r w:rsidRPr="00F10391">
        <w:t xml:space="preserve"> states, “a person brought up in a community with a great many diseases and few medical facilities may be inclined to take certain symptoms as ‘normal’ when they are clinically preventable”</w:t>
      </w:r>
      <w:r w:rsidR="004B773A">
        <w:t>.</w:t>
      </w:r>
      <w:r w:rsidRPr="00F10391">
        <w:t xml:space="preserve"> This same point was made, only half in jest, by English comic writer Quentin Crisp that </w:t>
      </w:r>
      <w:r w:rsidRPr="00F10391">
        <w:rPr>
          <w:iCs/>
        </w:rPr>
        <w:t xml:space="preserve">“health consists of having the same diseases as one's neighbours” </w:t>
      </w:r>
      <w:r w:rsidRPr="00F10391">
        <w:fldChar w:fldCharType="begin"/>
      </w:r>
      <w:r w:rsidR="00700267">
        <w:instrText xml:space="preserve"> ADDIN EN.CITE &lt;EndNote&gt;&lt;Cite&gt;&lt;Author&gt;Crisp&lt;/Author&gt;&lt;Year&gt;1968&lt;/Year&gt;&lt;RecNum&gt;27&lt;/RecNum&gt;&lt;DisplayText&gt;[26]&lt;/DisplayText&gt;&lt;record&gt;&lt;rec-number&gt;27&lt;/rec-number&gt;&lt;foreign-keys&gt;&lt;key app="EN" db-id="sz9092dv2s5fpze9wpgx0zxgv5ar00aezrvf" timestamp="0"&gt;27&lt;/key&gt;&lt;/foreign-keys&gt;&lt;ref-type name="Book"&gt;6&lt;/ref-type&gt;&lt;contributors&gt;&lt;authors&gt;&lt;author&gt;Crisp, Quentin&lt;/author&gt;&lt;/authors&gt;&lt;/contributors&gt;&lt;titles&gt;&lt;title&gt;The naked civil servant&lt;/title&gt;&lt;/titles&gt;&lt;dates&gt;&lt;year&gt;1968&lt;/year&gt;&lt;/dates&gt;&lt;publisher&gt;Penguin&lt;/publisher&gt;&lt;isbn&gt;0141180536&lt;/isbn&gt;&lt;urls&gt;&lt;/urls&gt;&lt;/record&gt;&lt;/Cite&gt;&lt;/EndNote&gt;</w:instrText>
      </w:r>
      <w:r w:rsidRPr="00F10391">
        <w:fldChar w:fldCharType="separate"/>
      </w:r>
      <w:r w:rsidR="00700267">
        <w:rPr>
          <w:noProof/>
        </w:rPr>
        <w:t>[26]</w:t>
      </w:r>
      <w:r w:rsidRPr="00F10391">
        <w:fldChar w:fldCharType="end"/>
      </w:r>
      <w:r w:rsidR="004B773A">
        <w:t xml:space="preserve"> (p.19)</w:t>
      </w:r>
      <w:r w:rsidRPr="00F10391">
        <w:rPr>
          <w:iCs/>
        </w:rPr>
        <w:t xml:space="preserve">. How a society chooses to organise itself will inevitably have health </w:t>
      </w:r>
      <w:r w:rsidRPr="00F10391">
        <w:rPr>
          <w:iCs/>
        </w:rPr>
        <w:lastRenderedPageBreak/>
        <w:t xml:space="preserve">effects, both directly and indirectly </w:t>
      </w:r>
      <w:r w:rsidRPr="00F10391">
        <w:rPr>
          <w:iCs/>
        </w:rPr>
        <w:fldChar w:fldCharType="begin"/>
      </w:r>
      <w:r w:rsidR="00700267">
        <w:rPr>
          <w:iCs/>
        </w:rPr>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rPr>
          <w:iCs/>
        </w:rPr>
        <w:fldChar w:fldCharType="separate"/>
      </w:r>
      <w:r w:rsidR="00700267">
        <w:rPr>
          <w:iCs/>
          <w:noProof/>
        </w:rPr>
        <w:t>[27]</w:t>
      </w:r>
      <w:r w:rsidRPr="00F10391">
        <w:rPr>
          <w:iCs/>
        </w:rPr>
        <w:fldChar w:fldCharType="end"/>
      </w:r>
      <w:r w:rsidRPr="00F10391">
        <w:rPr>
          <w:iCs/>
        </w:rPr>
        <w:t xml:space="preserve">, in what diseases are prevalent, and even these may vary between communities due to socio-demographic, cultural and other issues. </w:t>
      </w:r>
    </w:p>
    <w:p w14:paraId="4982A5EA" w14:textId="77777777" w:rsidR="00D22CE3" w:rsidRPr="00F10391" w:rsidRDefault="00D22CE3" w:rsidP="00005AA6">
      <w:r w:rsidRPr="00F10391">
        <w:t>Such variation – judging its fairness and whether it may lead to further problems in future – plays a key role in current decisions about which healthcare approaches to prioritise in the modern NHS, including those considered in the </w:t>
      </w:r>
      <w:r w:rsidRPr="00F10391">
        <w:rPr>
          <w:bCs/>
        </w:rPr>
        <w:t>National Institute for Health and</w:t>
      </w:r>
      <w:r w:rsidRPr="00F10391">
        <w:t> Care </w:t>
      </w:r>
      <w:r w:rsidRPr="00F10391">
        <w:rPr>
          <w:bCs/>
        </w:rPr>
        <w:t>Excellence</w:t>
      </w:r>
      <w:r w:rsidRPr="00F10391">
        <w:t xml:space="preserve">. For any new intervention (whether a drug, device or some other measure), its impact in terms of Quality Adjusted Life Years (QALYs) can be estimated. This combines an estimate of the quality of life a patient will have if they receive a treatment with any length of time remaining they will be expected to have over time until their death. Decision-makers can then consider the intervention’s benefits and costs against those of current treatments. </w:t>
      </w:r>
    </w:p>
    <w:p w14:paraId="3423ED62" w14:textId="6DC72415" w:rsidR="00D22CE3" w:rsidRPr="00F10391" w:rsidRDefault="00D22CE3" w:rsidP="00005AA6">
      <w:r w:rsidRPr="00F10391">
        <w:t>NICE provides “guidance for promotion of good health and treatment of ill health to</w:t>
      </w:r>
      <w:r w:rsidR="005E2019">
        <w:t xml:space="preserve"> professionals working in</w:t>
      </w:r>
      <w:r w:rsidRPr="00F10391">
        <w:t xml:space="preserve"> the NHS and </w:t>
      </w:r>
      <w:r w:rsidR="005E2019">
        <w:t xml:space="preserve">those in the </w:t>
      </w:r>
      <w:r w:rsidRPr="00F10391">
        <w:t xml:space="preserve">public health community” </w:t>
      </w:r>
      <w:r w:rsidRPr="00F10391">
        <w:fldChar w:fldCharType="begin"/>
      </w:r>
      <w:r w:rsidR="00700267">
        <w:instrText xml:space="preserve"> ADDIN EN.CITE &lt;EndNote&gt;&lt;Cite&gt;&lt;Author&gt;Rawlins&lt;/Author&gt;&lt;Year&gt;2009&lt;/Year&gt;&lt;RecNum&gt;114&lt;/RecNum&gt;&lt;DisplayText&gt;[28]&lt;/DisplayText&gt;&lt;record&gt;&lt;rec-number&gt;114&lt;/rec-number&gt;&lt;foreign-keys&gt;&lt;key app="EN" db-id="sz9092dv2s5fpze9wpgx0zxgv5ar00aezrvf" timestamp="0"&gt;114&lt;/key&gt;&lt;/foreign-keys&gt;&lt;ref-type name="Journal Article"&gt;17&lt;/ref-type&gt;&lt;contributors&gt;&lt;authors&gt;&lt;author&gt;Rawlins, Michael D&lt;/author&gt;&lt;/authors&gt;&lt;/contributors&gt;&lt;titles&gt;&lt;title&gt;The decade of NICE&lt;/title&gt;&lt;secondary-title&gt;The Lancet&lt;/secondary-title&gt;&lt;/titles&gt;&lt;pages&gt;351-352&lt;/pages&gt;&lt;volume&gt;374&lt;/volume&gt;&lt;number&gt;9686&lt;/number&gt;&lt;dates&gt;&lt;year&gt;2009&lt;/year&gt;&lt;/dates&gt;&lt;isbn&gt;0140-6736&lt;/isbn&gt;&lt;urls&gt;&lt;related-urls&gt;&lt;url&gt;http://www.thelancet.com/journals/lancet/article/PIIS0140-6736(09)60616-4/abstract&lt;/url&gt;&lt;url&gt;http://ac.els-cdn.com/S0140673609606164/1-s2.0-S0140673609606164-main.pdf?_tid=4c259e90-9359-11e4-a2cb-00000aab0f27&amp;amp;acdnat=1420297426_d7ccca0831ae136d242a1099fd1ca59b&lt;/url&gt;&lt;/related-urls&gt;&lt;/urls&gt;&lt;/record&gt;&lt;/Cite&gt;&lt;/EndNote&gt;</w:instrText>
      </w:r>
      <w:r w:rsidRPr="00F10391">
        <w:fldChar w:fldCharType="separate"/>
      </w:r>
      <w:r w:rsidR="00700267">
        <w:rPr>
          <w:noProof/>
        </w:rPr>
        <w:t>[28]</w:t>
      </w:r>
      <w:r w:rsidRPr="00F10391">
        <w:fldChar w:fldCharType="end"/>
      </w:r>
      <w:r w:rsidR="005E2019">
        <w:t xml:space="preserve"> (p.351)</w:t>
      </w:r>
      <w:r w:rsidRPr="00F10391">
        <w:t xml:space="preserve">, by gathering evidence and making </w:t>
      </w:r>
      <w:r w:rsidR="001B7ADD">
        <w:t>judgment</w:t>
      </w:r>
      <w:r w:rsidRPr="00F10391">
        <w:t>s on how best to prioritise between different possible ranges of interventions in the health service. Once approved, decisions about whether or not to use them come into the realm of other decision-makers – the doctors prescribing them, the patients who choose to actually keep taking them or not, and potentially influenced by a range of other stakeholders, including pharmaceutical companies, other NHS professionals, and the patients’ families. Such concerns are largely outside the remit of this thesis, which focuses on the initial gate-keepers to the public health system: NICE and local authorities.</w:t>
      </w:r>
    </w:p>
    <w:p w14:paraId="6156873D" w14:textId="77777777" w:rsidR="00D22CE3" w:rsidRPr="00F10391" w:rsidRDefault="00D22CE3" w:rsidP="00D24504">
      <w:r w:rsidRPr="00F10391">
        <w:t xml:space="preserve">Public health broadly seeks to improve the quality and length of life of populations by preventing diseases and conditions associated with poor health, and promoting healthy behaviours that support good health. The emphasis on community and population level interventions, as opposed to treatment at the level of the individual patient, is another distinguishing feature. Typical measures include “organized community effort for the sanitation of the environment, the control of communicable infections, the education of the individual in personal hygiene, the organization of medical and nursing services for the early diagnosis and preventive treatment of disease, and… the development of the social machinery to ensure everyone a standard of living adequate for the maintenance of health, so organizing these benefits as to enable every citizen to realize his birthright of health and longevity” </w:t>
      </w:r>
      <w:r w:rsidRPr="00F10391">
        <w:fldChar w:fldCharType="begin"/>
      </w:r>
      <w:r w:rsidR="00700267">
        <w:instrText xml:space="preserve"> ADDIN EN.CITE &lt;EndNote&gt;&lt;Cite&gt;&lt;Author&gt;Winslow&lt;/Author&gt;&lt;Year&gt;1920&lt;/Year&gt;&lt;RecNum&gt;163&lt;/RecNum&gt;&lt;DisplayText&gt;[29]&lt;/DisplayText&gt;&lt;record&gt;&lt;rec-number&gt;163&lt;/rec-number&gt;&lt;foreign-keys&gt;&lt;key app="EN" db-id="sz9092dv2s5fpze9wpgx0zxgv5ar00aezrvf" timestamp="0"&gt;163&lt;/key&gt;&lt;/foreign-keys&gt;&lt;ref-type name="Journal Article"&gt;17&lt;/ref-type&gt;&lt;contributors&gt;&lt;authors&gt;&lt;author&gt;Winslow, CEA&lt;/author&gt;&lt;/authors&gt;&lt;/contributors&gt;&lt;titles&gt;&lt;title&gt;The untilled fields of public health&lt;/title&gt;&lt;secondary-title&gt;Science&lt;/secondary-title&gt;&lt;/titles&gt;&lt;pages&gt;23-33&lt;/pages&gt;&lt;volume&gt;51&lt;/volume&gt;&lt;number&gt;1306&lt;/number&gt;&lt;dates&gt;&lt;year&gt;1920&lt;/year&gt;&lt;/dates&gt;&lt;isbn&gt;0036-8075&lt;/isbn&gt;&lt;urls&gt;&lt;related-urls&gt;&lt;url&gt;http://science.sciencemag.org/content/51/1306/23.long&lt;/url&gt;&lt;/related-urls&gt;&lt;/urls&gt;&lt;/record&gt;&lt;/Cite&gt;&lt;/EndNote&gt;</w:instrText>
      </w:r>
      <w:r w:rsidRPr="00F10391">
        <w:fldChar w:fldCharType="separate"/>
      </w:r>
      <w:r w:rsidR="00700267">
        <w:rPr>
          <w:noProof/>
        </w:rPr>
        <w:t>[29]</w:t>
      </w:r>
      <w:r w:rsidRPr="00F10391">
        <w:fldChar w:fldCharType="end"/>
      </w:r>
      <w:r w:rsidR="005E2019">
        <w:t xml:space="preserve"> (p.4)</w:t>
      </w:r>
      <w:r w:rsidRPr="00F10391">
        <w:t xml:space="preserve">. The concept of public health is dynamic and relative, and will shift as the population’s health improves, new technologies are invented and expectations change. Vickers called it the “successive re-definings of the unacceptable” </w:t>
      </w:r>
      <w:r w:rsidRPr="00F10391">
        <w:fldChar w:fldCharType="begin"/>
      </w:r>
      <w:r w:rsidR="00700267">
        <w:instrText xml:space="preserve"> ADDIN EN.CITE &lt;EndNote&gt;&lt;Cite ExcludeAuth="1"&gt;&lt;Author&gt;Vickers&lt;/Author&gt;&lt;Year&gt;1958&lt;/Year&gt;&lt;RecNum&gt;148&lt;/RecNum&gt;&lt;DisplayText&gt;[30]&lt;/DisplayText&gt;&lt;record&gt;&lt;rec-number&gt;148&lt;/rec-number&gt;&lt;foreign-keys&gt;&lt;key app="EN" db-id="sz9092dv2s5fpze9wpgx0zxgv5ar00aezrvf" timestamp="0"&gt;148&lt;/key&gt;&lt;/foreign-keys&gt;&lt;ref-type name="Journal Article"&gt;17&lt;/ref-type&gt;&lt;contributors&gt;&lt;authors&gt;&lt;author&gt;Vickers, Geoffrey&lt;/author&gt;&lt;/authors&gt;&lt;/contributors&gt;&lt;titles&gt;&lt;title&gt;What sets the goals of public health?&lt;/title&gt;&lt;secondary-title&gt;The Lancet&lt;/secondary-title&gt;&lt;/titles&gt;&lt;pages&gt;599-604&lt;/pages&gt;&lt;volume&gt;271&lt;/volume&gt;&lt;number&gt;7021&lt;/number&gt;&lt;dates&gt;&lt;year&gt;1958&lt;/year&gt;&lt;/dates&gt;&lt;isbn&gt;0140-6736&lt;/isbn&gt;&lt;urls&gt;&lt;related-urls&gt;&lt;url&gt;http://www.thelancet.com/journals/lancet/article/PIIS0140-6736(58)90864-X/abstract&lt;/url&gt;&lt;/related-urls&gt;&lt;/urls&gt;&lt;/record&gt;&lt;/Cite&gt;&lt;/EndNote&gt;</w:instrText>
      </w:r>
      <w:r w:rsidRPr="00F10391">
        <w:fldChar w:fldCharType="separate"/>
      </w:r>
      <w:r w:rsidR="00700267">
        <w:rPr>
          <w:noProof/>
        </w:rPr>
        <w:t>[30]</w:t>
      </w:r>
      <w:r w:rsidRPr="00F10391">
        <w:fldChar w:fldCharType="end"/>
      </w:r>
      <w:r w:rsidR="005E2019">
        <w:t xml:space="preserve"> (p.600)</w:t>
      </w:r>
      <w:r w:rsidRPr="00F10391">
        <w:t>. In this radical spirit, it seems to share much with the WHO definition of health.</w:t>
      </w:r>
    </w:p>
    <w:p w14:paraId="4F8F29AB" w14:textId="77777777" w:rsidR="00D22CE3" w:rsidRPr="00F10391" w:rsidRDefault="00D22CE3" w:rsidP="00D24504">
      <w:r w:rsidRPr="00F10391">
        <w:t xml:space="preserve">The differences between those working in public health – with its population level approach – and the general doctor, who has a solemn duty to her patient, leads to occasional if inevitable conflict. One oft cited comment is that “Medical intervention has made, and can be expected to make, a relatively small contribution to prevention of sickness and health” </w:t>
      </w:r>
      <w:r w:rsidRPr="00F10391">
        <w:fldChar w:fldCharType="begin"/>
      </w:r>
      <w:r w:rsidR="00700267">
        <w:instrText xml:space="preserve"> ADDIN EN.CITE &lt;EndNote&gt;&lt;Cite&gt;&lt;Author&gt;McKeown&lt;/Author&gt;&lt;Year&gt;1979&lt;/Year&gt;&lt;RecNum&gt;94&lt;/RecNum&gt;&lt;DisplayText&gt;[31]&lt;/DisplayText&gt;&lt;record&gt;&lt;rec-number&gt;94&lt;/rec-number&gt;&lt;foreign-keys&gt;&lt;key app="EN" db-id="sz9092dv2s5fpze9wpgx0zxgv5ar00aezrvf" timestamp="0"&gt;94&lt;/key&gt;&lt;/foreign-keys&gt;&lt;ref-type name="Book"&gt;6&lt;/ref-type&gt;&lt;contributors&gt;&lt;authors&gt;&lt;author&gt;McKeown, Thomas&lt;/author&gt;&lt;/authors&gt;&lt;/contributors&gt;&lt;titles&gt;&lt;title&gt;The role of medicine. Dream, mirage or nemesis?&lt;/title&gt;&lt;/titles&gt;&lt;dates&gt;&lt;year&gt;1979&lt;/year&gt;&lt;/dates&gt;&lt;publisher&gt;Basil Blackwell Publisher Ltd., Alfred Street, Oxford OX1 4MB&lt;/publisher&gt;&lt;isbn&gt;0631112618&lt;/isbn&gt;&lt;urls&gt;&lt;/urls&gt;&lt;/record&gt;&lt;/Cite&gt;&lt;/EndNote&gt;</w:instrText>
      </w:r>
      <w:r w:rsidRPr="00F10391">
        <w:fldChar w:fldCharType="separate"/>
      </w:r>
      <w:r w:rsidR="00700267">
        <w:rPr>
          <w:noProof/>
        </w:rPr>
        <w:t>[31]</w:t>
      </w:r>
      <w:r w:rsidRPr="00F10391">
        <w:fldChar w:fldCharType="end"/>
      </w:r>
      <w:r w:rsidR="005E2019">
        <w:t xml:space="preserve"> (p.131)</w:t>
      </w:r>
      <w:r w:rsidRPr="00F10391">
        <w:t>, and that it is only by treating the causes of diseases (or indeed the causes of the causes) that we can make real advances in health outcomes. While this may be a dramatic choice of language, there is certainly much more to health outcomes than the availability of treatment for sickness, which is not confined to UK settings:</w:t>
      </w:r>
    </w:p>
    <w:p w14:paraId="423E5E49" w14:textId="17A7DDEC" w:rsidR="00D22CE3" w:rsidRPr="00F10391" w:rsidRDefault="00D22CE3" w:rsidP="00D24504">
      <w:pPr>
        <w:ind w:left="720"/>
      </w:pPr>
      <w:r w:rsidRPr="00F10391">
        <w:t xml:space="preserve">“Whereas inadequate medical care accounts for 10% of premature deaths in the United States, behavioural patterns, social circumstances, and environmental </w:t>
      </w:r>
      <w:r w:rsidRPr="00F10391">
        <w:lastRenderedPageBreak/>
        <w:t xml:space="preserve">exposures have a far greater effect, accounting for roughly 60% of deaths. Yet despite these compelling data, public health receives less than 5% of US health spending” </w:t>
      </w:r>
      <w:r w:rsidRPr="00F10391">
        <w:fldChar w:fldCharType="begin"/>
      </w:r>
      <w:r w:rsidR="00700267">
        <w:instrText xml:space="preserve"> ADDIN EN.CITE &lt;EndNote&gt;&lt;Cite&gt;&lt;Author&gt;Stine&lt;/Author&gt;&lt;Year&gt;2012&lt;/Year&gt;&lt;RecNum&gt;138&lt;/RecNum&gt;&lt;DisplayText&gt;[32]&lt;/DisplayText&gt;&lt;record&gt;&lt;rec-number&gt;138&lt;/rec-number&gt;&lt;foreign-keys&gt;&lt;key app="EN" db-id="sz9092dv2s5fpze9wpgx0zxgv5ar00aezrvf" timestamp="0"&gt;138&lt;/key&gt;&lt;/foreign-keys&gt;&lt;ref-type name="Journal Article"&gt;17&lt;/ref-type&gt;&lt;contributors&gt;&lt;authors&gt;&lt;author&gt;Stine, Nicholas W&lt;/author&gt;&lt;author&gt;Chokshi, Dave A&lt;/author&gt;&lt;/authors&gt;&lt;/contributors&gt;&lt;titles&gt;&lt;title&gt;Opportunity in austerity—a common agenda for medicine and public health&lt;/title&gt;&lt;secondary-title&gt;New England Journal of Medicine&lt;/secondary-title&gt;&lt;/titles&gt;&lt;periodical&gt;&lt;full-title&gt;New England Journal of Medicine&lt;/full-title&gt;&lt;/periodical&gt;&lt;pages&gt;395&lt;/pages&gt;&lt;volume&gt;366&lt;/volume&gt;&lt;number&gt;5&lt;/number&gt;&lt;dates&gt;&lt;year&gt;2012&lt;/year&gt;&lt;/dates&gt;&lt;isbn&gt;0028-4793&lt;/isbn&gt;&lt;urls&gt;&lt;related-urls&gt;&lt;url&gt;http://www.nejm.org/doi/pdf/10.1056/NEJMp1112543&lt;/url&gt;&lt;/related-urls&gt;&lt;/urls&gt;&lt;/record&gt;&lt;/Cite&gt;&lt;/EndNote&gt;</w:instrText>
      </w:r>
      <w:r w:rsidRPr="00F10391">
        <w:fldChar w:fldCharType="separate"/>
      </w:r>
      <w:r w:rsidR="00700267">
        <w:rPr>
          <w:noProof/>
        </w:rPr>
        <w:t>[32]</w:t>
      </w:r>
      <w:r w:rsidRPr="00F10391">
        <w:fldChar w:fldCharType="end"/>
      </w:r>
      <w:r w:rsidRPr="00F10391">
        <w:t xml:space="preserve"> (p.395)</w:t>
      </w:r>
      <w:r w:rsidR="00EF7608">
        <w:t>.</w:t>
      </w:r>
    </w:p>
    <w:p w14:paraId="6DB3F633" w14:textId="77777777" w:rsidR="00D22CE3" w:rsidRPr="00F10391" w:rsidRDefault="00D22CE3" w:rsidP="00494A9A">
      <w:r w:rsidRPr="00F10391">
        <w:t xml:space="preserve">There are many possible reasons for this budgetary gap, which will be discussed throughout this chapter and later in the thesis. But many of the actions required to foster such a step change in the nature of healthcare provision would be considered politically radical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Cite&gt;&lt;Author&gt;Marmot&lt;/Author&gt;&lt;Year&gt;2004&lt;/Year&gt;&lt;RecNum&gt;89&lt;/RecNum&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xml:space="preserve">. Those of low social status (whether defined by income, education level or some other prestige indicator such as profession) have poorer than average levels of health </w:t>
      </w:r>
      <w:r w:rsidRPr="00F10391">
        <w:fldChar w:fldCharType="begin"/>
      </w:r>
      <w:r w:rsidR="00700267">
        <w:instrText xml:space="preserve"> ADDIN EN.CITE &lt;EndNote&gt;&lt;Cite&gt;&lt;Author&gt;Marmot&lt;/Author&gt;&lt;Year&gt;2010&lt;/Year&gt;&lt;RecNum&gt;335&lt;/RecNum&gt;&lt;DisplayText&gt;[33]&lt;/DisplayText&gt;&lt;record&gt;&lt;rec-number&gt;335&lt;/rec-number&gt;&lt;foreign-keys&gt;&lt;key app="EN" db-id="sz9092dv2s5fpze9wpgx0zxgv5ar00aezrvf" timestamp="0"&gt;335&lt;/key&gt;&lt;/foreign-keys&gt;&lt;ref-type name="Generic"&gt;13&lt;/ref-type&gt;&lt;contributors&gt;&lt;authors&gt;&lt;author&gt;Marmot, Michael&lt;/author&gt;&lt;author&gt;Allen, J&lt;/author&gt;&lt;author&gt;Goldblatt, P&lt;/author&gt;&lt;author&gt;Boyce, T&lt;/author&gt;&lt;author&gt;McNeish, D&lt;/author&gt;&lt;author&gt;Grady, M&lt;/author&gt;&lt;author&gt;Geddes, I&lt;/author&gt;&lt;/authors&gt;&lt;/contributors&gt;&lt;titles&gt;&lt;title&gt;Fair society, healthy lives: strategic review of health inequalities in England post 2010&lt;/title&gt;&lt;/titles&gt;&lt;dates&gt;&lt;year&gt;2010&lt;/year&gt;&lt;/dates&gt;&lt;publisher&gt;London: The Marmot Review&lt;/publisher&gt;&lt;urls&gt;&lt;/urls&gt;&lt;/record&gt;&lt;/Cite&gt;&lt;/EndNote&gt;</w:instrText>
      </w:r>
      <w:r w:rsidRPr="00F10391">
        <w:fldChar w:fldCharType="separate"/>
      </w:r>
      <w:r w:rsidR="00700267">
        <w:rPr>
          <w:noProof/>
        </w:rPr>
        <w:t>[33]</w:t>
      </w:r>
      <w:r w:rsidRPr="00F10391">
        <w:fldChar w:fldCharType="end"/>
      </w:r>
      <w:r w:rsidRPr="00F10391">
        <w:t xml:space="preserve">. This is partly explained by high levels of disease (including predominantly self-inflicted diseases such as lung cancer). It also relates to causes of death outside the scope of how we might think of healthcare, such as violence, suicide, and accidents in cars and the workplace </w:t>
      </w:r>
      <w:r w:rsidRPr="00F10391">
        <w:fldChar w:fldCharType="begin"/>
      </w:r>
      <w:r w:rsidR="00700267">
        <w:instrText xml:space="preserve"> ADDIN EN.CITE &lt;EndNote&gt;&lt;Cite&gt;&lt;Author&gt;Marmot&lt;/Author&gt;&lt;Year&gt;2010&lt;/Year&gt;&lt;RecNum&gt;335&lt;/RecNum&gt;&lt;DisplayText&gt;[33]&lt;/DisplayText&gt;&lt;record&gt;&lt;rec-number&gt;335&lt;/rec-number&gt;&lt;foreign-keys&gt;&lt;key app="EN" db-id="sz9092dv2s5fpze9wpgx0zxgv5ar00aezrvf" timestamp="0"&gt;335&lt;/key&gt;&lt;/foreign-keys&gt;&lt;ref-type name="Generic"&gt;13&lt;/ref-type&gt;&lt;contributors&gt;&lt;authors&gt;&lt;author&gt;Marmot, Michael&lt;/author&gt;&lt;author&gt;Allen, J&lt;/author&gt;&lt;author&gt;Goldblatt, P&lt;/author&gt;&lt;author&gt;Boyce, T&lt;/author&gt;&lt;author&gt;McNeish, D&lt;/author&gt;&lt;author&gt;Grady, M&lt;/author&gt;&lt;author&gt;Geddes, I&lt;/author&gt;&lt;/authors&gt;&lt;/contributors&gt;&lt;titles&gt;&lt;title&gt;Fair society, healthy lives: strategic review of health inequalities in England post 2010&lt;/title&gt;&lt;/titles&gt;&lt;dates&gt;&lt;year&gt;2010&lt;/year&gt;&lt;/dates&gt;&lt;publisher&gt;London: The Marmot Review&lt;/publisher&gt;&lt;urls&gt;&lt;/urls&gt;&lt;/record&gt;&lt;/Cite&gt;&lt;/EndNote&gt;</w:instrText>
      </w:r>
      <w:r w:rsidRPr="00F10391">
        <w:fldChar w:fldCharType="separate"/>
      </w:r>
      <w:r w:rsidR="00700267">
        <w:rPr>
          <w:noProof/>
        </w:rPr>
        <w:t>[33]</w:t>
      </w:r>
      <w:r w:rsidRPr="00F10391">
        <w:fldChar w:fldCharType="end"/>
      </w:r>
      <w:r w:rsidRPr="00F10391">
        <w:t>. The lack of clarity amongst the public as to what constitutes ‘health’ leads to further confusion.</w:t>
      </w:r>
    </w:p>
    <w:p w14:paraId="2BF90102" w14:textId="77777777" w:rsidR="00D22CE3" w:rsidRPr="00F10391" w:rsidRDefault="00D22CE3" w:rsidP="00494A9A">
      <w:r w:rsidRPr="00F10391">
        <w:t xml:space="preserve">Part of the higher rates of non-communicable diseases such as heart conditions can be explained by chronic stress, caused by inadequate safety nets and the sense of lacking control over one’s own life </w:t>
      </w:r>
      <w:r w:rsidRPr="00F10391">
        <w:fldChar w:fldCharType="begin"/>
      </w:r>
      <w:r w:rsidR="00700267">
        <w:instrText xml:space="preserve"> ADDIN EN.CITE &lt;EndNote&gt;&lt;Cite&gt;&lt;Author&gt;Siegrist&lt;/Author&gt;&lt;Year&gt;1990&lt;/Year&gt;&lt;RecNum&gt;375&lt;/RecNum&gt;&lt;DisplayText&gt;[34]&lt;/DisplayText&gt;&lt;record&gt;&lt;rec-number&gt;375&lt;/rec-number&gt;&lt;foreign-keys&gt;&lt;key app="EN" db-id="sz9092dv2s5fpze9wpgx0zxgv5ar00aezrvf" timestamp="1457373652"&gt;375&lt;/key&gt;&lt;/foreign-keys&gt;&lt;ref-type name="Journal Article"&gt;17&lt;/ref-type&gt;&lt;contributors&gt;&lt;authors&gt;&lt;author&gt;Siegrist, Johannes&lt;/author&gt;&lt;author&gt;Peter, Richard&lt;/author&gt;&lt;author&gt;Junge, Astrid&lt;/author&gt;&lt;author&gt;Cremer, Peter&lt;/author&gt;&lt;author&gt;Seidel, Dieter&lt;/author&gt;&lt;/authors&gt;&lt;/contributors&gt;&lt;titles&gt;&lt;title&gt;Low status control, high effort at work and ischemic heart disease: prospective evidence from blue-collar men&lt;/title&gt;&lt;secondary-title&gt;Social science &amp;amp; medicine&lt;/secondary-title&gt;&lt;/titles&gt;&lt;periodical&gt;&lt;full-title&gt;Social science &amp;amp; medicine&lt;/full-title&gt;&lt;/periodical&gt;&lt;pages&gt;1127-1134&lt;/pages&gt;&lt;volume&gt;31&lt;/volume&gt;&lt;number&gt;10&lt;/number&gt;&lt;dates&gt;&lt;year&gt;1990&lt;/year&gt;&lt;/dates&gt;&lt;isbn&gt;0277-9536&lt;/isbn&gt;&lt;urls&gt;&lt;/urls&gt;&lt;/record&gt;&lt;/Cite&gt;&lt;/EndNote&gt;</w:instrText>
      </w:r>
      <w:r w:rsidRPr="00F10391">
        <w:fldChar w:fldCharType="separate"/>
      </w:r>
      <w:r w:rsidR="00700267">
        <w:rPr>
          <w:noProof/>
        </w:rPr>
        <w:t>[34]</w:t>
      </w:r>
      <w:r w:rsidRPr="00F10391">
        <w:fldChar w:fldCharType="end"/>
      </w:r>
      <w:r w:rsidRPr="00F10391">
        <w:t xml:space="preserve">. This is also partially down to the very structure of society and social forces that flow from this. Societies with higher levels of societal equality tend to have higher levels of health for all (which itself is more equally distributed)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Cite&gt;&lt;Author&gt;Marmot&lt;/Author&gt;&lt;Year&gt;2004&lt;/Year&gt;&lt;RecNum&gt;89&lt;/RecNum&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xml:space="preserve">. While developed countries typically exhibit higher levels of health than developing countries on average, basic services such as clean water can play a major role in diminishing these effects </w:t>
      </w:r>
      <w:r w:rsidRPr="00F10391">
        <w:fldChar w:fldCharType="begin"/>
      </w:r>
      <w:r w:rsidR="00700267">
        <w:instrText xml:space="preserve"> ADDIN EN.CITE &lt;EndNote&gt;&lt;Cite&gt;&lt;Author&gt;Anand&lt;/Author&gt;&lt;Year&gt;1993&lt;/Year&gt;&lt;RecNum&gt;376&lt;/RecNum&gt;&lt;DisplayText&gt;[35]&lt;/DisplayText&gt;&lt;record&gt;&lt;rec-number&gt;376&lt;/rec-number&gt;&lt;foreign-keys&gt;&lt;key app="EN" db-id="sz9092dv2s5fpze9wpgx0zxgv5ar00aezrvf" timestamp="1457374043"&gt;376&lt;/key&gt;&lt;/foreign-keys&gt;&lt;ref-type name="Journal Article"&gt;17&lt;/ref-type&gt;&lt;contributors&gt;&lt;authors&gt;&lt;author&gt;Anand, Sudhir&lt;/author&gt;&lt;author&gt;Ravallion, Martin&lt;/author&gt;&lt;/authors&gt;&lt;/contributors&gt;&lt;titles&gt;&lt;title&gt;Human development in poor countries: on the role of private incomes and public services&lt;/title&gt;&lt;secondary-title&gt;The Journal of Economic Perspectives&lt;/secondary-title&gt;&lt;/titles&gt;&lt;periodical&gt;&lt;full-title&gt;The Journal of Economic Perspectives&lt;/full-title&gt;&lt;/periodical&gt;&lt;pages&gt;133-150&lt;/pages&gt;&lt;volume&gt;7&lt;/volume&gt;&lt;number&gt;1&lt;/number&gt;&lt;dates&gt;&lt;year&gt;1993&lt;/year&gt;&lt;/dates&gt;&lt;isbn&gt;0895-3309&lt;/isbn&gt;&lt;urls&gt;&lt;/urls&gt;&lt;/record&gt;&lt;/Cite&gt;&lt;/EndNote&gt;</w:instrText>
      </w:r>
      <w:r w:rsidRPr="00F10391">
        <w:fldChar w:fldCharType="separate"/>
      </w:r>
      <w:r w:rsidR="00700267">
        <w:rPr>
          <w:noProof/>
        </w:rPr>
        <w:t>[35]</w:t>
      </w:r>
      <w:r w:rsidRPr="00F10391">
        <w:fldChar w:fldCharType="end"/>
      </w:r>
      <w:r w:rsidRPr="00F10391">
        <w:t xml:space="preserve">. Marginalised groups </w:t>
      </w:r>
      <w:r w:rsidRPr="00F10391">
        <w:rPr>
          <w:i/>
          <w:iCs/>
        </w:rPr>
        <w:t>within</w:t>
      </w:r>
      <w:r w:rsidRPr="00F10391">
        <w:t xml:space="preserve"> developed societies may have substantially poorer health outcomes than the average level in less developed but more ‘socially equal’ countries. Marmot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xml:space="preserve"> gives the example of African Americans (with an expected lifespan of 71.4 years). Despite their relatively rich average income per capita of $26,000, their life expectancy is significantly below those of Costa Rica (77.9), Cuba (76.5) and various other ‘Medium Development’ countries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Cite&gt;&lt;Author&gt;Marmot&lt;/Author&gt;&lt;Year&gt;2004&lt;/Year&gt;&lt;RecNum&gt;89&lt;/RecNum&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Taken together, this may have important implications for organised health care provision and policy as part of a broader social agenda.</w:t>
      </w:r>
    </w:p>
    <w:p w14:paraId="0AA87495" w14:textId="77777777" w:rsidR="00D22CE3" w:rsidRPr="00F10391" w:rsidRDefault="00D22CE3" w:rsidP="00490B5D">
      <w:r w:rsidRPr="00F10391">
        <w:t xml:space="preserve">Tackling health inequalities has the potential to have much broader societal effects than in non-public health areas of healthcare. Doing so may also reduce rates of crime and violence and boost economic growth, social cohesion and well-being </w:t>
      </w:r>
      <w:r w:rsidRPr="00F10391">
        <w:fldChar w:fldCharType="begin"/>
      </w:r>
      <w:r w:rsidR="00700267">
        <w:instrText xml:space="preserve"> ADDIN EN.CITE &lt;EndNote&gt;&lt;Cite&gt;&lt;Author&gt;Kawachi&lt;/Author&gt;&lt;Year&gt;1997&lt;/Year&gt;&lt;RecNum&gt;71&lt;/RecNum&gt;&lt;DisplayText&gt;[36]&lt;/DisplayText&gt;&lt;record&gt;&lt;rec-number&gt;71&lt;/rec-number&gt;&lt;foreign-keys&gt;&lt;key app="EN" db-id="sz9092dv2s5fpze9wpgx0zxgv5ar00aezrvf" timestamp="0"&gt;71&lt;/key&gt;&lt;/foreign-keys&gt;&lt;ref-type name="Journal Article"&gt;17&lt;/ref-type&gt;&lt;contributors&gt;&lt;authors&gt;&lt;author&gt;Kawachi, Ichiro&lt;/author&gt;&lt;author&gt;Kennedy, Bruce P&lt;/author&gt;&lt;/authors&gt;&lt;/contributors&gt;&lt;titles&gt;&lt;title&gt;Socioeconomic determinants of health: Health and social cohesion: why care about income inequality?&lt;/title&gt;&lt;secondary-title&gt;Bmj&lt;/secondary-title&gt;&lt;/titles&gt;&lt;pages&gt;1037&lt;/pages&gt;&lt;volume&gt;314&lt;/volume&gt;&lt;number&gt;7086&lt;/number&gt;&lt;dates&gt;&lt;year&gt;1997&lt;/year&gt;&lt;/dates&gt;&lt;isbn&gt;0959-8138&lt;/isbn&gt;&lt;urls&gt;&lt;related-urls&gt;&lt;url&gt;http://www.ncbi.nlm.nih.gov/pmc/articles/PMC2126438/pdf/9112854.pdf&lt;/url&gt;&lt;/related-urls&gt;&lt;/urls&gt;&lt;/record&gt;&lt;/Cite&gt;&lt;/EndNote&gt;</w:instrText>
      </w:r>
      <w:r w:rsidRPr="00F10391">
        <w:fldChar w:fldCharType="separate"/>
      </w:r>
      <w:r w:rsidR="00700267">
        <w:rPr>
          <w:noProof/>
        </w:rPr>
        <w:t>[36]</w:t>
      </w:r>
      <w:r w:rsidRPr="00F10391">
        <w:fldChar w:fldCharType="end"/>
      </w:r>
      <w:r w:rsidRPr="00F10391">
        <w:t>. These issues are sometimes difficult to quantify and potentially be politically sensitive. It is also unclear which government department would be responsible for providing and paying for them. Healthcare decision-makers often ignore them as a result. Chapter 5 describes how NICE have attempted to incorporate such issues, though there appears to be much variation in how they have approached this.</w:t>
      </w:r>
    </w:p>
    <w:p w14:paraId="7B8D3D36" w14:textId="77777777" w:rsidR="00D22CE3" w:rsidRPr="00F10391" w:rsidRDefault="00D22CE3" w:rsidP="00490B5D">
      <w:r w:rsidRPr="00F10391">
        <w:t xml:space="preserve">Inequality, in terms of the variation in health within a society, is to a certain extent an inevitable (and amoral) issue. Young people can understandably expect to have better health than the elderly, for example, and there is very little we could reasonably do about this even if we were determined to. ‘Health inequities’ on the other hand is the term used to describe less acceptable variation. These are factors that are “unnecessary and avoidable but, in addition, are also considered unfair and unjust” </w:t>
      </w:r>
      <w:r w:rsidRPr="00F10391">
        <w:fldChar w:fldCharType="begin"/>
      </w:r>
      <w:r w:rsidR="00700267">
        <w:instrText xml:space="preserve"> ADDIN EN.CITE &lt;EndNote&gt;&lt;Cite&gt;&lt;Author&gt;Whitehead&lt;/Author&gt;&lt;Year&gt;1992&lt;/Year&gt;&lt;RecNum&gt;153&lt;/RecNum&gt;&lt;DisplayText&gt;[37]&lt;/DisplayText&gt;&lt;record&gt;&lt;rec-number&gt;153&lt;/rec-number&gt;&lt;foreign-keys&gt;&lt;key app="EN" db-id="sz9092dv2s5fpze9wpgx0zxgv5ar00aezrvf" timestamp="0"&gt;153&lt;/key&gt;&lt;/foreign-keys&gt;&lt;ref-type name="Journal Article"&gt;17&lt;/ref-type&gt;&lt;contributors&gt;&lt;authors&gt;&lt;author&gt;Whitehead, Margaret&lt;/author&gt;&lt;/authors&gt;&lt;/contributors&gt;&lt;titles&gt;&lt;title&gt;The concepts and principles of equity and health&lt;/title&gt;&lt;secondary-title&gt;International journal of health services&lt;/secondary-title&gt;&lt;/titles&gt;&lt;pages&gt;429-445&lt;/pages&gt;&lt;volume&gt;22&lt;/volume&gt;&lt;number&gt;3&lt;/number&gt;&lt;dates&gt;&lt;year&gt;1992&lt;/year&gt;&lt;/dates&gt;&lt;isbn&gt;0020-7314&lt;/isbn&gt;&lt;urls&gt;&lt;/urls&gt;&lt;/record&gt;&lt;/Cite&gt;&lt;/EndNote&gt;</w:instrText>
      </w:r>
      <w:r w:rsidRPr="00F10391">
        <w:fldChar w:fldCharType="separate"/>
      </w:r>
      <w:r w:rsidR="00700267">
        <w:rPr>
          <w:noProof/>
        </w:rPr>
        <w:t>[37]</w:t>
      </w:r>
      <w:r w:rsidRPr="00F10391">
        <w:fldChar w:fldCharType="end"/>
      </w:r>
      <w:r w:rsidR="005E2019">
        <w:t xml:space="preserve"> (p.431)</w:t>
      </w:r>
      <w:r w:rsidRPr="00F10391">
        <w:t xml:space="preserve"> and therefore differ from health inequalities </w:t>
      </w:r>
      <w:r w:rsidRPr="00F10391">
        <w:fldChar w:fldCharType="begin"/>
      </w:r>
      <w:r w:rsidR="00700267">
        <w:instrText xml:space="preserve"> ADDIN EN.CITE &lt;EndNote&gt;&lt;Cite&gt;&lt;Author&gt;Braveman&lt;/Author&gt;&lt;Year&gt;2003&lt;/Year&gt;&lt;RecNum&gt;16&lt;/RecNum&gt;&lt;DisplayText&gt;[38]&lt;/DisplayText&gt;&lt;record&gt;&lt;rec-number&gt;16&lt;/rec-number&gt;&lt;foreign-keys&gt;&lt;key app="EN" db-id="sz9092dv2s5fpze9wpgx0zxgv5ar00aezrvf" timestamp="0"&gt;16&lt;/key&gt;&lt;/foreign-keys&gt;&lt;ref-type name="Journal Article"&gt;17&lt;/ref-type&gt;&lt;contributors&gt;&lt;authors&gt;&lt;author&gt;Braveman, Paula&lt;/author&gt;&lt;author&gt;Gruskin, Sofia&lt;/author&gt;&lt;/authors&gt;&lt;/contributors&gt;&lt;titles&gt;&lt;title&gt;Defining equity in health&lt;/title&gt;&lt;secondary-title&gt;Journal of epidemiology and community health&lt;/secondary-title&gt;&lt;/titles&gt;&lt;periodical&gt;&lt;full-title&gt;Journal of epidemiology and community health&lt;/full-title&gt;&lt;/periodical&gt;&lt;pages&gt;254-258&lt;/pages&gt;&lt;volume&gt;57&lt;/volume&gt;&lt;number&gt;4&lt;/number&gt;&lt;dates&gt;&lt;year&gt;2003&lt;/year&gt;&lt;/dates&gt;&lt;isbn&gt;1470-2738&lt;/isbn&gt;&lt;urls&gt;&lt;related-urls&gt;&lt;url&gt;http://www.ncbi.nlm.nih.gov/pmc/articles/PMC1732430/pdf/v057p00254.pdf&lt;/url&gt;&lt;/related-urls&gt;&lt;/urls&gt;&lt;/record&gt;&lt;/Cite&gt;&lt;/EndNote&gt;</w:instrText>
      </w:r>
      <w:r w:rsidRPr="00F10391">
        <w:fldChar w:fldCharType="separate"/>
      </w:r>
      <w:r w:rsidR="00700267">
        <w:rPr>
          <w:noProof/>
        </w:rPr>
        <w:t>[38]</w:t>
      </w:r>
      <w:r w:rsidRPr="00F10391">
        <w:fldChar w:fldCharType="end"/>
      </w:r>
      <w:r w:rsidRPr="00F10391">
        <w:t xml:space="preserve">, which reflect the general reality of variation. By definition, such inequities are remediable, and as Tawney </w:t>
      </w:r>
      <w:r w:rsidRPr="00F10391">
        <w:fldChar w:fldCharType="begin"/>
      </w:r>
      <w:r w:rsidR="00700267">
        <w:instrText xml:space="preserve"> ADDIN EN.CITE &lt;EndNote&gt;&lt;Cite ExcludeAuth="1"&gt;&lt;Author&gt;Tawney&lt;/Author&gt;&lt;Year&gt;1938&lt;/Year&gt;&lt;RecNum&gt;139&lt;/RecNum&gt;&lt;DisplayText&gt;[39]&lt;/DisplayText&gt;&lt;record&gt;&lt;rec-number&gt;139&lt;/rec-number&gt;&lt;foreign-keys&gt;&lt;key app="EN" db-id="sz9092dv2s5fpze9wpgx0zxgv5ar00aezrvf" timestamp="0"&gt;139&lt;/key&gt;&lt;/foreign-keys&gt;&lt;ref-type name="Book"&gt;6&lt;/ref-type&gt;&lt;contributors&gt;&lt;authors&gt;&lt;author&gt;Tawney, RH&lt;/author&gt;&lt;/authors&gt;&lt;/contributors&gt;&lt;titles&gt;&lt;title&gt;Equality (Workers Educational Assocation Editon)&lt;/title&gt;&lt;/titles&gt;&lt;pages&gt;39-40&lt;/pages&gt;&lt;dates&gt;&lt;year&gt;1938&lt;/year&gt;&lt;/dates&gt;&lt;pub-location&gt;London&lt;/pub-location&gt;&lt;publisher&gt;Allen and Unwin&lt;/publisher&gt;&lt;urls&gt;&lt;/urls&gt;&lt;/record&gt;&lt;/Cite&gt;&lt;/EndNote&gt;</w:instrText>
      </w:r>
      <w:r w:rsidRPr="00F10391">
        <w:fldChar w:fldCharType="separate"/>
      </w:r>
      <w:r w:rsidR="00700267">
        <w:rPr>
          <w:noProof/>
        </w:rPr>
        <w:t>[39]</w:t>
      </w:r>
      <w:r w:rsidRPr="00F10391">
        <w:fldChar w:fldCharType="end"/>
      </w:r>
      <w:r w:rsidRPr="00F10391">
        <w:t xml:space="preserve"> explained:</w:t>
      </w:r>
    </w:p>
    <w:p w14:paraId="74722C96" w14:textId="7DEC5310" w:rsidR="00D22CE3" w:rsidRPr="00F10391" w:rsidRDefault="00D22CE3">
      <w:pPr>
        <w:ind w:left="720"/>
      </w:pPr>
      <w:r w:rsidRPr="00F10391">
        <w:t xml:space="preserve">“to desire equality is not, as is sometimes suggested, to cherish the romantic illusion that men are equal in character and intelligence. It is to hold that, while their natural </w:t>
      </w:r>
      <w:r w:rsidRPr="00F10391">
        <w:lastRenderedPageBreak/>
        <w:t>endowments differ profoundly, it is the mark of a civilised society to aim at eliminating such inequalities as have their source not in individual differences but in (social) organisation</w:t>
      </w:r>
      <w:r w:rsidR="00680803">
        <w:t>”</w:t>
      </w:r>
      <w:r w:rsidRPr="00F10391">
        <w:t xml:space="preserve"> </w:t>
      </w:r>
      <w:r w:rsidRPr="00F10391">
        <w:fldChar w:fldCharType="begin"/>
      </w:r>
      <w:r w:rsidR="00700267">
        <w:instrText xml:space="preserve"> ADDIN EN.CITE &lt;EndNote&gt;&lt;Cite ExcludeAuth="1"&gt;&lt;Author&gt;Tawney&lt;/Author&gt;&lt;Year&gt;1938&lt;/Year&gt;&lt;RecNum&gt;139&lt;/RecNum&gt;&lt;DisplayText&gt;[39]&lt;/DisplayText&gt;&lt;record&gt;&lt;rec-number&gt;139&lt;/rec-number&gt;&lt;foreign-keys&gt;&lt;key app="EN" db-id="sz9092dv2s5fpze9wpgx0zxgv5ar00aezrvf" timestamp="0"&gt;139&lt;/key&gt;&lt;/foreign-keys&gt;&lt;ref-type name="Book"&gt;6&lt;/ref-type&gt;&lt;contributors&gt;&lt;authors&gt;&lt;author&gt;Tawney, RH&lt;/author&gt;&lt;/authors&gt;&lt;/contributors&gt;&lt;titles&gt;&lt;title&gt;Equality (Workers Educational Assocation Editon)&lt;/title&gt;&lt;/titles&gt;&lt;pages&gt;39-40&lt;/pages&gt;&lt;dates&gt;&lt;year&gt;1938&lt;/year&gt;&lt;/dates&gt;&lt;pub-location&gt;London&lt;/pub-location&gt;&lt;publisher&gt;Allen and Unwin&lt;/publisher&gt;&lt;urls&gt;&lt;/urls&gt;&lt;/record&gt;&lt;/Cite&gt;&lt;/EndNote&gt;</w:instrText>
      </w:r>
      <w:r w:rsidRPr="00F10391">
        <w:fldChar w:fldCharType="separate"/>
      </w:r>
      <w:r w:rsidR="00700267">
        <w:rPr>
          <w:noProof/>
        </w:rPr>
        <w:t>[39]</w:t>
      </w:r>
      <w:r w:rsidRPr="00F10391">
        <w:fldChar w:fldCharType="end"/>
      </w:r>
      <w:r w:rsidRPr="00F10391">
        <w:t>(</w:t>
      </w:r>
      <w:r w:rsidR="008533CC">
        <w:t>p.</w:t>
      </w:r>
      <w:r w:rsidRPr="00F10391">
        <w:t>39-40)</w:t>
      </w:r>
      <w:r w:rsidR="00EF7608">
        <w:t>.</w:t>
      </w:r>
    </w:p>
    <w:p w14:paraId="5B256CF4" w14:textId="1DB0C02A" w:rsidR="00D22CE3" w:rsidRPr="00F10391" w:rsidRDefault="00D22CE3" w:rsidP="00494A9A">
      <w:r w:rsidRPr="00F10391">
        <w:t xml:space="preserve">One of the fathers of social medicine, Rudolf Virchow, stated that “politics is nothing but medicine on a large scale” </w:t>
      </w:r>
      <w:r w:rsidRPr="00F10391">
        <w:fldChar w:fldCharType="begin"/>
      </w:r>
      <w:r w:rsidR="00700267">
        <w:instrText xml:space="preserve"> ADDIN EN.CITE &lt;EndNote&gt;&lt;Cite&gt;&lt;Author&gt;Fee&lt;/Author&gt;&lt;Year&gt;1989&lt;/Year&gt;&lt;RecNum&gt;46&lt;/RecNum&gt;&lt;DisplayText&gt;[40]&lt;/DisplayText&gt;&lt;record&gt;&lt;rec-number&gt;46&lt;/rec-number&gt;&lt;foreign-keys&gt;&lt;key app="EN" db-id="sz9092dv2s5fpze9wpgx0zxgv5ar00aezrvf" timestamp="0"&gt;46&lt;/key&gt;&lt;/foreign-keys&gt;&lt;ref-type name="Journal Article"&gt;17&lt;/ref-type&gt;&lt;contributors&gt;&lt;authors&gt;&lt;author&gt;Fee, Elizabeth&lt;/author&gt;&lt;/authors&gt;&lt;/contributors&gt;&lt;titles&gt;&lt;title&gt;Henry E. Sigerist: From the Social Production of Disease to Medical Management and Scientific Socialism&lt;/title&gt;&lt;secondary-title&gt;The Milbank Quarterly&lt;/secondary-title&gt;&lt;/titles&gt;&lt;pages&gt;127-150&lt;/pages&gt;&lt;dates&gt;&lt;year&gt;1989&lt;/year&gt;&lt;/dates&gt;&lt;isbn&gt;0887-378X&lt;/isbn&gt;&lt;urls&gt;&lt;/urls&gt;&lt;/record&gt;&lt;/Cite&gt;&lt;/EndNote&gt;</w:instrText>
      </w:r>
      <w:r w:rsidRPr="00F10391">
        <w:fldChar w:fldCharType="separate"/>
      </w:r>
      <w:r w:rsidR="00700267">
        <w:rPr>
          <w:noProof/>
        </w:rPr>
        <w:t>[40]</w:t>
      </w:r>
      <w:r w:rsidRPr="00F10391">
        <w:fldChar w:fldCharType="end"/>
      </w:r>
      <w:r w:rsidR="00B445CA">
        <w:t xml:space="preserve"> (p.137)</w:t>
      </w:r>
      <w:r w:rsidRPr="00F10391">
        <w:t xml:space="preserve">. Similarly, perhaps medicine is also politics on a smaller scale – how we live and die is inexorably tied up with the kind of society we wish to be part of. In a democracy, we can change those who control the levers of power to better reflect our concerns. With the foundation of the NHS, politics and the health service have become even more closely linked. As such, values play an inescapable role in how NICE and other bodies seek to prioritise the interventions available (though the idea of wholly value-free evidence is challenged later). It may not therefore be possible to be wholly objective about how best to divide the limited resources available to the NHS. But taking public preferences into account does not necessarily have to come at the expense of scientific or analytical approaches, and there are potentially a number of advantages to doing so. Health care decisions inevitably involve trade-offs. Analytical approaches can incorporate scientific and quantitative concerns in a rational way, while making explicit the assumptions used may have influenced the decision. Where outcomes can be quantified appropriately and codified by given frameworks – such as the principle of maximising QALYs – then the results are often clear. However, there are occasions where such frameworks are better considered as rules of thumb, or other factors should be taken into account. As a result, the need for human </w:t>
      </w:r>
      <w:r w:rsidR="001B7ADD">
        <w:t>judgment</w:t>
      </w:r>
      <w:r w:rsidRPr="00F10391">
        <w:t xml:space="preserve"> remains to take responsibility for the decision, and as stated by Dowie </w:t>
      </w:r>
      <w:r w:rsidRPr="00F10391">
        <w:fldChar w:fldCharType="begin"/>
      </w:r>
      <w:r w:rsidR="00700267">
        <w:instrText xml:space="preserve"> ADDIN EN.CITE &lt;EndNote&gt;&lt;Cite&gt;&lt;Author&gt;Dowie&lt;/Author&gt;&lt;Year&gt;1996&lt;/Year&gt;&lt;RecNum&gt;41&lt;/RecNum&gt;&lt;DisplayText&gt;[41]&lt;/DisplayText&gt;&lt;record&gt;&lt;rec-number&gt;41&lt;/rec-number&gt;&lt;foreign-keys&gt;&lt;key app="EN" db-id="sz9092dv2s5fpze9wpgx0zxgv5ar00aezrvf" timestamp="0"&gt;41&lt;/key&gt;&lt;/foreign-keys&gt;&lt;ref-type name="Journal Article"&gt;17&lt;/ref-type&gt;&lt;contributors&gt;&lt;authors&gt;&lt;author&gt;Dowie, Jack&lt;/author&gt;&lt;/authors&gt;&lt;/contributors&gt;&lt;titles&gt;&lt;title&gt;‘Evidence-based’,‘Cost-Effective’and ‘Preference-Driven’Medicine: Decision Analysis Based Medical Decision Making is the Pre-Requisite&lt;/title&gt;&lt;secondary-title&gt;Journal of Health Services Research&lt;/secondary-title&gt;&lt;/titles&gt;&lt;pages&gt;104-113&lt;/pages&gt;&lt;volume&gt;1&lt;/volume&gt;&lt;number&gt;2&lt;/number&gt;&lt;dates&gt;&lt;year&gt;1996&lt;/year&gt;&lt;/dates&gt;&lt;isbn&gt;1355-8196&lt;/isbn&gt;&lt;urls&gt;&lt;/urls&gt;&lt;/record&gt;&lt;/Cite&gt;&lt;/EndNote&gt;</w:instrText>
      </w:r>
      <w:r w:rsidRPr="00F10391">
        <w:fldChar w:fldCharType="separate"/>
      </w:r>
      <w:r w:rsidR="00700267">
        <w:rPr>
          <w:noProof/>
        </w:rPr>
        <w:t>[41]</w:t>
      </w:r>
      <w:r w:rsidRPr="00F10391">
        <w:fldChar w:fldCharType="end"/>
      </w:r>
      <w:r w:rsidRPr="00F10391">
        <w:t xml:space="preserve">: </w:t>
      </w:r>
    </w:p>
    <w:p w14:paraId="45D1AD39" w14:textId="7EA623D6" w:rsidR="00D22CE3" w:rsidRPr="00F10391" w:rsidRDefault="00D22CE3" w:rsidP="00A662B3">
      <w:pPr>
        <w:ind w:left="720"/>
      </w:pPr>
      <w:r w:rsidRPr="00F10391">
        <w:t xml:space="preserve">“The primary virtue of analysis-based medical decision-making is that it makes explicit, on the one hand, the uncertainties and evidential gaps that science has not removed by way of clinical trials or a less robust method, and, on the other hand, the value differences and conflicts” </w:t>
      </w:r>
      <w:r w:rsidR="00193831">
        <w:t>[</w:t>
      </w:r>
      <w:r w:rsidR="005F0872">
        <w:t xml:space="preserve">reported in Mussen et al. </w:t>
      </w:r>
      <w:r w:rsidRPr="00F10391">
        <w:fldChar w:fldCharType="begin"/>
      </w:r>
      <w:r w:rsidR="00700267">
        <w:instrText xml:space="preserve"> ADDIN EN.CITE &lt;EndNote&gt;&lt;Cite&gt;&lt;Author&gt;Mussen&lt;/Author&gt;&lt;Year&gt;2009&lt;/Year&gt;&lt;RecNum&gt;400&lt;/RecNum&gt;&lt;DisplayText&gt;[42]&lt;/DisplayText&gt;&lt;record&gt;&lt;rec-number&gt;400&lt;/rec-number&gt;&lt;foreign-keys&gt;&lt;key app="EN" db-id="sz9092dv2s5fpze9wpgx0zxgv5ar00aezrvf" timestamp="1458059087"&gt;400&lt;/key&gt;&lt;/foreign-keys&gt;&lt;ref-type name="Generic"&gt;13&lt;/ref-type&gt;&lt;contributors&gt;&lt;authors&gt;&lt;author&gt;Mussen, F&lt;/author&gt;&lt;author&gt;Salek, S&lt;/author&gt;&lt;author&gt;Walker, S&lt;/author&gt;&lt;/authors&gt;&lt;/contributors&gt;&lt;titles&gt;&lt;title&gt;Benefit-Risk Appraisal of Medicines: A Systematic Approach to Decision-Making (2009 ed.)&lt;/title&gt;&lt;/titles&gt;&lt;volume&gt;133&lt;/volume&gt;&lt;dates&gt;&lt;year&gt;2009&lt;/year&gt;&lt;/dates&gt;&lt;publisher&gt;John Wiley &amp;amp; Sons, Chichester, West Sussex, United Kingdom&lt;/publisher&gt;&lt;urls&gt;&lt;/urls&gt;&lt;/record&gt;&lt;/Cite&gt;&lt;/EndNote&gt;</w:instrText>
      </w:r>
      <w:r w:rsidRPr="00F10391">
        <w:fldChar w:fldCharType="separate"/>
      </w:r>
      <w:r w:rsidR="00700267">
        <w:rPr>
          <w:noProof/>
        </w:rPr>
        <w:t>[42]</w:t>
      </w:r>
      <w:r w:rsidRPr="00F10391">
        <w:fldChar w:fldCharType="end"/>
      </w:r>
      <w:r w:rsidRPr="00F10391">
        <w:t xml:space="preserve"> (</w:t>
      </w:r>
      <w:r w:rsidR="008533CC">
        <w:t>p.</w:t>
      </w:r>
      <w:r w:rsidRPr="00F10391">
        <w:t>113)</w:t>
      </w:r>
      <w:r w:rsidR="00193831">
        <w:t>]</w:t>
      </w:r>
      <w:r w:rsidR="005F0872">
        <w:t>.</w:t>
      </w:r>
    </w:p>
    <w:p w14:paraId="17EF42B8" w14:textId="77777777" w:rsidR="00D22CE3" w:rsidRPr="00F10391" w:rsidRDefault="00D22CE3" w:rsidP="00494A9A">
      <w:r w:rsidRPr="00F10391">
        <w:t xml:space="preserve">This allows for increased consistency for decisions compared to approaches that might otherwise combine evidence and values in a more </w:t>
      </w:r>
      <w:r w:rsidRPr="00F10391">
        <w:rPr>
          <w:i/>
        </w:rPr>
        <w:t>ad hoc</w:t>
      </w:r>
      <w:r w:rsidRPr="00F10391">
        <w:t xml:space="preserve"> manner. It also increases the transparency and accountability of the process and decisions to be revised where necessary. </w:t>
      </w:r>
    </w:p>
    <w:p w14:paraId="50DF4C9B" w14:textId="77777777" w:rsidR="00D22CE3" w:rsidRPr="00F10391" w:rsidRDefault="00D22CE3" w:rsidP="00494A9A"/>
    <w:p w14:paraId="218AC641" w14:textId="77777777" w:rsidR="00D22CE3" w:rsidRPr="00F10391" w:rsidRDefault="00D22CE3" w:rsidP="00490B5D">
      <w:pPr>
        <w:pStyle w:val="Numberedheading2"/>
      </w:pPr>
      <w:bookmarkStart w:id="64" w:name="_Toc313187819"/>
      <w:bookmarkStart w:id="65" w:name="_Toc441508916"/>
      <w:bookmarkStart w:id="66" w:name="_Toc453235354"/>
      <w:bookmarkStart w:id="67" w:name="_Toc453595427"/>
      <w:bookmarkStart w:id="68" w:name="_Toc476241524"/>
      <w:r w:rsidRPr="00F10391">
        <w:t>2.2</w:t>
      </w:r>
      <w:r w:rsidRPr="00F10391">
        <w:tab/>
      </w:r>
      <w:r w:rsidRPr="00F10391">
        <w:tab/>
        <w:t>Evidence-based healthcare</w:t>
      </w:r>
      <w:bookmarkEnd w:id="64"/>
      <w:bookmarkEnd w:id="65"/>
      <w:bookmarkEnd w:id="66"/>
      <w:bookmarkEnd w:id="67"/>
      <w:bookmarkEnd w:id="68"/>
    </w:p>
    <w:p w14:paraId="63E46D53" w14:textId="77777777" w:rsidR="00D22CE3" w:rsidRPr="00F10391" w:rsidRDefault="00D22CE3" w:rsidP="00490B5D"/>
    <w:p w14:paraId="4D42EE74" w14:textId="77777777" w:rsidR="00D22CE3" w:rsidRPr="00F10391" w:rsidRDefault="00D22CE3" w:rsidP="00A662B3">
      <w:r w:rsidRPr="00F10391">
        <w:t>The evidence-based medicine paradigm is a relatively recent phenomenon. Archie Cochrane published his musings on the topic in the book “</w:t>
      </w:r>
      <w:r w:rsidRPr="00F10391">
        <w:rPr>
          <w:iCs/>
        </w:rPr>
        <w:t>Effectiveness and Efficiency: Random Reflections on Health Services</w:t>
      </w:r>
      <w:r w:rsidRPr="00F10391">
        <w:t xml:space="preserve">” in 1972 </w:t>
      </w:r>
      <w:r w:rsidRPr="00F10391">
        <w:fldChar w:fldCharType="begin"/>
      </w:r>
      <w:r w:rsidR="00700267">
        <w:instrText xml:space="preserve"> ADDIN EN.CITE &lt;EndNote&gt;&lt;Cite&gt;&lt;Author&gt;Cochrane&lt;/Author&gt;&lt;Year&gt;1972&lt;/Year&gt;&lt;RecNum&gt;24&lt;/RecNum&gt;&lt;DisplayText&gt;[43]&lt;/DisplayText&gt;&lt;record&gt;&lt;rec-number&gt;24&lt;/rec-number&gt;&lt;foreign-keys&gt;&lt;key app="EN" db-id="sz9092dv2s5fpze9wpgx0zxgv5ar00aezrvf" timestamp="0"&gt;24&lt;/key&gt;&lt;/foreign-keys&gt;&lt;ref-type name="Book"&gt;6&lt;/ref-type&gt;&lt;contributors&gt;&lt;authors&gt;&lt;author&gt;Cochrane, Archibald Leman&lt;/author&gt;&lt;author&gt;Fellowship, Rock Carling&lt;/author&gt;&lt;/authors&gt;&lt;/contributors&gt;&lt;titles&gt;&lt;title&gt;Effectiveness and efficiency: random reflections on health services&lt;/title&gt;&lt;/titles&gt;&lt;volume&gt;900574178&lt;/volume&gt;&lt;section&gt;82&lt;/section&gt;&lt;dates&gt;&lt;year&gt;1972&lt;/year&gt;&lt;/dates&gt;&lt;publisher&gt;Nuffield Provincial Hospitals Trust London&lt;/publisher&gt;&lt;urls&gt;&lt;/urls&gt;&lt;/record&gt;&lt;/Cite&gt;&lt;Cite Hidden="1"&gt;&lt;Author&gt;Cochrane&lt;/Author&gt;&lt;Year&gt;1972&lt;/Year&gt;&lt;RecNum&gt;24&lt;/RecNum&gt;&lt;record&gt;&lt;rec-number&gt;24&lt;/rec-number&gt;&lt;foreign-keys&gt;&lt;key app="EN" db-id="sz9092dv2s5fpze9wpgx0zxgv5ar00aezrvf" timestamp="0"&gt;24&lt;/key&gt;&lt;/foreign-keys&gt;&lt;ref-type name="Book"&gt;6&lt;/ref-type&gt;&lt;contributors&gt;&lt;authors&gt;&lt;author&gt;Cochrane, Archibald Leman&lt;/author&gt;&lt;author&gt;Fellowship, Rock Carling&lt;/author&gt;&lt;/authors&gt;&lt;/contributors&gt;&lt;titles&gt;&lt;title&gt;Effectiveness and efficiency: random reflections on health services&lt;/title&gt;&lt;/titles&gt;&lt;volume&gt;900574178&lt;/volume&gt;&lt;section&gt;82&lt;/section&gt;&lt;dates&gt;&lt;year&gt;1972&lt;/year&gt;&lt;/dates&gt;&lt;publisher&gt;Nuffield Provincial Hospitals Trust London&lt;/publisher&gt;&lt;urls&gt;&lt;/urls&gt;&lt;/record&gt;&lt;/Cite&gt;&lt;/EndNote&gt;</w:instrText>
      </w:r>
      <w:r w:rsidRPr="00F10391">
        <w:fldChar w:fldCharType="separate"/>
      </w:r>
      <w:r w:rsidR="00700267">
        <w:rPr>
          <w:noProof/>
        </w:rPr>
        <w:t>[43]</w:t>
      </w:r>
      <w:r w:rsidRPr="00F10391">
        <w:fldChar w:fldCharType="end"/>
      </w:r>
      <w:r w:rsidRPr="00F10391">
        <w:t xml:space="preserve">, which has since proven to be hugely influential. Doctors’ decisions, to him, too often relied on instinct and not on evidence or the scientific method. </w:t>
      </w:r>
    </w:p>
    <w:p w14:paraId="1BC2C829" w14:textId="46B9D2FC" w:rsidR="00D22CE3" w:rsidRPr="00F10391" w:rsidRDefault="00D22CE3" w:rsidP="00A662B3">
      <w:pPr>
        <w:ind w:left="720"/>
      </w:pPr>
      <w:r w:rsidRPr="00F10391">
        <w:t xml:space="preserve">“Allocations of funds and facilities are nearly always based on the opinions of senior consultants, but, more and more, requests for additional facilities will have to be based on detailed arguments with ‘hard evidence’ as to the gain to be expected from the patient's angle and the cost. Few can possibly object to this” </w:t>
      </w:r>
      <w:r w:rsidRPr="00F10391">
        <w:fldChar w:fldCharType="begin"/>
      </w:r>
      <w:r w:rsidR="00700267">
        <w:instrText xml:space="preserve"> ADDIN EN.CITE &lt;EndNote&gt;&lt;Cite&gt;&lt;Author&gt;Cochrane&lt;/Author&gt;&lt;Year&gt;1972&lt;/Year&gt;&lt;RecNum&gt;24&lt;/RecNum&gt;&lt;DisplayText&gt;[43]&lt;/DisplayText&gt;&lt;record&gt;&lt;rec-number&gt;24&lt;/rec-number&gt;&lt;foreign-keys&gt;&lt;key app="EN" db-id="sz9092dv2s5fpze9wpgx0zxgv5ar00aezrvf" timestamp="0"&gt;24&lt;/key&gt;&lt;/foreign-keys&gt;&lt;ref-type name="Book"&gt;6&lt;/ref-type&gt;&lt;contributors&gt;&lt;authors&gt;&lt;author&gt;Cochrane, Archibald Leman&lt;/author&gt;&lt;author&gt;Fellowship, Rock Carling&lt;/author&gt;&lt;/authors&gt;&lt;/contributors&gt;&lt;titles&gt;&lt;title&gt;Effectiveness and efficiency: random reflections on health services&lt;/title&gt;&lt;/titles&gt;&lt;volume&gt;900574178&lt;/volume&gt;&lt;section&gt;82&lt;/section&gt;&lt;dates&gt;&lt;year&gt;1972&lt;/year&gt;&lt;/dates&gt;&lt;publisher&gt;Nuffield Provincial Hospitals Trust London&lt;/publisher&gt;&lt;urls&gt;&lt;/urls&gt;&lt;/record&gt;&lt;/Cite&gt;&lt;/EndNote&gt;</w:instrText>
      </w:r>
      <w:r w:rsidRPr="00F10391">
        <w:fldChar w:fldCharType="separate"/>
      </w:r>
      <w:r w:rsidR="00700267">
        <w:rPr>
          <w:noProof/>
        </w:rPr>
        <w:t>[43]</w:t>
      </w:r>
      <w:r w:rsidRPr="00F10391">
        <w:fldChar w:fldCharType="end"/>
      </w:r>
      <w:r w:rsidRPr="00F10391">
        <w:t xml:space="preserve"> (p.82)</w:t>
      </w:r>
      <w:r w:rsidR="0091326B">
        <w:t>.</w:t>
      </w:r>
    </w:p>
    <w:p w14:paraId="1A859594" w14:textId="77777777" w:rsidR="00D22CE3" w:rsidRPr="00F10391" w:rsidRDefault="00D22CE3" w:rsidP="00494A9A">
      <w:r w:rsidRPr="00F10391">
        <w:lastRenderedPageBreak/>
        <w:t xml:space="preserve">The increased availability of such evidence since has allowed formal analytical approaches to be used in order to compare more meaningfully the effectiveness of interventions, for “no matter how ill a patient is it is hard to see how she can ‘need’ health care that does no good” </w:t>
      </w:r>
      <w:r w:rsidRPr="00F10391">
        <w:fldChar w:fldCharType="begin"/>
      </w:r>
      <w:r w:rsidR="00700267">
        <w:instrText xml:space="preserve"> ADDIN EN.CITE &lt;EndNote&gt;&lt;Cite&gt;&lt;Author&gt;Cookson&lt;/Author&gt;&lt;Year&gt;2000&lt;/Year&gt;&lt;RecNum&gt;26&lt;/RecNum&gt;&lt;DisplayText&gt;[44]&lt;/DisplayText&gt;&lt;record&gt;&lt;rec-number&gt;26&lt;/rec-number&gt;&lt;foreign-keys&gt;&lt;key app="EN" db-id="sz9092dv2s5fpze9wpgx0zxgv5ar00aezrvf" timestamp="0"&gt;26&lt;/key&gt;&lt;/foreign-keys&gt;&lt;ref-type name="Journal Article"&gt;17&lt;/ref-type&gt;&lt;contributors&gt;&lt;authors&gt;&lt;author&gt;Cookson, Richard&lt;/author&gt;&lt;author&gt;Dolan, Paul&lt;/author&gt;&lt;/authors&gt;&lt;/contributors&gt;&lt;titles&gt;&lt;title&gt;Principles of justice in health care rationing&lt;/title&gt;&lt;secondary-title&gt;Journal of Medical Ethics&lt;/secondary-title&gt;&lt;/titles&gt;&lt;periodical&gt;&lt;full-title&gt;Journal of Medical Ethics&lt;/full-title&gt;&lt;/periodical&gt;&lt;pages&gt;323-329&lt;/pages&gt;&lt;volume&gt;26&lt;/volume&gt;&lt;number&gt;5&lt;/number&gt;&lt;dates&gt;&lt;year&gt;2000&lt;/year&gt;&lt;/dates&gt;&lt;isbn&gt;1473-4257&lt;/isbn&gt;&lt;urls&gt;&lt;related-urls&gt;&lt;url&gt;http://www.ncbi.nlm.nih.gov/pmc/articles/PMC1733291/pdf/v026p00323.pdf&lt;/url&gt;&lt;/related-urls&gt;&lt;/urls&gt;&lt;/record&gt;&lt;/Cite&gt;&lt;/EndNote&gt;</w:instrText>
      </w:r>
      <w:r w:rsidRPr="00F10391">
        <w:fldChar w:fldCharType="separate"/>
      </w:r>
      <w:r w:rsidR="00700267">
        <w:rPr>
          <w:noProof/>
        </w:rPr>
        <w:t>[44]</w:t>
      </w:r>
      <w:r w:rsidRPr="00F10391">
        <w:fldChar w:fldCharType="end"/>
      </w:r>
      <w:r w:rsidR="00B445CA">
        <w:t xml:space="preserve"> (p.326)</w:t>
      </w:r>
      <w:r w:rsidRPr="00F10391">
        <w:t>. From here, it requires only a short leap to comparing the cost-effectiveness of approaches using formal health economic techniques.</w:t>
      </w:r>
    </w:p>
    <w:p w14:paraId="11C80996" w14:textId="7C799D62" w:rsidR="00D22CE3" w:rsidRPr="00F10391" w:rsidRDefault="00D22CE3" w:rsidP="00494A9A">
      <w:r w:rsidRPr="00F10391">
        <w:t xml:space="preserve">These techniques provide “a logical and explicit framework to aid health care workers, decision-makers, governments, or society at large, to make choices on how best to use resources” </w:t>
      </w:r>
      <w:r w:rsidR="00005AA6">
        <w:fldChar w:fldCharType="begin"/>
      </w:r>
      <w:r w:rsidR="00700267">
        <w:instrText xml:space="preserve"> ADDIN EN.CITE &lt;EndNote&gt;&lt;Cite&gt;&lt;Author&gt;Jefferson&lt;/Author&gt;&lt;Year&gt;1996&lt;/Year&gt;&lt;RecNum&gt;63&lt;/RecNum&gt;&lt;DisplayText&gt;[45]&lt;/DisplayText&gt;&lt;record&gt;&lt;rec-number&gt;63&lt;/rec-number&gt;&lt;foreign-keys&gt;&lt;key app="EN" db-id="sz9092dv2s5fpze9wpgx0zxgv5ar00aezrvf" timestamp="0"&gt;63&lt;/key&gt;&lt;/foreign-keys&gt;&lt;ref-type name="Book"&gt;6&lt;/ref-type&gt;&lt;contributors&gt;&lt;authors&gt;&lt;author&gt;Jefferson, Tom&lt;/author&gt;&lt;author&gt;Demicheli, Vittorio&lt;/author&gt;&lt;author&gt;Mugford, Miranda&lt;/author&gt;&lt;/authors&gt;&lt;/contributors&gt;&lt;titles&gt;&lt;title&gt;Elementary economic evaluation in health care&lt;/title&gt;&lt;/titles&gt;&lt;dates&gt;&lt;year&gt;1996&lt;/year&gt;&lt;/dates&gt;&lt;publisher&gt;BMJ Publishing Group&lt;/publisher&gt;&lt;isbn&gt;0727910744&lt;/isbn&gt;&lt;urls&gt;&lt;/urls&gt;&lt;/record&gt;&lt;/Cite&gt;&lt;/EndNote&gt;</w:instrText>
      </w:r>
      <w:r w:rsidR="00005AA6">
        <w:fldChar w:fldCharType="separate"/>
      </w:r>
      <w:r w:rsidR="00700267">
        <w:rPr>
          <w:noProof/>
        </w:rPr>
        <w:t>[45]</w:t>
      </w:r>
      <w:r w:rsidR="00005AA6">
        <w:fldChar w:fldCharType="end"/>
      </w:r>
      <w:r w:rsidR="00005AA6">
        <w:t xml:space="preserve"> (quoted in Phillips </w:t>
      </w:r>
      <w:r w:rsidR="00005AA6">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005AA6">
        <w:fldChar w:fldCharType="separate"/>
      </w:r>
      <w:r w:rsidR="00700267">
        <w:rPr>
          <w:noProof/>
        </w:rPr>
        <w:t>[46]</w:t>
      </w:r>
      <w:r w:rsidR="00005AA6">
        <w:fldChar w:fldCharType="end"/>
      </w:r>
      <w:r w:rsidR="00005AA6">
        <w:t xml:space="preserve"> </w:t>
      </w:r>
      <w:r w:rsidR="00B445CA">
        <w:t>(p.13)</w:t>
      </w:r>
      <w:r w:rsidR="00005AA6">
        <w:t xml:space="preserve">). </w:t>
      </w:r>
      <w:r w:rsidRPr="00F10391">
        <w:t>There are a number of possible approaches available and these are explained in the next section.</w:t>
      </w:r>
    </w:p>
    <w:p w14:paraId="42248986" w14:textId="24382A86" w:rsidR="00D22CE3" w:rsidRPr="00F10391" w:rsidRDefault="00D22CE3" w:rsidP="00490B5D">
      <w:r w:rsidRPr="00F10391">
        <w:t xml:space="preserve">Translating data on a spreadsheet into sensible, practical solutions is not necessarily simple and often requires interpretation. ‘Objective’ evidence may be illusory, particularly in the realm of public health </w:t>
      </w:r>
      <w:r w:rsidRPr="00F10391">
        <w:fldChar w:fldCharType="begin"/>
      </w:r>
      <w:r w:rsidR="00700267">
        <w:instrText xml:space="preserve"> ADDIN EN.CITE &lt;EndNote&gt;&lt;Cite&gt;&lt;Author&gt;Rychetnik&lt;/Author&gt;&lt;Year&gt;2002&lt;/Year&gt;&lt;RecNum&gt;377&lt;/RecNum&gt;&lt;DisplayText&gt;[47]&lt;/DisplayText&gt;&lt;record&gt;&lt;rec-number&gt;377&lt;/rec-number&gt;&lt;foreign-keys&gt;&lt;key app="EN" db-id="sz9092dv2s5fpze9wpgx0zxgv5ar00aezrvf" timestamp="1457375905"&gt;377&lt;/key&gt;&lt;/foreign-keys&gt;&lt;ref-type name="Journal Article"&gt;17&lt;/ref-type&gt;&lt;contributors&gt;&lt;authors&gt;&lt;author&gt;Rychetnik, Lucie&lt;/author&gt;&lt;author&gt;Frommer, Michael&lt;/author&gt;&lt;author&gt;Hawe, Penelope&lt;/author&gt;&lt;author&gt;Shiell, Alan&lt;/author&gt;&lt;/authors&gt;&lt;/contributors&gt;&lt;titles&gt;&lt;title&gt;Criteria for evaluating evidence on public health interventions&lt;/title&gt;&lt;secondary-title&gt;Journal of epidemiology and community health&lt;/secondary-title&gt;&lt;/titles&gt;&lt;periodical&gt;&lt;full-title&gt;Journal of epidemiology and community health&lt;/full-title&gt;&lt;/periodical&gt;&lt;pages&gt;119-127&lt;/pages&gt;&lt;volume&gt;56&lt;/volume&gt;&lt;number&gt;2&lt;/number&gt;&lt;dates&gt;&lt;year&gt;2002&lt;/year&gt;&lt;/dates&gt;&lt;isbn&gt;1470-2738&lt;/isbn&gt;&lt;urls&gt;&lt;related-urls&gt;&lt;url&gt;http://www.ncbi.nlm.nih.gov/pmc/articles/PMC1732065/pdf/v056p00119.pdf&lt;/url&gt;&lt;/related-urls&gt;&lt;/urls&gt;&lt;/record&gt;&lt;/Cite&gt;&lt;/EndNote&gt;</w:instrText>
      </w:r>
      <w:r w:rsidRPr="00F10391">
        <w:fldChar w:fldCharType="separate"/>
      </w:r>
      <w:r w:rsidR="00700267">
        <w:rPr>
          <w:noProof/>
        </w:rPr>
        <w:t>[47]</w:t>
      </w:r>
      <w:r w:rsidRPr="00F10391">
        <w:fldChar w:fldCharType="end"/>
      </w:r>
      <w:r w:rsidRPr="00F10391">
        <w:t xml:space="preserve">. Randomised control trials (RCTs) – as championed by Cochrane – are rarely possible in such settings, as the vast array of influences and stakeholders that may impact upon health cannot be investigated in isolation. RCTs are far more common and practicable in pharmacoeconomic settings, where commonly agreed upon quantitative markers of success can be measured, and subsequently compared against a price offered by the relevant company. In public health, often no such company, price or outcome measurements are known to exist or can be universally agreed upon. Experience, </w:t>
      </w:r>
      <w:r w:rsidR="001B7ADD">
        <w:t>judgment</w:t>
      </w:r>
      <w:r w:rsidRPr="00F10391">
        <w:t xml:space="preserve"> and continual learning are required to meet these challenges. Such issues have long been observed and similar issues were reflected in the following excerpt is taken from a publication from 1849 on “moral statistics”, which seems to take a rather Bayesian approach to medical evidence:</w:t>
      </w:r>
    </w:p>
    <w:p w14:paraId="0EBC9ED8" w14:textId="6097C5EA" w:rsidR="00D22CE3" w:rsidRPr="00F10391" w:rsidRDefault="00D22CE3" w:rsidP="00A662B3">
      <w:pPr>
        <w:ind w:left="720"/>
      </w:pPr>
      <w:r w:rsidRPr="00F10391">
        <w:t xml:space="preserve">“The man who studies society, however, labours under a great difficulty in being entirely denied the use of experiment, and limited most rigidly to observation; the observation of elements most subtilly [sic] combined, in a state of unceasing change, and wholly beyond his control. Analysis, therefore, in the sense of the chemist, is absolutely impossible; but by exhaustive enumerations of facts, which are strongly indicative of the existence of many others, or are their invariable concomitants, we get a means of detecting the excess or deficiency of certain social elements in definite classes or localities; and by multiplying these lines of observation, and the combinations in which they are arranged for purposes of comparison, we gradually arrive at higher and safe inductions, which will sometimes corroborate principles which we have reached by deductive reasoning from the moral elements of individual character, and by observations on society in the limited field of our person experience, and at others will present irreconcilable results, which the bigot of theory will despise, but which the man of science knows how to prize as gems” </w:t>
      </w:r>
      <w:r w:rsidRPr="00F10391">
        <w:fldChar w:fldCharType="begin"/>
      </w:r>
      <w:r w:rsidR="00700267">
        <w:instrText xml:space="preserve"> ADDIN EN.CITE &lt;EndNote&gt;&lt;Cite&gt;&lt;Author&gt;Cook&lt;/Author&gt;&lt;Year&gt;2012&lt;/Year&gt;&lt;RecNum&gt;25&lt;/RecNum&gt;&lt;DisplayText&gt;[48]&lt;/DisplayText&gt;&lt;record&gt;&lt;rec-number&gt;25&lt;/rec-number&gt;&lt;foreign-keys&gt;&lt;key app="EN" db-id="sz9092dv2s5fpze9wpgx0zxgv5ar00aezrvf" timestamp="0"&gt;25&lt;/key&gt;&lt;/foreign-keys&gt;&lt;ref-type name="Journal Article"&gt;17&lt;/ref-type&gt;&lt;contributors&gt;&lt;authors&gt;&lt;author&gt;Cook, Robert&lt;/author&gt;&lt;author&gt;Wainer, Howard&lt;/author&gt;&lt;/authors&gt;&lt;/contributors&gt;&lt;titles&gt;&lt;title&gt;A century and a half of moral statistics in the United Kingdom: Variations on Joseph Fletcher&amp;apos;s thematic maps&lt;/title&gt;&lt;secondary-title&gt;Significance&lt;/secondary-title&gt;&lt;/titles&gt;&lt;pages&gt;36&lt;/pages&gt;&lt;volume&gt;9&lt;/volume&gt;&lt;number&gt;3&lt;/number&gt;&lt;dates&gt;&lt;year&gt;2012&lt;/year&gt;&lt;/dates&gt;&lt;isbn&gt;1740-9713&lt;/isbn&gt;&lt;urls&gt;&lt;/urls&gt;&lt;/record&gt;&lt;/Cite&gt;&lt;/EndNote&gt;</w:instrText>
      </w:r>
      <w:r w:rsidRPr="00F10391">
        <w:fldChar w:fldCharType="separate"/>
      </w:r>
      <w:r w:rsidR="00700267">
        <w:rPr>
          <w:noProof/>
        </w:rPr>
        <w:t>[48]</w:t>
      </w:r>
      <w:r w:rsidRPr="00F10391">
        <w:fldChar w:fldCharType="end"/>
      </w:r>
      <w:r w:rsidRPr="00F10391">
        <w:t xml:space="preserve"> (p.36)</w:t>
      </w:r>
      <w:r w:rsidR="00EF7608">
        <w:t>.</w:t>
      </w:r>
    </w:p>
    <w:p w14:paraId="75266AAE" w14:textId="77777777" w:rsidR="00D22CE3" w:rsidRPr="00F10391" w:rsidRDefault="00D22CE3" w:rsidP="00494A9A">
      <w:r w:rsidRPr="00F10391">
        <w:t xml:space="preserve">Unfortunately, deciding what constitutes evidence and proof is not always clear. In 1849, the London Medical Gazette </w:t>
      </w:r>
      <w:r w:rsidRPr="00F10391">
        <w:fldChar w:fldCharType="begin"/>
      </w:r>
      <w:r w:rsidR="00700267">
        <w:instrText xml:space="preserve"> ADDIN EN.CITE &lt;EndNote&gt;&lt;Cite&gt;&lt;Author&gt;London Medical Gazette&lt;/Author&gt;&lt;Year&gt;1849&lt;/Year&gt;&lt;RecNum&gt;178&lt;/RecNum&gt;&lt;DisplayText&gt;[49]&lt;/DisplayText&gt;&lt;record&gt;&lt;rec-number&gt;178&lt;/rec-number&gt;&lt;foreign-keys&gt;&lt;key app="EN" db-id="sz9092dv2s5fpze9wpgx0zxgv5ar00aezrvf" timestamp="0"&gt;178&lt;/key&gt;&lt;/foreign-keys&gt;&lt;ref-type name="Web Page"&gt;12&lt;/ref-type&gt;&lt;contributors&gt;&lt;authors&gt;&lt;author&gt;London Medical Gazette,&lt;/author&gt;&lt;/authors&gt;&lt;/contributors&gt;&lt;titles&gt;&lt;title&gt;John Snow Facts&lt;/title&gt;&lt;alt-title&gt;John Snow Society web page&lt;/alt-title&gt;&lt;short-title&gt;John Snow Facts&lt;/short-title&gt;&lt;/titles&gt;&lt;dates&gt;&lt;year&gt;1849&lt;/year&gt;&lt;/dates&gt;&lt;orig-pub&gt;London Medical Gazette&lt;/orig-pub&gt;&lt;urls&gt;&lt;related-urls&gt;&lt;url&gt;http://www.johnsnowsociety.org/johnsnow/facts.html. &lt;/url&gt;&lt;/related-urls&gt;&lt;/urls&gt;&lt;access-date&gt;1 September 2014&lt;/access-date&gt;&lt;/record&gt;&lt;/Cite&gt;&lt;/EndNote&gt;</w:instrText>
      </w:r>
      <w:r w:rsidRPr="00F10391">
        <w:fldChar w:fldCharType="separate"/>
      </w:r>
      <w:r w:rsidR="00700267">
        <w:rPr>
          <w:noProof/>
        </w:rPr>
        <w:t>[49]</w:t>
      </w:r>
      <w:r w:rsidRPr="00F10391">
        <w:fldChar w:fldCharType="end"/>
      </w:r>
      <w:r w:rsidRPr="00F10391">
        <w:t xml:space="preserve"> dismissed John Snow’s theory of transmission of cholera via water, rather than ‘miasma’ as was theorised at the time. (Snow is now considered one of the founders of the discipline of epidemiology on the basis of this discovery).</w:t>
      </w:r>
    </w:p>
    <w:p w14:paraId="5DD7877A" w14:textId="39909207" w:rsidR="00D22CE3" w:rsidRPr="00F10391" w:rsidRDefault="00D22CE3" w:rsidP="00A662B3">
      <w:pPr>
        <w:ind w:left="720"/>
      </w:pPr>
      <w:r w:rsidRPr="00F10391">
        <w:t xml:space="preserve">“There is, in our view, an entire failure of proof that the occurrence of any one case could be clearly and unambiguously assigned to water… Notwithstanding our opinion that Dr Snow has failed in proving that cholera is communicated in the mode in which he supposes it to be, he deserves the thanks of the profession for endeavouring to </w:t>
      </w:r>
      <w:r w:rsidRPr="00F10391">
        <w:lastRenderedPageBreak/>
        <w:t xml:space="preserve">solve the mystery. It is only by close analysis of facts and the publication of new views, that we can hope to arrive at the truth” </w:t>
      </w:r>
      <w:r w:rsidRPr="00F10391">
        <w:fldChar w:fldCharType="begin"/>
      </w:r>
      <w:r w:rsidR="00700267">
        <w:instrText xml:space="preserve"> ADDIN EN.CITE &lt;EndNote&gt;&lt;Cite&gt;&lt;Author&gt;London Medical Gazette&lt;/Author&gt;&lt;Year&gt;1849&lt;/Year&gt;&lt;RecNum&gt;178&lt;/RecNum&gt;&lt;DisplayText&gt;[49]&lt;/DisplayText&gt;&lt;record&gt;&lt;rec-number&gt;178&lt;/rec-number&gt;&lt;foreign-keys&gt;&lt;key app="EN" db-id="sz9092dv2s5fpze9wpgx0zxgv5ar00aezrvf" timestamp="0"&gt;178&lt;/key&gt;&lt;/foreign-keys&gt;&lt;ref-type name="Web Page"&gt;12&lt;/ref-type&gt;&lt;contributors&gt;&lt;authors&gt;&lt;author&gt;London Medical Gazette,&lt;/author&gt;&lt;/authors&gt;&lt;/contributors&gt;&lt;titles&gt;&lt;title&gt;John Snow Facts&lt;/title&gt;&lt;alt-title&gt;John Snow Society web page&lt;/alt-title&gt;&lt;short-title&gt;John Snow Facts&lt;/short-title&gt;&lt;/titles&gt;&lt;dates&gt;&lt;year&gt;1849&lt;/year&gt;&lt;/dates&gt;&lt;orig-pub&gt;London Medical Gazette&lt;/orig-pub&gt;&lt;urls&gt;&lt;related-urls&gt;&lt;url&gt;http://www.johnsnowsociety.org/johnsnow/facts.html. &lt;/url&gt;&lt;/related-urls&gt;&lt;/urls&gt;&lt;access-date&gt;1 September 2014&lt;/access-date&gt;&lt;/record&gt;&lt;/Cite&gt;&lt;/EndNote&gt;</w:instrText>
      </w:r>
      <w:r w:rsidRPr="00F10391">
        <w:fldChar w:fldCharType="separate"/>
      </w:r>
      <w:r w:rsidR="00700267">
        <w:rPr>
          <w:noProof/>
        </w:rPr>
        <w:t>[49]</w:t>
      </w:r>
      <w:r w:rsidRPr="00F10391">
        <w:fldChar w:fldCharType="end"/>
      </w:r>
      <w:r w:rsidRPr="00F10391">
        <w:t xml:space="preserve"> (from webpage)</w:t>
      </w:r>
      <w:r w:rsidR="00EF7608">
        <w:t>.</w:t>
      </w:r>
    </w:p>
    <w:p w14:paraId="30752D4F" w14:textId="77777777" w:rsidR="00D22CE3" w:rsidRPr="00F10391" w:rsidRDefault="00D22CE3" w:rsidP="00494A9A">
      <w:pPr>
        <w:rPr>
          <w:i/>
        </w:rPr>
      </w:pPr>
      <w:r w:rsidRPr="00F10391">
        <w:t xml:space="preserve">The increased emphasis on evidence of course goes some way to solving this, including in public health. Changes to attitudes had continued for generations before Cochrane’s work. The rise of epidemiology allowed a more macro-level perspective to take hold rather than ascribing all successes and failures to each case’s “special determinism” </w:t>
      </w:r>
      <w:r w:rsidRPr="00F10391">
        <w:fldChar w:fldCharType="begin"/>
      </w:r>
      <w:r w:rsidR="00700267">
        <w:instrText xml:space="preserve"> ADDIN EN.CITE &lt;EndNote&gt;&lt;Cite&gt;&lt;Author&gt;Gigerenzer&lt;/Author&gt;&lt;Year&gt;2007&lt;/Year&gt;&lt;RecNum&gt;54&lt;/RecNum&gt;&lt;DisplayText&gt;[50]&lt;/DisplayText&gt;&lt;record&gt;&lt;rec-number&gt;54&lt;/rec-number&gt;&lt;foreign-keys&gt;&lt;key app="EN" db-id="sz9092dv2s5fpze9wpgx0zxgv5ar00aezrvf" timestamp="0"&gt;54&lt;/key&gt;&lt;/foreign-keys&gt;&lt;ref-type name="Journal Article"&gt;17&lt;/ref-type&gt;&lt;contributors&gt;&lt;authors&gt;&lt;author&gt;Gigerenzer, Gerd&lt;/author&gt;&lt;author&gt;Gaissmaier, Wolfgang&lt;/author&gt;&lt;author&gt;Kurz-Milcke, Elke&lt;/author&gt;&lt;author&gt;Schwartz, Lisa M&lt;/author&gt;&lt;author&gt;Woloshin, Steven&lt;/author&gt;&lt;/authors&gt;&lt;/contributors&gt;&lt;titles&gt;&lt;title&gt;Helping doctors and patients make sense of health statistics&lt;/title&gt;&lt;secondary-title&gt;Psychological science in the public interest&lt;/secondary-title&gt;&lt;/titles&gt;&lt;pages&gt;53-96&lt;/pages&gt;&lt;volume&gt;8&lt;/volume&gt;&lt;number&gt;2&lt;/number&gt;&lt;dates&gt;&lt;year&gt;2007&lt;/year&gt;&lt;/dates&gt;&lt;isbn&gt;1529-1006&lt;/isbn&gt;&lt;urls&gt;&lt;related-urls&gt;&lt;url&gt;http://psi.sagepub.com/content/8/2/53.long&lt;/url&gt;&lt;/related-urls&gt;&lt;/urls&gt;&lt;/record&gt;&lt;/Cite&gt;&lt;/EndNote&gt;</w:instrText>
      </w:r>
      <w:r w:rsidRPr="00F10391">
        <w:fldChar w:fldCharType="separate"/>
      </w:r>
      <w:r w:rsidR="00700267">
        <w:rPr>
          <w:noProof/>
        </w:rPr>
        <w:t>[50]</w:t>
      </w:r>
      <w:r w:rsidRPr="00F10391">
        <w:fldChar w:fldCharType="end"/>
      </w:r>
      <w:r w:rsidRPr="00F10391">
        <w:t xml:space="preserve">; this approach has been growing since at least the time of Florence Nightingale. But such perspectives posed challenges to practicing physicians, and a Lancet editorial on “Mathematics and Medicine” from 1937 </w:t>
      </w:r>
      <w:r w:rsidRPr="00F10391">
        <w:fldChar w:fldCharType="begin"/>
      </w:r>
      <w:r w:rsidRPr="00F10391">
        <w:instrText xml:space="preserve"> ADDIN EN.CITE &lt;EndNote&gt;&lt;Cite Hidden="1"&gt;&lt;Author&gt;Editorial&lt;/Author&gt;&lt;Year&gt;1937&lt;/Year&gt;&lt;RecNum&gt;174&lt;/RecNum&gt;&lt;record&gt;&lt;rec-number&gt;174&lt;/rec-number&gt;&lt;foreign-keys&gt;&lt;key app="EN" db-id="sz9092dv2s5fpze9wpgx0zxgv5ar00aezrvf" timestamp="0"&gt;174&lt;/key&gt;&lt;/foreign-keys&gt;&lt;ref-type name="Journal Article"&gt;17&lt;/ref-type&gt;&lt;contributors&gt;&lt;authors&gt;&lt;author&gt;Editorial &lt;/author&gt;&lt;/authors&gt;&lt;/contributors&gt;&lt;titles&gt;&lt;title&gt;Mathematics and medicine&lt;/title&gt;&lt;secondary-title&gt;The Lancet&lt;/secondary-title&gt;&lt;/titles&gt;&lt;pages&gt;31&lt;/pages&gt;&lt;volume&gt;229&lt;/volume&gt;&lt;number&gt;5914&lt;/number&gt;&lt;dates&gt;&lt;year&gt;1937&lt;/year&gt;&lt;pub-dates&gt;&lt;date&gt;2 January, 1937&lt;/date&gt;&lt;/pub-dates&gt;&lt;/dates&gt;&lt;urls&gt;&lt;/urls&gt;&lt;/record&gt;&lt;/Cite&gt;&lt;/EndNote&gt;</w:instrText>
      </w:r>
      <w:r w:rsidRPr="00F10391">
        <w:fldChar w:fldCharType="end"/>
      </w:r>
      <w:r w:rsidRPr="00F10391">
        <w:t>presaged many of the same issues that we are to some extent still debating today.</w:t>
      </w:r>
    </w:p>
    <w:p w14:paraId="1A580F4F" w14:textId="59066EE3" w:rsidR="00D22CE3" w:rsidRPr="00F10391" w:rsidRDefault="00D22CE3" w:rsidP="00A662B3">
      <w:pPr>
        <w:ind w:left="720"/>
      </w:pPr>
      <w:r w:rsidRPr="00F10391">
        <w:t xml:space="preserve">“It is exasperating, when we have studied a problem by methods that we have spent laborious years in mastering, to find our conclusions questioned, and perhaps refuted, by someone who could not have made the observations himself. It requires more equanimity than most of us possess to acknowledge the fault is in ourselves” </w:t>
      </w:r>
      <w:r w:rsidRPr="00F10391">
        <w:fldChar w:fldCharType="begin"/>
      </w:r>
      <w:r w:rsidR="00700267">
        <w:instrText xml:space="preserve"> ADDIN EN.CITE &lt;EndNote&gt;&lt;Cite&gt;&lt;Author&gt;Editorial&lt;/Author&gt;&lt;Year&gt;1937&lt;/Year&gt;&lt;RecNum&gt;174&lt;/RecNum&gt;&lt;DisplayText&gt;[51]&lt;/DisplayText&gt;&lt;record&gt;&lt;rec-number&gt;174&lt;/rec-number&gt;&lt;foreign-keys&gt;&lt;key app="EN" db-id="sz9092dv2s5fpze9wpgx0zxgv5ar00aezrvf" timestamp="0"&gt;174&lt;/key&gt;&lt;/foreign-keys&gt;&lt;ref-type name="Journal Article"&gt;17&lt;/ref-type&gt;&lt;contributors&gt;&lt;authors&gt;&lt;author&gt;Editorial &lt;/author&gt;&lt;/authors&gt;&lt;/contributors&gt;&lt;titles&gt;&lt;title&gt;Mathematics and medicine&lt;/title&gt;&lt;secondary-title&gt;The Lancet&lt;/secondary-title&gt;&lt;/titles&gt;&lt;pages&gt;31&lt;/pages&gt;&lt;volume&gt;229&lt;/volume&gt;&lt;number&gt;5914&lt;/number&gt;&lt;dates&gt;&lt;year&gt;1937&lt;/year&gt;&lt;pub-dates&gt;&lt;date&gt;2 January, 1937&lt;/date&gt;&lt;/pub-dates&gt;&lt;/dates&gt;&lt;urls&gt;&lt;/urls&gt;&lt;/record&gt;&lt;/Cite&gt;&lt;/EndNote&gt;</w:instrText>
      </w:r>
      <w:r w:rsidRPr="00F10391">
        <w:fldChar w:fldCharType="separate"/>
      </w:r>
      <w:r w:rsidR="00700267">
        <w:rPr>
          <w:noProof/>
        </w:rPr>
        <w:t>[51]</w:t>
      </w:r>
      <w:r w:rsidRPr="00F10391">
        <w:fldChar w:fldCharType="end"/>
      </w:r>
      <w:r w:rsidRPr="00F10391">
        <w:t xml:space="preserve"> (</w:t>
      </w:r>
      <w:r w:rsidR="008533CC">
        <w:t>p.</w:t>
      </w:r>
      <w:r w:rsidRPr="00F10391">
        <w:t>31)</w:t>
      </w:r>
      <w:r w:rsidR="00EF7608">
        <w:t>.</w:t>
      </w:r>
    </w:p>
    <w:p w14:paraId="3F501AD9" w14:textId="77777777" w:rsidR="00D22CE3" w:rsidRPr="00F10391" w:rsidRDefault="00D22CE3" w:rsidP="00494A9A"/>
    <w:p w14:paraId="7F22C5CE" w14:textId="77777777" w:rsidR="00D22CE3" w:rsidRPr="00F10391" w:rsidRDefault="00D22CE3" w:rsidP="00494A9A">
      <w:pPr>
        <w:pStyle w:val="Numberedheading2"/>
      </w:pPr>
      <w:bookmarkStart w:id="69" w:name="_Toc313187820"/>
      <w:bookmarkStart w:id="70" w:name="_Toc441508917"/>
      <w:bookmarkStart w:id="71" w:name="_Toc453235355"/>
      <w:bookmarkStart w:id="72" w:name="_Toc453595428"/>
      <w:bookmarkStart w:id="73" w:name="_Toc476241525"/>
      <w:r w:rsidRPr="00F10391">
        <w:t>2.3</w:t>
      </w:r>
      <w:r w:rsidRPr="00F10391">
        <w:tab/>
      </w:r>
      <w:r w:rsidRPr="00F10391">
        <w:tab/>
        <w:t>Evidence-based approaches to decision-making</w:t>
      </w:r>
      <w:bookmarkEnd w:id="69"/>
      <w:bookmarkEnd w:id="70"/>
      <w:bookmarkEnd w:id="71"/>
      <w:bookmarkEnd w:id="72"/>
      <w:bookmarkEnd w:id="73"/>
    </w:p>
    <w:p w14:paraId="740B5AE8" w14:textId="77777777" w:rsidR="00D22CE3" w:rsidRPr="00F10391" w:rsidRDefault="00D22CE3" w:rsidP="00490B5D"/>
    <w:p w14:paraId="72AB65D9" w14:textId="77777777" w:rsidR="00D22CE3" w:rsidRPr="00F10391" w:rsidRDefault="00D22CE3" w:rsidP="00490B5D">
      <w:r w:rsidRPr="00F10391">
        <w:t xml:space="preserve">The wider availability of reliable evidence allows operational research techniques to play a more prominent role. OR is a field of mathematics that uses analytical techniques to improve and inform decision-making, with which there is significant overlap with implementation science </w:t>
      </w:r>
      <w:r w:rsidRPr="00F10391">
        <w:fldChar w:fldCharType="begin"/>
      </w:r>
      <w:r w:rsidR="00700267">
        <w:instrText xml:space="preserve"> ADDIN EN.CITE &lt;EndNote&gt;&lt;Cite&gt;&lt;Author&gt;Schackman&lt;/Author&gt;&lt;Year&gt;2010&lt;/Year&gt;&lt;RecNum&gt;378&lt;/RecNum&gt;&lt;DisplayText&gt;[52]&lt;/DisplayText&gt;&lt;record&gt;&lt;rec-number&gt;378&lt;/rec-number&gt;&lt;foreign-keys&gt;&lt;key app="EN" db-id="sz9092dv2s5fpze9wpgx0zxgv5ar00aezrvf" timestamp="1457377070"&gt;378&lt;/key&gt;&lt;/foreign-keys&gt;&lt;ref-type name="Journal Article"&gt;17&lt;/ref-type&gt;&lt;contributors&gt;&lt;authors&gt;&lt;author&gt;Schackman, Bruce R&lt;/author&gt;&lt;/authors&gt;&lt;/contributors&gt;&lt;titles&gt;&lt;title&gt;Implementation science for the prevention and treatment of HIV/AIDS&lt;/title&gt;&lt;secondary-title&gt;Journal of acquired immune deficiency syndromes (1999)&lt;/secondary-title&gt;&lt;/titles&gt;&lt;periodical&gt;&lt;full-title&gt;Journal of acquired immune deficiency syndromes (1999)&lt;/full-title&gt;&lt;/periodical&gt;&lt;pages&gt;S27&lt;/pages&gt;&lt;volume&gt;55&lt;/volume&gt;&lt;number&gt;Suppl 1&lt;/number&gt;&lt;dates&gt;&lt;year&gt;2010&lt;/year&gt;&lt;/dates&gt;&lt;urls&gt;&lt;/urls&gt;&lt;/record&gt;&lt;/Cite&gt;&lt;/EndNote&gt;</w:instrText>
      </w:r>
      <w:r w:rsidRPr="00F10391">
        <w:fldChar w:fldCharType="separate"/>
      </w:r>
      <w:r w:rsidR="00700267">
        <w:rPr>
          <w:noProof/>
        </w:rPr>
        <w:t>[52]</w:t>
      </w:r>
      <w:r w:rsidRPr="00F10391">
        <w:fldChar w:fldCharType="end"/>
      </w:r>
      <w:r w:rsidRPr="00F10391">
        <w:t xml:space="preserve">, including an emphasis on real-world pragmatism. Classic uses of the approach in health settings relate to scheduling and management of rosters (whether of staff or other resources), risk management (such as predicting the risk of adverse events) and routing (which can be used for siting ambulance depots). Practically any formal analytical technique can fall under the OR banner, and mathematical modelling, computer simulation, quantitative analysis and simple logic models are used to inform decision-makers in a wide variety of settings. One offshoot of OR is MCDA, which can be used for particularly complex decision problems </w:t>
      </w:r>
      <w:r w:rsidRPr="00F10391">
        <w:fldChar w:fldCharType="begin"/>
      </w:r>
      <w:r w:rsidR="00700267">
        <w:instrText xml:space="preserve"> ADDIN EN.CITE &lt;EndNote&gt;&lt;Cite&gt;&lt;Author&gt;Roy&lt;/Author&gt;&lt;Year&gt;1996&lt;/Year&gt;&lt;RecNum&gt;379&lt;/RecNum&gt;&lt;DisplayText&gt;[53]&lt;/DisplayText&gt;&lt;record&gt;&lt;rec-number&gt;379&lt;/rec-number&gt;&lt;foreign-keys&gt;&lt;key app="EN" db-id="sz9092dv2s5fpze9wpgx0zxgv5ar00aezrvf" timestamp="1457377295"&gt;379&lt;/key&gt;&lt;/foreign-keys&gt;&lt;ref-type name="Journal Article"&gt;17&lt;/ref-type&gt;&lt;contributors&gt;&lt;authors&gt;&lt;author&gt;Roy, Bernard&lt;/author&gt;&lt;author&gt;Vanderpooten, Daniel&lt;/author&gt;&lt;/authors&gt;&lt;/contributors&gt;&lt;titles&gt;&lt;title&gt;The European school of MCDA: Emergence, basic features and cu</w:instrText>
      </w:r>
      <w:r w:rsidR="00700267">
        <w:rPr>
          <w:rFonts w:hint="eastAsia"/>
        </w:rPr>
        <w:instrText>rrent works&lt;/title&gt;&lt;secondary-title&gt;Journal of Multi</w:instrText>
      </w:r>
      <w:r w:rsidR="00700267">
        <w:rPr>
          <w:rFonts w:hint="eastAsia"/>
        </w:rPr>
        <w:instrText>‐</w:instrText>
      </w:r>
      <w:r w:rsidR="00700267">
        <w:rPr>
          <w:rFonts w:hint="eastAsia"/>
        </w:rPr>
        <w:instrText>Criteria Decision Analysis&lt;/secondary-title&gt;&lt;/titles&gt;&lt;periodical&gt;&lt;full-title&gt;Journal of Multi</w:instrText>
      </w:r>
      <w:r w:rsidR="00700267">
        <w:rPr>
          <w:rFonts w:hint="eastAsia"/>
        </w:rPr>
        <w:instrText>‐</w:instrText>
      </w:r>
      <w:r w:rsidR="00700267">
        <w:rPr>
          <w:rFonts w:hint="eastAsia"/>
        </w:rPr>
        <w:instrText>Criteria Decision Analysis&lt;/full-title&gt;&lt;/periodical&gt;&lt;pages&gt;22-38&lt;/pages&gt;&lt;volume&gt;5&lt;/volume&gt;&lt;number&gt;1&lt;/number&gt;</w:instrText>
      </w:r>
      <w:r w:rsidR="00700267">
        <w:instrText>&lt;dates&gt;&lt;year&gt;1996&lt;/year&gt;&lt;/dates&gt;&lt;isbn&gt;1099-1360&lt;/isbn&gt;&lt;urls&gt;&lt;/urls&gt;&lt;/record&gt;&lt;/Cite&gt;&lt;/EndNote&gt;</w:instrText>
      </w:r>
      <w:r w:rsidRPr="00F10391">
        <w:fldChar w:fldCharType="separate"/>
      </w:r>
      <w:r w:rsidR="00700267">
        <w:rPr>
          <w:noProof/>
        </w:rPr>
        <w:t>[53]</w:t>
      </w:r>
      <w:r w:rsidRPr="00F10391">
        <w:fldChar w:fldCharType="end"/>
      </w:r>
      <w:r w:rsidRPr="00F10391">
        <w:t>.</w:t>
      </w:r>
    </w:p>
    <w:p w14:paraId="346F2181" w14:textId="77777777" w:rsidR="00D22CE3" w:rsidRPr="00F10391" w:rsidRDefault="00D22CE3" w:rsidP="00A662B3">
      <w:r w:rsidRPr="00F10391">
        <w:t xml:space="preserve">Utility theory can be used to express the relative ‘goodness’ of an outcome, given the events that influence this outcome and the choices available to the decision-makers. One or more criteria may combine to generate the specific utility function for a decision problem. Lindley </w:t>
      </w:r>
      <w:r w:rsidRPr="00F10391">
        <w:fldChar w:fldCharType="begin"/>
      </w:r>
      <w:r w:rsidR="00700267">
        <w:instrText xml:space="preserve"> ADDIN EN.CITE &lt;EndNote&gt;&lt;Cite ExcludeAuth="1"&gt;&lt;Author&gt;Lindley&lt;/Author&gt;&lt;Year&gt;1985&lt;/Year&gt;&lt;RecNum&gt;83&lt;/RecNum&gt;&lt;DisplayText&gt;[54]&lt;/DisplayText&gt;&lt;record&gt;&lt;rec-number&gt;83&lt;/rec-number&gt;&lt;foreign-keys&gt;&lt;key app="EN" db-id="sz9092dv2s5fpze9wpgx0zxgv5ar00aezrvf" timestamp="0"&gt;83&lt;/key&gt;&lt;/foreign-keys&gt;&lt;ref-type name="Book"&gt;6&lt;/ref-type&gt;&lt;contributors&gt;&lt;authors&gt;&lt;author&gt;Lindley, Dennis Victor&lt;/author&gt;&lt;/authors&gt;&lt;/contributors&gt;&lt;titles&gt;&lt;title&gt;Making decisions&lt;/title&gt;&lt;/titles&gt;&lt;dates&gt;&lt;year&gt;1985&lt;/year&gt;&lt;/dates&gt;&lt;pub-location&gt;New York&lt;/pub-location&gt;&lt;publisher&gt;Wiley &lt;/publisher&gt;&lt;isbn&gt;0471908037&lt;/isbn&gt;&lt;urls&gt;&lt;/urls&gt;&lt;/record&gt;&lt;/Cite&gt;&lt;/EndNote&gt;</w:instrText>
      </w:r>
      <w:r w:rsidRPr="00F10391">
        <w:fldChar w:fldCharType="separate"/>
      </w:r>
      <w:r w:rsidR="00700267">
        <w:rPr>
          <w:noProof/>
        </w:rPr>
        <w:t>[54]</w:t>
      </w:r>
      <w:r w:rsidRPr="00F10391">
        <w:fldChar w:fldCharType="end"/>
      </w:r>
      <w:r w:rsidRPr="00F10391">
        <w:t xml:space="preserve"> restricts utility to [0,1], so that a best-case scenario has a utility of 1, a worst case 0 and outcomes in between these vary proportionally. </w:t>
      </w:r>
    </w:p>
    <w:p w14:paraId="26652C74" w14:textId="77777777" w:rsidR="00D22CE3" w:rsidRPr="00F10391" w:rsidRDefault="00D22CE3" w:rsidP="00A662B3">
      <w:r w:rsidRPr="00F10391">
        <w:t xml:space="preserve">In most situations, most people are risk averse to some degree when facing choices. Kahneman &amp; Tversky </w:t>
      </w:r>
      <w:r w:rsidRPr="00F10391">
        <w:fldChar w:fldCharType="begin"/>
      </w:r>
      <w:r w:rsidR="00700267">
        <w:instrText xml:space="preserve"> ADDIN EN.CITE &lt;EndNote&gt;&lt;Cite ExcludeAuth="1"&gt;&lt;Author&gt;Kahneman&lt;/Author&gt;&lt;Year&gt;1979&lt;/Year&gt;&lt;RecNum&gt;68&lt;/RecNum&gt;&lt;DisplayText&gt;[55]&lt;/DisplayText&gt;&lt;record&gt;&lt;rec-number&gt;68&lt;/rec-number&gt;&lt;foreign-keys&gt;&lt;key app="EN" db-id="sz9092dv2s5fpze9wpgx0zxgv5ar00aezrvf" timestamp="0"&gt;68&lt;/key&gt;&lt;/foreign-keys&gt;&lt;ref-type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Society&lt;/secondary-title&gt;&lt;/titles&gt;&lt;pages&gt;263-291&lt;/pages&gt;&lt;dates&gt;&lt;year&gt;1979&lt;/year&gt;&lt;/dates&gt;&lt;isbn&gt;0012-9682&lt;/isbn&gt;&lt;urls&gt;&lt;/urls&gt;&lt;/record&gt;&lt;/Cite&gt;&lt;/EndNote&gt;</w:instrText>
      </w:r>
      <w:r w:rsidRPr="00F10391">
        <w:fldChar w:fldCharType="separate"/>
      </w:r>
      <w:r w:rsidR="00700267">
        <w:rPr>
          <w:noProof/>
        </w:rPr>
        <w:t>[55]</w:t>
      </w:r>
      <w:r w:rsidRPr="00F10391">
        <w:fldChar w:fldCharType="end"/>
      </w:r>
      <w:r w:rsidRPr="00F10391">
        <w:t xml:space="preserve"> have shown that in many situations, people intuitively value losses and gains differently, leading to predictable and irrational behaviour. The list of factors that may contribute to a good decision is practically endless, including, for example, rationality, timeliness, consistency with other actions, feasibility, avoiding unnecessary conflict, the incorporation of adequate consideration of temporal effects, the use of an appropriate value function, adequate addressing of uncertainty, the pursuit of dominant strategies, predictability to allies and unpredictability to rivals, and legitimacy and fairness. </w:t>
      </w:r>
    </w:p>
    <w:p w14:paraId="126728C6" w14:textId="77777777" w:rsidR="00D22CE3" w:rsidRPr="00F10391" w:rsidRDefault="00D22CE3" w:rsidP="00A662B3">
      <w:r w:rsidRPr="00F10391">
        <w:lastRenderedPageBreak/>
        <w:t xml:space="preserve">Despite the complications in how we define ‘better’, some decisions are intuitively clearly better than others. An option that is better than all alternatives on every relevant criterion is said to ‘dominate’ them, and should evidently be chosen where possible. An option that makes everyone better off (or at least makes some people better off and no one worse off) should also clearly be chosen; the pie gets bigger, allowing some people get a bigger slice, while no one loses out; a concept known as ‘Pareto optimality’. As decisions become more complex – such as the inclusion of more criteria and stakeholders in the decision – it inevitably becomes less and less likely that such options can exist. The logic of cost-benefit analysis – described later on – is that we should generally choose decisions that will increase the size of the pie, regardless of how this shifts the distribution of slices. There are circumstances when this is appropriate, and other times where stakeholders may have legitimate concerns about such an approach. </w:t>
      </w:r>
    </w:p>
    <w:p w14:paraId="1A93E41C" w14:textId="66D8EAEE" w:rsidR="00D22CE3" w:rsidRPr="00F10391" w:rsidRDefault="00D22CE3" w:rsidP="00A662B3">
      <w:r w:rsidRPr="00F10391">
        <w:t xml:space="preserve">It may be easier to describe situations that are clearly bad decisions. A ‘Dutch book’ is practically the worst-case scenario – this occurs where a decision-maker makes a series of decisions that in conjunction guarantee a loss. </w:t>
      </w:r>
      <w:r w:rsidR="00850F40">
        <w:t>The etymology of this phrase has been lost to time – while it has been speculated to date back to the 17</w:t>
      </w:r>
      <w:r w:rsidR="00850F40" w:rsidRPr="0063065F">
        <w:rPr>
          <w:vertAlign w:val="superscript"/>
        </w:rPr>
        <w:t>th</w:t>
      </w:r>
      <w:r w:rsidR="00097A0C">
        <w:t xml:space="preserve"> century, the name</w:t>
      </w:r>
      <w:r w:rsidR="00850F40">
        <w:t xml:space="preserve"> first appears in the literature by the 1950’s, </w:t>
      </w:r>
      <w:r w:rsidR="00097A0C">
        <w:t>with</w:t>
      </w:r>
      <w:r w:rsidR="00850F40">
        <w:t xml:space="preserve"> no explanation of how this name came to be chosen</w:t>
      </w:r>
      <w:r w:rsidR="008533CC">
        <w:t xml:space="preserve"> </w:t>
      </w:r>
      <w:r w:rsidR="007C58DB">
        <w:fldChar w:fldCharType="begin"/>
      </w:r>
      <w:r w:rsidR="00700267">
        <w:instrText xml:space="preserve"> ADDIN EN.CITE &lt;EndNote&gt;&lt;Cite&gt;&lt;Author&gt;Hájek&lt;/Author&gt;&lt;Year&gt;2008&lt;/Year&gt;&lt;RecNum&gt;449&lt;/RecNum&gt;&lt;DisplayText&gt;[56]&lt;/DisplayText&gt;&lt;record&gt;&lt;rec-number&gt;449&lt;/rec-number&gt;&lt;foreign-keys&gt;&lt;key app="EN" db-id="sz9092dv2s5fpze9wpgx0zxgv5ar00aezrvf" timestamp="1485622143"&gt;449&lt;/key&gt;&lt;/foreign-keys&gt;&lt;ref-type name="Journal Article"&gt;17&lt;/ref-type&gt;&lt;contributors&gt;&lt;authors&gt;&lt;author&gt;Hájek, Alan&lt;/author&gt;&lt;/authors&gt;&lt;/contributors&gt;&lt;titles&gt;&lt;title&gt;Dutch book arguments&lt;/title&gt;&lt;secondary-title&gt;The Oxford handbook of rational and social choice&lt;/secondary-title&gt;&lt;/titles&gt;&lt;periodical&gt;&lt;full-title&gt;The Oxford handbook of rational and social choice&lt;/full-title&gt;&lt;/periodical&gt;&lt;pages&gt;173-195&lt;/pages&gt;&lt;dates&gt;&lt;year&gt;2008&lt;/year&gt;&lt;/dates&gt;&lt;urls&gt;&lt;/urls&gt;&lt;/record&gt;&lt;/Cite&gt;&lt;/EndNote&gt;</w:instrText>
      </w:r>
      <w:r w:rsidR="007C58DB">
        <w:fldChar w:fldCharType="separate"/>
      </w:r>
      <w:r w:rsidR="00700267">
        <w:rPr>
          <w:noProof/>
        </w:rPr>
        <w:t>[56]</w:t>
      </w:r>
      <w:r w:rsidR="007C58DB">
        <w:fldChar w:fldCharType="end"/>
      </w:r>
      <w:r w:rsidR="00850F40">
        <w:t xml:space="preserve">. </w:t>
      </w:r>
      <w:r w:rsidRPr="00F10391">
        <w:t xml:space="preserve">Imagine a scenario where you have decided to bet on an upcoming World Cup, attempting to predict a winner – and you are so determined to have a bet on the winning team to get one over on a work colleague that you end up putting the bets on all four countries that have reached the semi-finals. The relevant odds and stakes being as shown in Table 2.1. Behaving in this way would in this case only succeed in guaranteeing you a loss of £8, regardless of the winner. (Though whether this price is worth paying – given the colleague in question – is one example of where MCDA techniques can start to be useful). </w:t>
      </w:r>
    </w:p>
    <w:p w14:paraId="36A2D825" w14:textId="1AA43C03" w:rsidR="00D22CE3" w:rsidRPr="00F10391" w:rsidRDefault="00D22CE3" w:rsidP="00005AA6">
      <w:pPr>
        <w:pStyle w:val="Caption"/>
      </w:pPr>
      <w:bookmarkStart w:id="74" w:name="_Toc444180784"/>
      <w:bookmarkStart w:id="75" w:name="_Toc476241419"/>
      <w:r w:rsidRPr="00F10391">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1</w:t>
      </w:r>
      <w:r w:rsidR="000F1034">
        <w:rPr>
          <w:noProof/>
        </w:rPr>
        <w:fldChar w:fldCharType="end"/>
      </w:r>
      <w:r w:rsidRPr="00F10391">
        <w:t xml:space="preserve"> – Example of a clearly bad decision: a ‘Dutch book’ betting strategy</w:t>
      </w:r>
      <w:bookmarkEnd w:id="74"/>
      <w:bookmarkEnd w:id="75"/>
    </w:p>
    <w:tbl>
      <w:tblPr>
        <w:tblW w:w="9072" w:type="dxa"/>
        <w:tblBorders>
          <w:top w:val="single" w:sz="8" w:space="0" w:color="000000"/>
          <w:bottom w:val="single" w:sz="8" w:space="0" w:color="000000"/>
        </w:tblBorders>
        <w:tblLayout w:type="fixed"/>
        <w:tblLook w:val="04A0" w:firstRow="1" w:lastRow="0" w:firstColumn="1" w:lastColumn="0" w:noHBand="0" w:noVBand="1"/>
      </w:tblPr>
      <w:tblGrid>
        <w:gridCol w:w="1741"/>
        <w:gridCol w:w="1522"/>
        <w:gridCol w:w="2019"/>
        <w:gridCol w:w="1347"/>
        <w:gridCol w:w="2443"/>
      </w:tblGrid>
      <w:tr w:rsidR="00D22CE3" w:rsidRPr="00F10391" w14:paraId="100FF237" w14:textId="77777777" w:rsidTr="00D22CE3">
        <w:trPr>
          <w:trHeight w:val="340"/>
        </w:trPr>
        <w:tc>
          <w:tcPr>
            <w:tcW w:w="1741" w:type="dxa"/>
            <w:tcBorders>
              <w:top w:val="single" w:sz="8" w:space="0" w:color="000000"/>
              <w:bottom w:val="single" w:sz="8" w:space="0" w:color="000000"/>
            </w:tcBorders>
            <w:shd w:val="clear" w:color="auto" w:fill="auto"/>
            <w:hideMark/>
          </w:tcPr>
          <w:p w14:paraId="204AD258" w14:textId="2AB99EF4" w:rsidR="00D22CE3" w:rsidRPr="00F10391" w:rsidRDefault="00D22CE3" w:rsidP="00D24504">
            <w:pPr>
              <w:rPr>
                <w:lang w:eastAsia="en-US"/>
              </w:rPr>
            </w:pPr>
            <w:r w:rsidRPr="00F10391">
              <w:rPr>
                <w:lang w:eastAsia="en-US"/>
              </w:rPr>
              <w:t>WC country</w:t>
            </w:r>
          </w:p>
        </w:tc>
        <w:tc>
          <w:tcPr>
            <w:tcW w:w="1522" w:type="dxa"/>
            <w:tcBorders>
              <w:top w:val="single" w:sz="8" w:space="0" w:color="000000"/>
              <w:bottom w:val="single" w:sz="8" w:space="0" w:color="000000"/>
            </w:tcBorders>
            <w:shd w:val="clear" w:color="auto" w:fill="auto"/>
            <w:hideMark/>
          </w:tcPr>
          <w:p w14:paraId="717437B5" w14:textId="77777777" w:rsidR="00D22CE3" w:rsidRPr="00F10391" w:rsidRDefault="00D22CE3" w:rsidP="00D24504">
            <w:pPr>
              <w:rPr>
                <w:lang w:eastAsia="en-US"/>
              </w:rPr>
            </w:pPr>
            <w:r w:rsidRPr="00F10391">
              <w:rPr>
                <w:lang w:eastAsia="en-US"/>
              </w:rPr>
              <w:t>Offered odds</w:t>
            </w:r>
          </w:p>
        </w:tc>
        <w:tc>
          <w:tcPr>
            <w:tcW w:w="2019" w:type="dxa"/>
            <w:tcBorders>
              <w:top w:val="single" w:sz="8" w:space="0" w:color="000000"/>
              <w:bottom w:val="single" w:sz="8" w:space="0" w:color="000000"/>
            </w:tcBorders>
            <w:shd w:val="clear" w:color="auto" w:fill="auto"/>
            <w:hideMark/>
          </w:tcPr>
          <w:p w14:paraId="128A0E5F" w14:textId="77777777" w:rsidR="00D22CE3" w:rsidRPr="00F10391" w:rsidRDefault="00D22CE3" w:rsidP="00D24504">
            <w:pPr>
              <w:rPr>
                <w:lang w:eastAsia="en-US"/>
              </w:rPr>
            </w:pPr>
            <w:r w:rsidRPr="00F10391">
              <w:rPr>
                <w:lang w:eastAsia="en-US"/>
              </w:rPr>
              <w:t>Implied probability of winning</w:t>
            </w:r>
          </w:p>
        </w:tc>
        <w:tc>
          <w:tcPr>
            <w:tcW w:w="1347" w:type="dxa"/>
            <w:tcBorders>
              <w:top w:val="single" w:sz="8" w:space="0" w:color="000000"/>
              <w:bottom w:val="single" w:sz="8" w:space="0" w:color="000000"/>
            </w:tcBorders>
            <w:shd w:val="clear" w:color="auto" w:fill="auto"/>
            <w:hideMark/>
          </w:tcPr>
          <w:p w14:paraId="5556107A" w14:textId="77777777" w:rsidR="00D22CE3" w:rsidRPr="00F10391" w:rsidRDefault="00D22CE3" w:rsidP="006A5AA3">
            <w:pPr>
              <w:rPr>
                <w:lang w:eastAsia="en-US"/>
              </w:rPr>
            </w:pPr>
            <w:r w:rsidRPr="00F10391">
              <w:rPr>
                <w:lang w:eastAsia="en-US"/>
              </w:rPr>
              <w:t>Bet price</w:t>
            </w:r>
          </w:p>
        </w:tc>
        <w:tc>
          <w:tcPr>
            <w:tcW w:w="2443" w:type="dxa"/>
            <w:tcBorders>
              <w:top w:val="single" w:sz="8" w:space="0" w:color="000000"/>
              <w:bottom w:val="single" w:sz="8" w:space="0" w:color="000000"/>
            </w:tcBorders>
            <w:shd w:val="clear" w:color="auto" w:fill="auto"/>
            <w:hideMark/>
          </w:tcPr>
          <w:p w14:paraId="61C2FA7A" w14:textId="77777777" w:rsidR="00D22CE3" w:rsidRPr="00F10391" w:rsidRDefault="00D22CE3" w:rsidP="006942ED">
            <w:pPr>
              <w:rPr>
                <w:lang w:eastAsia="en-US"/>
              </w:rPr>
            </w:pPr>
            <w:r w:rsidRPr="00F10391">
              <w:rPr>
                <w:lang w:eastAsia="en-US"/>
              </w:rPr>
              <w:t>Bookie pays (if country wins)</w:t>
            </w:r>
          </w:p>
        </w:tc>
      </w:tr>
      <w:tr w:rsidR="00D22CE3" w:rsidRPr="00F10391" w14:paraId="15845FF7" w14:textId="77777777" w:rsidTr="00D22CE3">
        <w:trPr>
          <w:trHeight w:val="340"/>
        </w:trPr>
        <w:tc>
          <w:tcPr>
            <w:tcW w:w="1741" w:type="dxa"/>
            <w:shd w:val="clear" w:color="auto" w:fill="C0C0C0"/>
            <w:hideMark/>
          </w:tcPr>
          <w:p w14:paraId="4ECBDDEE" w14:textId="77777777" w:rsidR="00D22CE3" w:rsidRPr="00F10391" w:rsidRDefault="00D22CE3" w:rsidP="00494A9A">
            <w:pPr>
              <w:rPr>
                <w:lang w:eastAsia="en-US"/>
              </w:rPr>
            </w:pPr>
            <w:r w:rsidRPr="00F10391">
              <w:rPr>
                <w:lang w:eastAsia="en-US"/>
              </w:rPr>
              <w:t>New Zealand</w:t>
            </w:r>
          </w:p>
        </w:tc>
        <w:tc>
          <w:tcPr>
            <w:tcW w:w="1522" w:type="dxa"/>
            <w:tcBorders>
              <w:left w:val="nil"/>
              <w:right w:val="nil"/>
            </w:tcBorders>
            <w:shd w:val="clear" w:color="auto" w:fill="C0C0C0"/>
            <w:hideMark/>
          </w:tcPr>
          <w:p w14:paraId="7E0DC4E8" w14:textId="77777777" w:rsidR="00D22CE3" w:rsidRPr="00F10391" w:rsidRDefault="00D22CE3" w:rsidP="00494A9A">
            <w:pPr>
              <w:rPr>
                <w:lang w:eastAsia="en-US"/>
              </w:rPr>
            </w:pPr>
            <w:r w:rsidRPr="00F10391">
              <w:rPr>
                <w:lang w:eastAsia="en-US"/>
              </w:rPr>
              <w:t>Evens</w:t>
            </w:r>
          </w:p>
        </w:tc>
        <w:tc>
          <w:tcPr>
            <w:tcW w:w="2019" w:type="dxa"/>
            <w:shd w:val="clear" w:color="auto" w:fill="C0C0C0"/>
            <w:hideMark/>
          </w:tcPr>
          <w:p w14:paraId="7147E320" w14:textId="77777777" w:rsidR="00D22CE3" w:rsidRPr="00F10391" w:rsidRDefault="00D22CE3" w:rsidP="00490B5D">
            <w:pPr>
              <w:rPr>
                <w:lang w:eastAsia="en-US"/>
              </w:rPr>
            </w:pPr>
            <w:r w:rsidRPr="00F10391">
              <w:rPr>
                <w:lang w:eastAsia="en-US"/>
              </w:rPr>
              <w:t>0.5</w:t>
            </w:r>
          </w:p>
        </w:tc>
        <w:tc>
          <w:tcPr>
            <w:tcW w:w="1347" w:type="dxa"/>
            <w:tcBorders>
              <w:left w:val="nil"/>
              <w:right w:val="nil"/>
            </w:tcBorders>
            <w:shd w:val="clear" w:color="auto" w:fill="C0C0C0"/>
            <w:hideMark/>
          </w:tcPr>
          <w:p w14:paraId="6DE143B9" w14:textId="77777777" w:rsidR="00D22CE3" w:rsidRPr="00F10391" w:rsidRDefault="00D22CE3" w:rsidP="00490B5D">
            <w:pPr>
              <w:rPr>
                <w:lang w:eastAsia="en-US"/>
              </w:rPr>
            </w:pPr>
            <w:r w:rsidRPr="00F10391">
              <w:rPr>
                <w:lang w:eastAsia="en-US"/>
              </w:rPr>
              <w:t>£30</w:t>
            </w:r>
          </w:p>
        </w:tc>
        <w:tc>
          <w:tcPr>
            <w:tcW w:w="2443" w:type="dxa"/>
            <w:shd w:val="clear" w:color="auto" w:fill="C0C0C0"/>
            <w:hideMark/>
          </w:tcPr>
          <w:p w14:paraId="75F00F35" w14:textId="77777777" w:rsidR="00D22CE3" w:rsidRPr="00F10391" w:rsidRDefault="00D22CE3" w:rsidP="00A662B3">
            <w:pPr>
              <w:rPr>
                <w:lang w:eastAsia="en-US"/>
              </w:rPr>
            </w:pPr>
            <w:r w:rsidRPr="00F10391">
              <w:rPr>
                <w:lang w:eastAsia="en-US"/>
              </w:rPr>
              <w:t>£30 stake + £30</w:t>
            </w:r>
          </w:p>
        </w:tc>
      </w:tr>
      <w:tr w:rsidR="00D22CE3" w:rsidRPr="00F10391" w14:paraId="33B22150" w14:textId="77777777" w:rsidTr="00D22CE3">
        <w:trPr>
          <w:trHeight w:val="340"/>
        </w:trPr>
        <w:tc>
          <w:tcPr>
            <w:tcW w:w="1741" w:type="dxa"/>
            <w:shd w:val="clear" w:color="auto" w:fill="auto"/>
            <w:hideMark/>
          </w:tcPr>
          <w:p w14:paraId="12623603" w14:textId="77777777" w:rsidR="00D22CE3" w:rsidRPr="00F10391" w:rsidRDefault="00D22CE3" w:rsidP="00494A9A">
            <w:pPr>
              <w:rPr>
                <w:lang w:eastAsia="en-US"/>
              </w:rPr>
            </w:pPr>
            <w:r w:rsidRPr="00F10391">
              <w:rPr>
                <w:lang w:eastAsia="en-US"/>
              </w:rPr>
              <w:t>Ireland</w:t>
            </w:r>
          </w:p>
        </w:tc>
        <w:tc>
          <w:tcPr>
            <w:tcW w:w="1522" w:type="dxa"/>
            <w:shd w:val="clear" w:color="auto" w:fill="auto"/>
            <w:hideMark/>
          </w:tcPr>
          <w:p w14:paraId="5CBEDC2B" w14:textId="77777777" w:rsidR="00D22CE3" w:rsidRPr="00F10391" w:rsidRDefault="00D22CE3" w:rsidP="00494A9A">
            <w:pPr>
              <w:rPr>
                <w:lang w:eastAsia="en-US"/>
              </w:rPr>
            </w:pPr>
            <w:r w:rsidRPr="00F10391">
              <w:rPr>
                <w:lang w:eastAsia="en-US"/>
              </w:rPr>
              <w:t>2 to 1 against</w:t>
            </w:r>
          </w:p>
        </w:tc>
        <w:tc>
          <w:tcPr>
            <w:tcW w:w="2019" w:type="dxa"/>
            <w:shd w:val="clear" w:color="auto" w:fill="auto"/>
            <w:hideMark/>
          </w:tcPr>
          <w:p w14:paraId="2111379D" w14:textId="77777777" w:rsidR="00D22CE3" w:rsidRPr="00F10391" w:rsidRDefault="00D22CE3" w:rsidP="00490B5D">
            <w:pPr>
              <w:rPr>
                <w:lang w:eastAsia="en-US"/>
              </w:rPr>
            </w:pPr>
            <w:r w:rsidRPr="00F10391">
              <w:rPr>
                <w:lang w:eastAsia="en-US"/>
              </w:rPr>
              <w:t xml:space="preserve">0.33 </w:t>
            </w:r>
          </w:p>
        </w:tc>
        <w:tc>
          <w:tcPr>
            <w:tcW w:w="1347" w:type="dxa"/>
            <w:shd w:val="clear" w:color="auto" w:fill="auto"/>
            <w:hideMark/>
          </w:tcPr>
          <w:p w14:paraId="2C8F3B48" w14:textId="77777777" w:rsidR="00D22CE3" w:rsidRPr="00F10391" w:rsidRDefault="00D22CE3" w:rsidP="00490B5D">
            <w:pPr>
              <w:rPr>
                <w:lang w:eastAsia="en-US"/>
              </w:rPr>
            </w:pPr>
            <w:r w:rsidRPr="00F10391">
              <w:rPr>
                <w:lang w:eastAsia="en-US"/>
              </w:rPr>
              <w:t>£20</w:t>
            </w:r>
          </w:p>
        </w:tc>
        <w:tc>
          <w:tcPr>
            <w:tcW w:w="2443" w:type="dxa"/>
            <w:shd w:val="clear" w:color="auto" w:fill="auto"/>
            <w:hideMark/>
          </w:tcPr>
          <w:p w14:paraId="0DE20A4F" w14:textId="77777777" w:rsidR="00D22CE3" w:rsidRPr="00F10391" w:rsidRDefault="00D22CE3" w:rsidP="00A662B3">
            <w:pPr>
              <w:rPr>
                <w:lang w:eastAsia="en-US"/>
              </w:rPr>
            </w:pPr>
            <w:r w:rsidRPr="00F10391">
              <w:rPr>
                <w:lang w:eastAsia="en-US"/>
              </w:rPr>
              <w:t>£20 stake + £40</w:t>
            </w:r>
          </w:p>
        </w:tc>
      </w:tr>
      <w:tr w:rsidR="00D22CE3" w:rsidRPr="00F10391" w14:paraId="14BE123F" w14:textId="77777777" w:rsidTr="00D22CE3">
        <w:trPr>
          <w:trHeight w:val="340"/>
        </w:trPr>
        <w:tc>
          <w:tcPr>
            <w:tcW w:w="1741" w:type="dxa"/>
            <w:shd w:val="clear" w:color="auto" w:fill="C0C0C0"/>
            <w:hideMark/>
          </w:tcPr>
          <w:p w14:paraId="53B4BEC5" w14:textId="77777777" w:rsidR="00D22CE3" w:rsidRPr="00F10391" w:rsidRDefault="00D22CE3" w:rsidP="00494A9A">
            <w:pPr>
              <w:rPr>
                <w:lang w:eastAsia="en-US"/>
              </w:rPr>
            </w:pPr>
            <w:r w:rsidRPr="00F10391">
              <w:rPr>
                <w:lang w:eastAsia="en-US"/>
              </w:rPr>
              <w:t>Argentina</w:t>
            </w:r>
          </w:p>
        </w:tc>
        <w:tc>
          <w:tcPr>
            <w:tcW w:w="1522" w:type="dxa"/>
            <w:tcBorders>
              <w:left w:val="nil"/>
              <w:right w:val="nil"/>
            </w:tcBorders>
            <w:shd w:val="clear" w:color="auto" w:fill="C0C0C0"/>
            <w:hideMark/>
          </w:tcPr>
          <w:p w14:paraId="58077B0F" w14:textId="77777777" w:rsidR="00D22CE3" w:rsidRPr="00F10391" w:rsidRDefault="00D22CE3" w:rsidP="00494A9A">
            <w:pPr>
              <w:rPr>
                <w:lang w:eastAsia="en-US"/>
              </w:rPr>
            </w:pPr>
            <w:r w:rsidRPr="00F10391">
              <w:rPr>
                <w:lang w:eastAsia="en-US"/>
              </w:rPr>
              <w:t>4 to 1 against</w:t>
            </w:r>
          </w:p>
        </w:tc>
        <w:tc>
          <w:tcPr>
            <w:tcW w:w="2019" w:type="dxa"/>
            <w:shd w:val="clear" w:color="auto" w:fill="C0C0C0"/>
            <w:hideMark/>
          </w:tcPr>
          <w:p w14:paraId="3208D314" w14:textId="77777777" w:rsidR="00D22CE3" w:rsidRPr="00F10391" w:rsidRDefault="00D22CE3" w:rsidP="00490B5D">
            <w:pPr>
              <w:rPr>
                <w:lang w:eastAsia="en-US"/>
              </w:rPr>
            </w:pPr>
            <w:r w:rsidRPr="00F10391">
              <w:rPr>
                <w:lang w:eastAsia="en-US"/>
              </w:rPr>
              <w:t>0.2</w:t>
            </w:r>
          </w:p>
        </w:tc>
        <w:tc>
          <w:tcPr>
            <w:tcW w:w="1347" w:type="dxa"/>
            <w:tcBorders>
              <w:left w:val="nil"/>
              <w:right w:val="nil"/>
            </w:tcBorders>
            <w:shd w:val="clear" w:color="auto" w:fill="C0C0C0"/>
            <w:hideMark/>
          </w:tcPr>
          <w:p w14:paraId="17967DEF" w14:textId="77777777" w:rsidR="00D22CE3" w:rsidRPr="00F10391" w:rsidRDefault="00D22CE3" w:rsidP="00490B5D">
            <w:pPr>
              <w:rPr>
                <w:lang w:eastAsia="en-US"/>
              </w:rPr>
            </w:pPr>
            <w:r w:rsidRPr="00F10391">
              <w:rPr>
                <w:lang w:eastAsia="en-US"/>
              </w:rPr>
              <w:t>£12</w:t>
            </w:r>
          </w:p>
        </w:tc>
        <w:tc>
          <w:tcPr>
            <w:tcW w:w="2443" w:type="dxa"/>
            <w:shd w:val="clear" w:color="auto" w:fill="C0C0C0"/>
            <w:hideMark/>
          </w:tcPr>
          <w:p w14:paraId="036A013C" w14:textId="77777777" w:rsidR="00D22CE3" w:rsidRPr="00F10391" w:rsidRDefault="00D22CE3" w:rsidP="00A662B3">
            <w:pPr>
              <w:rPr>
                <w:lang w:eastAsia="en-US"/>
              </w:rPr>
            </w:pPr>
            <w:r w:rsidRPr="00F10391">
              <w:rPr>
                <w:lang w:eastAsia="en-US"/>
              </w:rPr>
              <w:t>£12 stake + £48</w:t>
            </w:r>
          </w:p>
        </w:tc>
      </w:tr>
      <w:tr w:rsidR="00D22CE3" w:rsidRPr="00F10391" w14:paraId="4BA51544" w14:textId="77777777" w:rsidTr="00D22CE3">
        <w:trPr>
          <w:trHeight w:val="340"/>
        </w:trPr>
        <w:tc>
          <w:tcPr>
            <w:tcW w:w="1741" w:type="dxa"/>
            <w:shd w:val="clear" w:color="auto" w:fill="auto"/>
            <w:hideMark/>
          </w:tcPr>
          <w:p w14:paraId="5ACEBE3F" w14:textId="77777777" w:rsidR="00D22CE3" w:rsidRPr="00F10391" w:rsidRDefault="00D22CE3" w:rsidP="00494A9A">
            <w:pPr>
              <w:rPr>
                <w:lang w:eastAsia="en-US"/>
              </w:rPr>
            </w:pPr>
            <w:r w:rsidRPr="00F10391">
              <w:rPr>
                <w:lang w:eastAsia="en-US"/>
              </w:rPr>
              <w:t>England</w:t>
            </w:r>
          </w:p>
        </w:tc>
        <w:tc>
          <w:tcPr>
            <w:tcW w:w="1522" w:type="dxa"/>
            <w:shd w:val="clear" w:color="auto" w:fill="auto"/>
            <w:hideMark/>
          </w:tcPr>
          <w:p w14:paraId="48655C0A" w14:textId="77777777" w:rsidR="00D22CE3" w:rsidRPr="00F10391" w:rsidRDefault="00D22CE3" w:rsidP="00494A9A">
            <w:pPr>
              <w:rPr>
                <w:lang w:eastAsia="en-US"/>
              </w:rPr>
            </w:pPr>
            <w:r w:rsidRPr="00F10391">
              <w:rPr>
                <w:lang w:eastAsia="en-US"/>
              </w:rPr>
              <w:t>9 to 1 against</w:t>
            </w:r>
          </w:p>
        </w:tc>
        <w:tc>
          <w:tcPr>
            <w:tcW w:w="2019" w:type="dxa"/>
            <w:shd w:val="clear" w:color="auto" w:fill="auto"/>
            <w:hideMark/>
          </w:tcPr>
          <w:p w14:paraId="7388CDB6" w14:textId="77777777" w:rsidR="00D22CE3" w:rsidRPr="00F10391" w:rsidRDefault="00D22CE3" w:rsidP="00490B5D">
            <w:pPr>
              <w:rPr>
                <w:lang w:eastAsia="en-US"/>
              </w:rPr>
            </w:pPr>
            <w:r w:rsidRPr="00F10391">
              <w:rPr>
                <w:lang w:eastAsia="en-US"/>
              </w:rPr>
              <w:t>0.1</w:t>
            </w:r>
          </w:p>
        </w:tc>
        <w:tc>
          <w:tcPr>
            <w:tcW w:w="1347" w:type="dxa"/>
            <w:shd w:val="clear" w:color="auto" w:fill="auto"/>
            <w:hideMark/>
          </w:tcPr>
          <w:p w14:paraId="6248B667" w14:textId="77777777" w:rsidR="00D22CE3" w:rsidRPr="00F10391" w:rsidRDefault="00D22CE3" w:rsidP="00490B5D">
            <w:pPr>
              <w:rPr>
                <w:lang w:eastAsia="en-US"/>
              </w:rPr>
            </w:pPr>
            <w:r w:rsidRPr="00F10391">
              <w:rPr>
                <w:lang w:eastAsia="en-US"/>
              </w:rPr>
              <w:t>£6</w:t>
            </w:r>
          </w:p>
        </w:tc>
        <w:tc>
          <w:tcPr>
            <w:tcW w:w="2443" w:type="dxa"/>
            <w:shd w:val="clear" w:color="auto" w:fill="auto"/>
            <w:hideMark/>
          </w:tcPr>
          <w:p w14:paraId="1A8A6DDA" w14:textId="77777777" w:rsidR="00D22CE3" w:rsidRPr="00F10391" w:rsidRDefault="00D22CE3" w:rsidP="00A662B3">
            <w:pPr>
              <w:rPr>
                <w:lang w:eastAsia="en-US"/>
              </w:rPr>
            </w:pPr>
            <w:r w:rsidRPr="00F10391">
              <w:rPr>
                <w:lang w:eastAsia="en-US"/>
              </w:rPr>
              <w:t>£6 stake + £54</w:t>
            </w:r>
          </w:p>
        </w:tc>
      </w:tr>
      <w:tr w:rsidR="00D22CE3" w:rsidRPr="00F10391" w14:paraId="3D9134CB" w14:textId="77777777" w:rsidTr="00D22CE3">
        <w:trPr>
          <w:trHeight w:val="340"/>
        </w:trPr>
        <w:tc>
          <w:tcPr>
            <w:tcW w:w="1741" w:type="dxa"/>
            <w:shd w:val="clear" w:color="auto" w:fill="C0C0C0"/>
            <w:hideMark/>
          </w:tcPr>
          <w:p w14:paraId="172DC013" w14:textId="77777777" w:rsidR="00D22CE3" w:rsidRPr="00F10391" w:rsidRDefault="00D22CE3" w:rsidP="00494A9A">
            <w:pPr>
              <w:rPr>
                <w:lang w:eastAsia="en-US"/>
              </w:rPr>
            </w:pPr>
            <w:r w:rsidRPr="00F10391">
              <w:rPr>
                <w:lang w:eastAsia="en-US"/>
              </w:rPr>
              <w:t> </w:t>
            </w:r>
          </w:p>
        </w:tc>
        <w:tc>
          <w:tcPr>
            <w:tcW w:w="1522" w:type="dxa"/>
            <w:tcBorders>
              <w:left w:val="nil"/>
              <w:right w:val="nil"/>
            </w:tcBorders>
            <w:shd w:val="clear" w:color="auto" w:fill="C0C0C0"/>
            <w:hideMark/>
          </w:tcPr>
          <w:p w14:paraId="512E61BB" w14:textId="77777777" w:rsidR="00D22CE3" w:rsidRPr="00F10391" w:rsidRDefault="00D22CE3" w:rsidP="00494A9A">
            <w:pPr>
              <w:rPr>
                <w:lang w:eastAsia="en-US"/>
              </w:rPr>
            </w:pPr>
            <w:r w:rsidRPr="00F10391">
              <w:rPr>
                <w:lang w:eastAsia="en-US"/>
              </w:rPr>
              <w:t> </w:t>
            </w:r>
          </w:p>
        </w:tc>
        <w:tc>
          <w:tcPr>
            <w:tcW w:w="2019" w:type="dxa"/>
            <w:shd w:val="clear" w:color="auto" w:fill="C0C0C0"/>
            <w:hideMark/>
          </w:tcPr>
          <w:p w14:paraId="7B68320D" w14:textId="77777777" w:rsidR="00D22CE3" w:rsidRPr="00F10391" w:rsidRDefault="00D22CE3" w:rsidP="00490B5D">
            <w:pPr>
              <w:rPr>
                <w:lang w:eastAsia="en-US"/>
              </w:rPr>
            </w:pPr>
            <w:r w:rsidRPr="00F10391">
              <w:rPr>
                <w:lang w:eastAsia="en-US"/>
              </w:rPr>
              <w:t>Total: 1.13</w:t>
            </w:r>
          </w:p>
        </w:tc>
        <w:tc>
          <w:tcPr>
            <w:tcW w:w="1347" w:type="dxa"/>
            <w:tcBorders>
              <w:left w:val="nil"/>
              <w:right w:val="nil"/>
            </w:tcBorders>
            <w:shd w:val="clear" w:color="auto" w:fill="C0C0C0"/>
            <w:hideMark/>
          </w:tcPr>
          <w:p w14:paraId="675504DF" w14:textId="77777777" w:rsidR="00D22CE3" w:rsidRPr="00F10391" w:rsidRDefault="00D22CE3" w:rsidP="00490B5D">
            <w:pPr>
              <w:rPr>
                <w:lang w:eastAsia="en-US"/>
              </w:rPr>
            </w:pPr>
            <w:r w:rsidRPr="00F10391">
              <w:rPr>
                <w:lang w:eastAsia="en-US"/>
              </w:rPr>
              <w:t>Total: £68</w:t>
            </w:r>
          </w:p>
        </w:tc>
        <w:tc>
          <w:tcPr>
            <w:tcW w:w="2443" w:type="dxa"/>
            <w:shd w:val="clear" w:color="auto" w:fill="C0C0C0"/>
            <w:hideMark/>
          </w:tcPr>
          <w:p w14:paraId="43A8CB6F" w14:textId="77777777" w:rsidR="00D22CE3" w:rsidRPr="00F10391" w:rsidRDefault="00D22CE3" w:rsidP="00A662B3">
            <w:pPr>
              <w:rPr>
                <w:lang w:eastAsia="en-US"/>
              </w:rPr>
            </w:pPr>
            <w:r w:rsidRPr="00F10391">
              <w:rPr>
                <w:lang w:eastAsia="en-US"/>
              </w:rPr>
              <w:t>Always: £60</w:t>
            </w:r>
          </w:p>
        </w:tc>
      </w:tr>
    </w:tbl>
    <w:p w14:paraId="06A336ED" w14:textId="77777777" w:rsidR="00D22CE3" w:rsidRPr="00F10391" w:rsidRDefault="00D22CE3" w:rsidP="00494A9A"/>
    <w:p w14:paraId="3E7EDA25" w14:textId="77777777" w:rsidR="00D22CE3" w:rsidRPr="00F10391" w:rsidRDefault="00D22CE3" w:rsidP="00494A9A">
      <w:r w:rsidRPr="00F10391">
        <w:t xml:space="preserve">Ideally any approach we use should ensure that such an event could not occur, ensuring rationality is incorporated into the decision-making process. The most common such approach is expected utility theory, which combines probability theory (i.e. the chance of an event occurring) and utility theory </w:t>
      </w:r>
      <w:r w:rsidRPr="00F10391">
        <w:fldChar w:fldCharType="begin"/>
      </w:r>
      <w:r w:rsidR="00700267">
        <w:instrText xml:space="preserve"> ADDIN EN.CITE &lt;EndNote&gt;&lt;Cite&gt;&lt;Author&gt;Von Neumann&lt;/Author&gt;&lt;Year&gt;1945&lt;/Year&gt;&lt;RecNum&gt;255&lt;/RecNum&gt;&lt;DisplayText&gt;[57]&lt;/DisplayText&gt;&lt;record&gt;&lt;rec-number&gt;255&lt;/rec-number&gt;&lt;foreign-keys&gt;&lt;key app="EN" db-id="sz9092dv2s5fpze9wpgx0zxgv5ar00aezrvf" timestamp="0"&gt;255&lt;/key&gt;&lt;/foreign-keys&gt;&lt;ref-type name="Journal Article"&gt;17&lt;/ref-type&gt;&lt;contributors&gt;&lt;authors&gt;&lt;author&gt;Von Neumann, John&lt;/author&gt;&lt;author&gt;Morgenstern, Oskar&lt;/author&gt;&lt;/authors&gt;&lt;/contributors&gt;&lt;titles&gt;&lt;title&gt;Theory of games and economic behavior&lt;/title&gt;&lt;secondary-title&gt;Bull. Amer. Math. Soc&lt;/secondary-title&gt;&lt;/titles&gt;&lt;pages&gt;498-504&lt;/pages&gt;&lt;volume&gt;51&lt;/volume&gt;&lt;number&gt;7&lt;/number&gt;&lt;dates&gt;&lt;year&gt;1945&lt;/year&gt;&lt;/dates&gt;&lt;urls&gt;&lt;/urls&gt;&lt;/record&gt;&lt;/Cite&gt;&lt;/EndNote&gt;</w:instrText>
      </w:r>
      <w:r w:rsidRPr="00F10391">
        <w:fldChar w:fldCharType="separate"/>
      </w:r>
      <w:r w:rsidR="00700267">
        <w:rPr>
          <w:noProof/>
        </w:rPr>
        <w:t>[57]</w:t>
      </w:r>
      <w:r w:rsidRPr="00F10391">
        <w:fldChar w:fldCharType="end"/>
      </w:r>
      <w:r w:rsidRPr="00F10391">
        <w:t xml:space="preserve">. Different alternatives can be compared against each other, and the course of action representing the highest expected return chosen. The approach is transparent and easily understandable, so those looking over it can follow the various steps of the process and hold those who made the decisions accountable where necessary. It allows a clear ordering of the approaches, where more than one choice is possible. The results are </w:t>
      </w:r>
      <w:r w:rsidRPr="00F10391">
        <w:lastRenderedPageBreak/>
        <w:t xml:space="preserve">transitive, allow dominance and ensure that the law of non-contradiction is met, ensuring coherence and consistency across decisions. This approach is in effect the predominant archetype used for structuring decisions in health </w:t>
      </w:r>
      <w:r w:rsidRPr="00F10391">
        <w:fldChar w:fldCharType="begin"/>
      </w:r>
      <w:r w:rsidR="00700267">
        <w:instrText xml:space="preserve"> ADDIN EN.CITE &lt;EndNote&gt;&lt;Cite&gt;&lt;Author&gt;Fenwick&lt;/Author&gt;&lt;Year&gt;2001&lt;/Year&gt;&lt;RecNum&gt;256&lt;/RecNum&gt;&lt;DisplayText&gt;[58]&lt;/DisplayText&gt;&lt;record&gt;&lt;rec-number&gt;256&lt;/rec-number&gt;&lt;foreign-keys&gt;&lt;key app="EN" db-id="sz9092dv2s5fpze9wpgx0zxgv5ar00aezrvf" timestamp="0"&gt;256&lt;/key&gt;&lt;/foreign-keys&gt;&lt;ref-type name="Journal Article"&gt;17&lt;/ref-type&gt;&lt;contributors&gt;&lt;authors&gt;&lt;author&gt;Fenwick, Elisabeth&lt;/author&gt;&lt;author&gt;Claxton, Karl&lt;/author&gt;&lt;author&gt;Sculpher, Mark&lt;/author&gt;&lt;/authors&gt;&lt;/contributors&gt;&lt;titles&gt;&lt;title&gt;Representing uncertainty: the role o</w:instrText>
      </w:r>
      <w:r w:rsidR="00700267">
        <w:rPr>
          <w:rFonts w:hint="eastAsia"/>
        </w:rPr>
        <w:instrText>f cost</w:instrText>
      </w:r>
      <w:r w:rsidR="00700267">
        <w:rPr>
          <w:rFonts w:hint="eastAsia"/>
        </w:rPr>
        <w:instrText>‐</w:instrText>
      </w:r>
      <w:r w:rsidR="00700267">
        <w:rPr>
          <w:rFonts w:hint="eastAsia"/>
        </w:rPr>
        <w:instrText>effectiveness acceptability curves&lt;/title&gt;&lt;secondary-title&gt;Health economics&lt;/secondary-title&gt;&lt;/titles&gt;&lt;periodical&gt;&lt;full-title&gt;Health economics&lt;/full-title&gt;&lt;/periodical&gt;&lt;pages&gt;779-787&lt;/pages&gt;&lt;volume&gt;10&lt;/volume&gt;&lt;number&gt;8&lt;/number&gt;&lt;dates&gt;&lt;year&gt;2001&lt;/ye</w:instrText>
      </w:r>
      <w:r w:rsidR="00700267">
        <w:instrText>ar&gt;&lt;/dates&gt;&lt;isbn&gt;1099-1050&lt;/isbn&gt;&lt;urls&gt;&lt;related-urls&gt;&lt;url&gt;http://onlinelibrary.wiley.com/store/10.1002/hec.635/asset/635_ftp.pdf?v=1&amp;amp;t=i4h49zt5&amp;amp;s=42371cd97401bcb04454277743a9a030c43f94f3&lt;/url&gt;&lt;url&gt;http://onlinelibrary.wiley.com/doi/10.1002/hec.635/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[58]</w:t>
      </w:r>
      <w:r w:rsidRPr="00F10391">
        <w:fldChar w:fldCharType="end"/>
      </w:r>
      <w:r w:rsidRPr="00F10391">
        <w:t xml:space="preserve">. </w:t>
      </w:r>
    </w:p>
    <w:p w14:paraId="23839230" w14:textId="77777777" w:rsidR="00D22CE3" w:rsidRPr="00F10391" w:rsidRDefault="00D22CE3" w:rsidP="00494A9A">
      <w:r w:rsidRPr="00F10391">
        <w:t xml:space="preserve">However, catastrophic losses might still be possible (if unlikely) using expected utility theory, and it may not be suitable for situations that cannot simply be explained as maximisation (or minimisation) problems. For example, a football team may be trying to win a league, which is a slightly different aim from winning every match or maximising available points; so the best strategy against a direct rival might be to avoid losing rather than maximise the chances of winning. A range of other decision-making strategies are therefore available that maximise the worst-case outcome, minimise the maximum possible regret, or make it difficult for competitors to predict your next course of action. Satisficing approaches focus on achieving minimally acceptable levels of performance on specified criteria, rather than maximising total payoffs </w:t>
      </w:r>
      <w:r w:rsidRPr="00F10391">
        <w:fldChar w:fldCharType="begin"/>
      </w:r>
      <w:r w:rsidR="00700267">
        <w:instrText xml:space="preserve"> ADDIN EN.CITE &lt;EndNote&gt;&lt;Cite&gt;&lt;Author&gt;Simon&lt;/Author&gt;&lt;Year&gt;1955&lt;/Year&gt;&lt;RecNum&gt;134&lt;/RecNum&gt;&lt;DisplayText&gt;[59]&lt;/DisplayText&gt;&lt;record&gt;&lt;rec-number&gt;134&lt;/rec-number&gt;&lt;foreign-keys&gt;&lt;key app="EN" db-id="sz9092dv2s5fpze9wpgx0zxgv5ar00aezrvf" timestamp="0"&gt;134&lt;/key&gt;&lt;/foreign-keys&gt;&lt;ref-type name="Journal Article"&gt;17&lt;/ref-type&gt;&lt;contributors&gt;&lt;authors&gt;&lt;author&gt;Simon, Herbert A&lt;/author&gt;&lt;/authors&gt;&lt;/contributors&gt;&lt;titles&gt;&lt;title&gt;A behavioral model of rational choice&lt;/title&gt;&lt;secondary-title&gt;The quarterly journal of economics&lt;/secondary-title&gt;&lt;/titles&gt;&lt;pages&gt;99-118&lt;/pages&gt;&lt;dates&gt;&lt;year&gt;1955&lt;/year&gt;&lt;/dates&gt;&lt;isbn&gt;0033-5533&lt;/isbn&gt;&lt;urls&gt;&lt;/urls&gt;&lt;/record&gt;&lt;/Cite&gt;&lt;/EndNote&gt;</w:instrText>
      </w:r>
      <w:r w:rsidRPr="00F10391">
        <w:fldChar w:fldCharType="separate"/>
      </w:r>
      <w:r w:rsidR="00700267">
        <w:rPr>
          <w:noProof/>
        </w:rPr>
        <w:t>[59]</w:t>
      </w:r>
      <w:r w:rsidRPr="00F10391">
        <w:fldChar w:fldCharType="end"/>
      </w:r>
      <w:r w:rsidRPr="00F10391">
        <w:t>. Where not all such constraints can be met, these can be balanced using goal programming approaches outlined in Section 2.5.5.</w:t>
      </w:r>
    </w:p>
    <w:p w14:paraId="098BFFA0" w14:textId="77777777" w:rsidR="00D22CE3" w:rsidRPr="00F10391" w:rsidRDefault="00D22CE3" w:rsidP="00490B5D">
      <w:pPr>
        <w:rPr>
          <w:iCs/>
        </w:rPr>
      </w:pPr>
      <w:r w:rsidRPr="00F10391">
        <w:t xml:space="preserve">Some authors have argued that it is better to focus on improving the process of decision-making, rather than the outcome </w:t>
      </w:r>
      <w:r w:rsidRPr="00F10391">
        <w:fldChar w:fldCharType="begin"/>
      </w:r>
      <w:r w:rsidR="00700267">
        <w:instrText xml:space="preserve"> ADDIN EN.CITE &lt;EndNote&gt;&lt;Cite&gt;&lt;Author&gt;Elwyn&lt;/Author&gt;&lt;Year&gt;2010&lt;/Year&gt;&lt;RecNum&gt;48&lt;/RecNum&gt;&lt;DisplayText&gt;[60, 61]&lt;/DisplayText&gt;&lt;record&gt;&lt;rec-number&gt;48&lt;/rec-number&gt;&lt;foreign-keys&gt;&lt;key app="EN" db-id="sz9092dv2s5fpze9wpgx0zxgv5ar00aezrvf" timestamp="0"&gt;48&lt;/key&gt;&lt;/</w:instrText>
      </w:r>
      <w:r w:rsidR="00700267">
        <w:rPr>
          <w:rFonts w:hint="eastAsia"/>
        </w:rPr>
        <w:instrText>foreign-keys&gt;&lt;ref-type name="Journal Article"&gt;17&lt;/ref-type&gt;&lt;contributors&gt;&lt;authors&gt;&lt;author&gt;Elwyn, Glyn&lt;/author&gt;&lt;author&gt;Miron</w:instrText>
      </w:r>
      <w:r w:rsidR="00700267">
        <w:rPr>
          <w:rFonts w:hint="eastAsia"/>
        </w:rPr>
        <w:instrText>‐</w:instrText>
      </w:r>
      <w:r w:rsidR="00700267">
        <w:rPr>
          <w:rFonts w:hint="eastAsia"/>
        </w:rPr>
        <w:instrText>Shatz, Talya&lt;/author&gt;&lt;/authors&gt;&lt;/contributors&gt;&lt;titles&gt;&lt;title&gt;Deliberation before determination: the definition and evaluation of go</w:instrText>
      </w:r>
      <w:r w:rsidR="00700267">
        <w:instrText>od decision making&lt;/title&gt;&lt;secondary-title&gt;Health Expectations&lt;/secondary-title&gt;&lt;/titles&gt;&lt;pages&gt;139-147&lt;/pages&gt;&lt;volume&gt;13&lt;/volume&gt;&lt;number&gt;2&lt;/number&gt;&lt;dates&gt;&lt;year&gt;2010&lt;/year&gt;&lt;/dates&gt;&lt;isbn&gt;1369-7625&lt;/isbn&gt;&lt;urls&gt;&lt;related-urls&gt;&lt;url&gt;http://onlinelibrary.wiley.com/store/10.1111/j.1369-7625.2009.00572.x/asset/j.1369-7625.2009.00572.x.pdf?v=1&amp;amp;t=ilnx15ej&amp;amp;s=0fa1c67bcb017889345f4b673cee45daae0cd97d&lt;/url&gt;&lt;/related-urls&gt;&lt;/urls&gt;&lt;/record&gt;&lt;/Cite&gt;&lt;Cite&gt;&lt;Author&gt;Kaltoft&lt;/Author&gt;&lt;Year&gt;2013&lt;/Year&gt;&lt;RecNum&gt;70&lt;/RecNum&gt;&lt;record&gt;&lt;rec-number&gt;70&lt;/rec-number&gt;&lt;foreign-keys&gt;&lt;key app="EN" db-id="sz9092dv2s5fpze9wpgx0zxgv5ar00aezrvf" timestamp="0"&gt;70&lt;/key&gt;&lt;/foreign-keys&gt;&lt;ref-type name="Journal Article"&gt;17&lt;/ref-type&gt;&lt;contributors&gt;&lt;authors&gt;&lt;author&gt;Kaltoft, Mette&lt;/author&gt;&lt;author&gt;Cunich, Michelle&lt;/author&gt;&lt;author&gt;Salkeld, Glenn&lt;/author&gt;&lt;author&gt;Dowie, Jack&lt;/author&gt;&lt;/authors&gt;&lt;/contributors&gt;&lt;titles&gt;&lt;title&gt;Assessing decision quality in patient-centred care requires a preference-sensitive measure&lt;/title&gt;&lt;secondary-title&gt;Journal of health services research &amp;amp; policy&lt;/secondary-title&gt;&lt;/titles&gt;&lt;periodical&gt;&lt;full-title&gt;Journal of health services research &amp;amp; policy&lt;/full-title&gt;&lt;/periodical&gt;&lt;pages&gt;1355819613511076&lt;/pages&gt;&lt;dates&gt;&lt;year&gt;2013&lt;/year&gt;&lt;/dates&gt;&lt;isbn&gt;1355-8196&lt;/isbn&gt;&lt;urls&gt;&lt;/urls&gt;&lt;/record&gt;&lt;/Cite&gt;&lt;/EndNote&gt;</w:instrText>
      </w:r>
      <w:r w:rsidRPr="00F10391">
        <w:fldChar w:fldCharType="separate"/>
      </w:r>
      <w:r w:rsidR="00700267">
        <w:rPr>
          <w:noProof/>
        </w:rPr>
        <w:t>[60, 61]</w:t>
      </w:r>
      <w:r w:rsidRPr="00F10391">
        <w:fldChar w:fldCharType="end"/>
      </w:r>
      <w:r w:rsidRPr="00F10391">
        <w:rPr>
          <w:iCs/>
        </w:rPr>
        <w:t xml:space="preserve">. Legitimacy and fairness could instead be the aim, particularly in public decision-making. Daniels and Sabin </w:t>
      </w:r>
      <w:r w:rsidRPr="00F10391">
        <w:rPr>
          <w:iCs/>
        </w:rPr>
        <w:fldChar w:fldCharType="begin"/>
      </w:r>
      <w:r w:rsidR="00700267">
        <w:rPr>
          <w:iCs/>
        </w:rPr>
        <w:instrText xml:space="preserve"> ADDIN EN.CITE &lt;EndNote&gt;&lt;Cite ExcludeAuth="1"&gt;&lt;Author&gt;Daniels&lt;/Author&gt;&lt;Year&gt;1998&lt;/Year&gt;&lt;RecNum&gt;31&lt;/RecNum&gt;&lt;DisplayText&gt;[62]&lt;/DisplayText&gt;&lt;record&gt;&lt;rec-number&gt;31&lt;/rec-number&gt;&lt;foreign-keys&gt;&lt;key app="EN" db-id="sz9092dv2s5fpze9wpgx0zxgv5ar00aezrvf" timestamp="0"&gt;31&lt;/key&gt;&lt;/foreign-keys&gt;&lt;ref-type name="Journal Article"&gt;17&lt;/ref-type&gt;&lt;contributors&gt;&lt;authors&gt;&lt;author&gt;Daniels, Norman&lt;/author&gt;&lt;author&gt;Sabin, James&lt;/author&gt;&lt;/authors&gt;&lt;/contributors&gt;&lt;titles&gt;&lt;title&gt;The ethics of accountability in managed care reform&lt;/title&gt;&lt;secondary-title&gt;Health affairs&lt;/secondary-title&gt;&lt;/titles&gt;&lt;pages&gt;50-64&lt;/pages&gt;&lt;volume&gt;17&lt;/volume&gt;&lt;number&gt;5&lt;/number&gt;&lt;dates&gt;&lt;year&gt;1998&lt;/year&gt;&lt;/dates&gt;&lt;isbn&gt;0278-2715&lt;/isbn&gt;&lt;urls&gt;&lt;related-urls&gt;&lt;url&gt;http://content.healthaffairs.org/content/17/5/50.full.pdf&lt;/url&gt;&lt;/related-urls&gt;&lt;/urls&gt;&lt;/record&gt;&lt;/Cite&gt;&lt;/EndNote&gt;</w:instrText>
      </w:r>
      <w:r w:rsidRPr="00F10391">
        <w:rPr>
          <w:iCs/>
        </w:rPr>
        <w:fldChar w:fldCharType="separate"/>
      </w:r>
      <w:r w:rsidR="00700267">
        <w:rPr>
          <w:iCs/>
          <w:noProof/>
        </w:rPr>
        <w:t>[62]</w:t>
      </w:r>
      <w:r w:rsidRPr="00F10391">
        <w:rPr>
          <w:iCs/>
        </w:rPr>
        <w:fldChar w:fldCharType="end"/>
      </w:r>
      <w:r w:rsidRPr="00F10391">
        <w:rPr>
          <w:iCs/>
        </w:rPr>
        <w:t xml:space="preserve"> specify four conditions required in order to ensure that a decision is derived fairly, in their Accountability for Reasonableness (A4R) framework:</w:t>
      </w:r>
    </w:p>
    <w:p w14:paraId="5ADA5BD7" w14:textId="77777777" w:rsidR="00D22CE3" w:rsidRPr="00F10391" w:rsidRDefault="00D22CE3" w:rsidP="00490B5D">
      <w:pPr>
        <w:pStyle w:val="ListParagraph"/>
        <w:numPr>
          <w:ilvl w:val="0"/>
          <w:numId w:val="43"/>
        </w:numPr>
      </w:pPr>
      <w:r w:rsidRPr="00F10391">
        <w:t>Publicity condition: rules and findings must be transparent.</w:t>
      </w:r>
    </w:p>
    <w:p w14:paraId="06022239" w14:textId="77777777" w:rsidR="00D22CE3" w:rsidRPr="00F10391" w:rsidRDefault="00D22CE3" w:rsidP="00A662B3">
      <w:pPr>
        <w:pStyle w:val="ListParagraph"/>
        <w:numPr>
          <w:ilvl w:val="0"/>
          <w:numId w:val="43"/>
        </w:numPr>
      </w:pPr>
      <w:r w:rsidRPr="00F10391">
        <w:t>Relevance condition: decisions must rely on evidence that fair-minded decision-makers agree are relevant.</w:t>
      </w:r>
    </w:p>
    <w:p w14:paraId="1AE79364" w14:textId="77777777" w:rsidR="00D22CE3" w:rsidRPr="00F10391" w:rsidRDefault="00D22CE3" w:rsidP="00A662B3">
      <w:pPr>
        <w:pStyle w:val="ListParagraph"/>
        <w:numPr>
          <w:ilvl w:val="0"/>
          <w:numId w:val="43"/>
        </w:numPr>
      </w:pPr>
      <w:r w:rsidRPr="00F10391">
        <w:t>Appeals condition: there should be a mechanism for challenging decisions, especially in light of new evidence.</w:t>
      </w:r>
    </w:p>
    <w:p w14:paraId="410E1D06" w14:textId="77777777" w:rsidR="00D22CE3" w:rsidRPr="00F10391" w:rsidRDefault="00D22CE3" w:rsidP="00A662B3">
      <w:pPr>
        <w:pStyle w:val="ListParagraph"/>
        <w:numPr>
          <w:ilvl w:val="0"/>
          <w:numId w:val="43"/>
        </w:numPr>
      </w:pPr>
      <w:r w:rsidRPr="00F10391">
        <w:t>Enforcement decision: some regulatory mechanism to ensure the other three conditions are met.</w:t>
      </w:r>
    </w:p>
    <w:p w14:paraId="557C43C6" w14:textId="274315D1" w:rsidR="00D22CE3" w:rsidRPr="00F10391" w:rsidRDefault="00D22CE3" w:rsidP="00005AA6">
      <w:pPr>
        <w:rPr>
          <w:lang w:eastAsia="en-US"/>
        </w:rPr>
      </w:pPr>
      <w:r w:rsidRPr="00F10391">
        <w:t xml:space="preserve">NICE has incorporated these conditions into its own processes, as laid out in its Social Value </w:t>
      </w:r>
      <w:r w:rsidR="001B7ADD">
        <w:t>Judgment</w:t>
      </w:r>
      <w:r w:rsidRPr="00F10391">
        <w:t xml:space="preserve">s document  </w:t>
      </w:r>
      <w:r w:rsidRPr="00F10391">
        <w:fldChar w:fldCharType="begin"/>
      </w:r>
      <w:r w:rsidR="00700267">
        <w:instrText xml:space="preserve"> ADDIN EN.CITE &lt;EndNote&gt;&lt;Cite ExcludeAuth="1"&gt;&lt;Author&gt;NICE&lt;/Author&gt;&lt;Year&gt;2008&lt;/Year&gt;&lt;RecNum&gt;257&lt;/RecNum&gt;&lt;DisplayText&gt;[63]&lt;/DisplayText&gt;&lt;record&gt;&lt;rec-number&gt;257&lt;/rec-number&gt;&lt;foreign-keys&gt;&lt;key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to ensure procedural justice. Their approaches are complex and quite nuanced, as befits value-laden decisions with outcomes of a life or death magnitude. </w:t>
      </w:r>
      <w:r w:rsidRPr="00F10391">
        <w:rPr>
          <w:rFonts w:eastAsia="Times New Roman"/>
          <w:bCs/>
          <w:iCs/>
          <w:lang w:eastAsia="en-US"/>
        </w:rPr>
        <w:t xml:space="preserve">Nonetheless, money and other resources are limited in the health service, and expectations and demand will always outstrip the possible supply of such services, which Aneurin Bevan himself recognised </w:t>
      </w:r>
      <w:r w:rsidRPr="00F10391">
        <w:rPr>
          <w:rFonts w:eastAsia="Times New Roman"/>
          <w:bCs/>
          <w:iCs/>
          <w:lang w:eastAsia="en-US"/>
        </w:rPr>
        <w:fldChar w:fldCharType="begin"/>
      </w:r>
      <w:r w:rsidR="00700267">
        <w:rPr>
          <w:rFonts w:eastAsia="Times New Roman"/>
          <w:bCs/>
          <w:iCs/>
          <w:lang w:eastAsia="en-US"/>
        </w:rPr>
        <w:instrText xml:space="preserve"> ADDIN EN.CITE &lt;EndNote&gt;&lt;Cite&gt;&lt;Author&gt;Rivett&lt;/Author&gt;&lt;Year&gt;2009&lt;/Year&gt;&lt;RecNum&gt;193&lt;/RecNum&gt;&lt;DisplayText&gt;[64]&lt;/DisplayText&gt;&lt;record&gt;&lt;rec-number&gt;193&lt;/rec-number&gt;&lt;foreign-keys&gt;&lt;key app="EN" db-id="sz9092dv2s5fpze9wpgx0zxgv5ar00aezrvf" timestamp="0"&gt;193&lt;/key&gt;&lt;/foreign-keys&gt;&lt;ref-type name="Web Page"&gt;12&lt;/ref-type&gt;&lt;contributors&gt;&lt;authors&gt;&lt;author&gt;Rivett, G&lt;/author&gt;&lt;/authors&gt;&lt;/contributors&gt;&lt;titles&gt;&lt;title&gt;NHS history&lt;/title&gt;&lt;/titles&gt;&lt;dates&gt;&lt;year&gt;2009&lt;/year&gt;&lt;/dates&gt;&lt;urls&gt;&lt;related-urls&gt;&lt;url&gt;http://www.nhshistory.net/shorthistory.htm&lt;/url&gt;&lt;/related-urls&gt;&lt;/urls&gt;&lt;/record&gt;&lt;/Cite&gt;&lt;/EndNote&gt;</w:instrText>
      </w:r>
      <w:r w:rsidRPr="00F10391">
        <w:rPr>
          <w:rFonts w:eastAsia="Times New Roman"/>
          <w:bCs/>
          <w:iCs/>
          <w:lang w:eastAsia="en-US"/>
        </w:rPr>
        <w:fldChar w:fldCharType="separate"/>
      </w:r>
      <w:r w:rsidR="00700267">
        <w:rPr>
          <w:rFonts w:eastAsia="Times New Roman"/>
          <w:bCs/>
          <w:iCs/>
          <w:noProof/>
          <w:lang w:eastAsia="en-US"/>
        </w:rPr>
        <w:t>[64]</w:t>
      </w:r>
      <w:r w:rsidRPr="00F10391">
        <w:rPr>
          <w:rFonts w:eastAsia="Times New Roman"/>
          <w:bCs/>
          <w:iCs/>
          <w:lang w:eastAsia="en-US"/>
        </w:rPr>
        <w:fldChar w:fldCharType="end"/>
      </w:r>
      <w:r w:rsidRPr="00F10391">
        <w:rPr>
          <w:rFonts w:eastAsia="Times New Roman"/>
          <w:bCs/>
          <w:iCs/>
          <w:lang w:eastAsia="en-US"/>
        </w:rPr>
        <w:t>. If we accept the QALY as the measure of health and that this is what we wish to maximise, it is clear that t</w:t>
      </w:r>
      <w:r w:rsidRPr="00F10391">
        <w:t xml:space="preserve">he health service should provide those interventions that proportionally have the highest positive impact on health given their use of resources – i.e. those interventions that are most cost-effective. In theory, the health service should provide as many of these interventions as possible, in order of their cost-effectiveness, until they reach the point where providing another service will displace services elsewhere in the NHS that would otherwise have had a larger effect than the approach under consideration. This point can be considered the </w:t>
      </w:r>
      <w:r w:rsidR="008A7437">
        <w:t>‘</w:t>
      </w:r>
      <w:r w:rsidRPr="00F10391">
        <w:t>cost-effectiveness threshold</w:t>
      </w:r>
      <w:r w:rsidR="008A7437">
        <w:t>’</w:t>
      </w:r>
      <w:r w:rsidRPr="00F10391">
        <w:t xml:space="preserve">. </w:t>
      </w:r>
    </w:p>
    <w:p w14:paraId="1B40DF8B" w14:textId="77777777" w:rsidR="00D22CE3" w:rsidRPr="00F10391" w:rsidRDefault="00D22CE3" w:rsidP="00D24504">
      <w:r w:rsidRPr="00F10391">
        <w:rPr>
          <w:lang w:eastAsia="en-US"/>
        </w:rPr>
        <w:t xml:space="preserve">Theoretically, it does not matter who receives these QALYs and how they are distributed </w:t>
      </w:r>
      <w:r w:rsidRPr="00F10391">
        <w:rPr>
          <w:lang w:eastAsia="en-US"/>
        </w:rPr>
        <w:fldChar w:fldCharType="begin"/>
      </w:r>
      <w:r w:rsidR="00700267">
        <w:rPr>
          <w:lang w:eastAsia="en-US"/>
        </w:rPr>
        <w:instrText xml:space="preserve"> ADDIN EN.CITE &lt;EndNote&gt;&lt;Cite&gt;&lt;Author&gt;Whitehead&lt;/Author&gt;&lt;Year&gt;2010&lt;/Year&gt;&lt;RecNum&gt;272&lt;/RecNum&gt;&lt;DisplayText&gt;[65]&lt;/DisplayText&gt;&lt;record&gt;&lt;rec-number&gt;272&lt;/rec-number&gt;&lt;foreign-keys&gt;&lt;key app="EN" db-id="sz9092dv2s5fpze9wpgx0zxgv5ar00aezrvf" timestamp="0"&gt;272&lt;/key&gt;&lt;/foreign-keys&gt;&lt;ref-type name="Journal Article"&gt;17&lt;/ref-type&gt;&lt;contributors&gt;&lt;authors&gt;&lt;author&gt;Whitehead, Sarah J&lt;/author&gt;&lt;author&gt;Ali, Shehzad&lt;/author&gt;&lt;/authors&gt;&lt;/contributors&gt;&lt;titles&gt;&lt;title&gt;Health outcomes in economic evaluation: the QALY and utilities&lt;/title&gt;&lt;secondary-title&gt;British medical bulletin&lt;/secondary-title&gt;&lt;/titles&gt;&lt;pages&gt;5-21&lt;/pages&gt;&lt;volume&gt;96&lt;/volume&gt;&lt;number&gt;1&lt;/number&gt;&lt;dates&gt;&lt;year&gt;2010&lt;/year&gt;&lt;/dates&gt;&lt;isbn&gt;0007-1420&lt;/isbn&gt;&lt;urls&gt;&lt;/urls&gt;&lt;/record&gt;&lt;/Cite&gt;&lt;/EndNote&gt;</w:instrText>
      </w:r>
      <w:r w:rsidRPr="00F10391">
        <w:rPr>
          <w:lang w:eastAsia="en-US"/>
        </w:rPr>
        <w:fldChar w:fldCharType="separate"/>
      </w:r>
      <w:r w:rsidR="00700267">
        <w:rPr>
          <w:noProof/>
          <w:lang w:eastAsia="en-US"/>
        </w:rPr>
        <w:t>[65]</w:t>
      </w:r>
      <w:r w:rsidRPr="00F10391">
        <w:rPr>
          <w:lang w:eastAsia="en-US"/>
        </w:rPr>
        <w:fldChar w:fldCharType="end"/>
      </w:r>
      <w:r w:rsidRPr="00F10391">
        <w:rPr>
          <w:lang w:eastAsia="en-US"/>
        </w:rPr>
        <w:t xml:space="preserve">, or even that identifiable patients will likely lose out (and may die) if any such approach is applied rigidly. By maximising the total number of QALYs generated by the health service, other patients somewhere else in the system will cumulatively gain even more than these patients stand to lose </w:t>
      </w:r>
      <w:r w:rsidRPr="00F10391">
        <w:rPr>
          <w:lang w:eastAsia="en-US"/>
        </w:rPr>
        <w:fldChar w:fldCharType="begin"/>
      </w:r>
      <w:r w:rsidR="00700267">
        <w:rPr>
          <w:lang w:eastAsia="en-US"/>
        </w:rPr>
        <w:instrText xml:space="preserve"> ADDIN EN.CITE &lt;EndNote&gt;&lt;Cite&gt;&lt;Author&gt;Cookson&lt;/Author&gt;&lt;Year&gt;2008&lt;/Year&gt;&lt;RecNum&gt;380&lt;/RecNum&gt;&lt;DisplayText&gt;[66]&lt;/DisplayText&gt;&lt;record&gt;&lt;rec-number&gt;380&lt;/rec-number&gt;&lt;foreign-keys&gt;&lt;key app="EN" db-id="sz9092dv2s5fpze9wpgx0zxgv5ar00aezrvf" timestamp="1457379314"&gt;380&lt;/key&gt;&lt;/foreign-keys&gt;&lt;ref-type name="Journal Article"&gt;17&lt;/ref-type&gt;&lt;contributors&gt;&lt;authors&gt;&lt;author&gt;Cookson, Richard&lt;/author&gt;&lt;author&gt;McCabe, Christopher&lt;/author&gt;&lt;author&gt;Tsuchiya, Aki&lt;/author&gt;&lt;/authors&gt;&lt;/contributors&gt;&lt;titles&gt;&lt;title&gt;Public healthcare resource allocation and the Rule of Rescue&lt;/title&gt;&lt;secondary-title&gt;Journal of Medical Ethics&lt;/secondary-title&gt;&lt;/titles&gt;&lt;periodical&gt;&lt;full-title&gt;Journal of Medical Ethics&lt;/full-title&gt;&lt;/periodical&gt;&lt;pages&gt;540-544&lt;/pages&gt;&lt;volume&gt;34&lt;/volume&gt;&lt;number&gt;7&lt;/number&gt;&lt;dates&gt;&lt;year&gt;2008&lt;/year&gt;&lt;/dates&gt;&lt;isbn&gt;1473-4257&lt;/isbn&gt;&lt;urls&gt;&lt;related-urls&gt;&lt;url&gt;http://jme.bmj.com/content/34/7/540.long&lt;/url&gt;&lt;/related-urls&gt;&lt;/urls&gt;&lt;/record&gt;&lt;/Cite&gt;&lt;/EndNote&gt;</w:instrText>
      </w:r>
      <w:r w:rsidRPr="00F10391">
        <w:rPr>
          <w:lang w:eastAsia="en-US"/>
        </w:rPr>
        <w:fldChar w:fldCharType="separate"/>
      </w:r>
      <w:r w:rsidR="00700267">
        <w:rPr>
          <w:noProof/>
          <w:lang w:eastAsia="en-US"/>
        </w:rPr>
        <w:t>[66]</w:t>
      </w:r>
      <w:r w:rsidRPr="00F10391">
        <w:rPr>
          <w:lang w:eastAsia="en-US"/>
        </w:rPr>
        <w:fldChar w:fldCharType="end"/>
      </w:r>
      <w:r w:rsidRPr="00F10391">
        <w:rPr>
          <w:lang w:eastAsia="en-US"/>
        </w:rPr>
        <w:t>.</w:t>
      </w:r>
    </w:p>
    <w:p w14:paraId="22CC9E75" w14:textId="0A7FD283" w:rsidR="00D22CE3" w:rsidRPr="00F10391" w:rsidRDefault="00D22CE3" w:rsidP="00D24504">
      <w:pPr>
        <w:ind w:left="720"/>
      </w:pPr>
      <w:r w:rsidRPr="00F10391">
        <w:lastRenderedPageBreak/>
        <w:t xml:space="preserve">“There is an ethical dimension to this, as there was once a tendency among health professionals to see costs as being morally unimportant–a matter for the uncaring professions: the bean counters and the bureaucrats. In this sense, economists see themselves as standing up for the ‘silent majority’: the diffuse and unidentifiable groups of patients whose care is delayed, diluted, deterred, or denied whenever decisions are made to fund a costly new technology that will be loudly supported by the relevant industry and professional and patient groups” </w:t>
      </w:r>
      <w:r w:rsidRPr="00F10391">
        <w:fldChar w:fldCharType="begin"/>
      </w:r>
      <w:r w:rsidR="00700267">
        <w:instrText xml:space="preserve"> ADDIN EN.CITE &lt;EndNote&gt;&lt;Cite&gt;&lt;Author&gt;Williams&lt;/Author&gt;&lt;Year&gt;2006&lt;/Year&gt;&lt;RecNum&gt;157&lt;/RecNum&gt;&lt;DisplayText&gt;[67]&lt;/DisplayText&gt;&lt;record&gt;&lt;rec-number&gt;157&lt;/rec-number&gt;&lt;foreign-keys&gt;&lt;key app="EN" db-id="sz9092dv2s5fpze9wpgx0zxgv5ar00aezrvf" timestamp="0"&gt;157&lt;/key&gt;&lt;/foreign-keys&gt;&lt;ref-type name="Journal Article"&gt;17&lt;/ref-type&gt;&lt;contributors&gt;&lt;authors&gt;&lt;author&gt;Williams, Alan H&lt;/author&gt;&lt;author&gt;Cookson, Richard A&lt;/author&gt;&lt;/authors&gt;&lt;/contributors&gt;&lt;titles&gt;&lt;title&gt;Equity–efficiency trade-offs in health technology assessment&lt;/title&gt;&lt;secondary-title&gt;International journal of technology assessment in health care&lt;/secondary-title&gt;&lt;/titles&gt;&lt;pages&gt;2&lt;/pages&gt;&lt;volume&gt;22&lt;/volume&gt;&lt;number&gt;01&lt;/number&gt;&lt;dates&gt;&lt;year&gt;2006&lt;/year&gt;&lt;/dates&gt;&lt;isbn&gt;1471-6348&lt;/isbn&gt;&lt;urls&gt;&lt;/urls&gt;&lt;/record&gt;&lt;/Cite&gt;&lt;/EndNote&gt;</w:instrText>
      </w:r>
      <w:r w:rsidRPr="00F10391">
        <w:fldChar w:fldCharType="separate"/>
      </w:r>
      <w:r w:rsidR="00700267">
        <w:rPr>
          <w:noProof/>
        </w:rPr>
        <w:t>[67]</w:t>
      </w:r>
      <w:r w:rsidRPr="00F10391">
        <w:fldChar w:fldCharType="end"/>
      </w:r>
      <w:r w:rsidRPr="00F10391">
        <w:t xml:space="preserve"> (</w:t>
      </w:r>
      <w:r w:rsidR="008533CC">
        <w:t>p.</w:t>
      </w:r>
      <w:r w:rsidRPr="00F10391">
        <w:t>5)</w:t>
      </w:r>
      <w:r w:rsidR="00EF7608">
        <w:t>.</w:t>
      </w:r>
    </w:p>
    <w:p w14:paraId="1EE7A282" w14:textId="77777777" w:rsidR="00D22CE3" w:rsidRPr="00F10391" w:rsidRDefault="00D22CE3" w:rsidP="00494A9A">
      <w:pPr>
        <w:rPr>
          <w:lang w:eastAsia="en-US"/>
        </w:rPr>
      </w:pPr>
      <w:r w:rsidRPr="00F10391">
        <w:t xml:space="preserve">In practice there are often complications, values to be considered and ethical concerns </w:t>
      </w:r>
      <w:r w:rsidRPr="00F10391">
        <w:fldChar w:fldCharType="begin"/>
      </w:r>
      <w:r w:rsidR="00700267">
        <w:instrText xml:space="preserve"> ADDIN EN.CITE &lt;EndNote&gt;&lt;Cite&gt;&lt;Author&gt;Airoldi&lt;/Author&gt;&lt;Year&gt;2011&lt;/Year&gt;&lt;RecNum&gt;3&lt;/RecNum&gt;&lt;DisplayText&gt;[68]&lt;/DisplayText&gt;&lt;record&gt;&lt;rec-number&gt;3&lt;/rec-number&gt;&lt;foreign-keys&gt;&lt;key app="EN" db-id="sz9092dv2s5fpze9wpgx0zxgv5ar00aezrvf" timestamp="0"&gt;3&lt;/key&gt;&lt;/foreign-keys&gt;&lt;ref-type name="Journal Article"&gt;17&lt;/ref-type&gt;&lt;contributors&gt;&lt;authors&gt;&lt;author&gt;Airoldi, M&lt;/author&gt;&lt;author&gt;Morton, A&lt;/author&gt;&lt;author&gt;Smith, J&lt;/author&gt;&lt;author&gt;Bevan, G&lt;/author&gt;&lt;/authors&gt;&lt;/contributors&gt;&lt;titles&gt;&lt;title&gt;Healthcare prioritisation at the local level: a socio-technical approach&lt;/title&gt;&lt;secondary-title&gt;Priority-setting for Population Health Working Paper Series, Working Paper&lt;/secondary-title&gt;&lt;/titles&gt;&lt;number&gt;7&lt;/number&gt;&lt;dates&gt;&lt;year&gt;2011&lt;/year&gt;&lt;/dates&gt;&lt;urls&gt;&lt;/urls&gt;&lt;/record&gt;&lt;/Cite&gt;&lt;/EndNote&gt;</w:instrText>
      </w:r>
      <w:r w:rsidRPr="00F10391">
        <w:fldChar w:fldCharType="separate"/>
      </w:r>
      <w:r w:rsidR="00700267">
        <w:rPr>
          <w:noProof/>
        </w:rPr>
        <w:t>[68]</w:t>
      </w:r>
      <w:r w:rsidRPr="00F10391">
        <w:fldChar w:fldCharType="end"/>
      </w:r>
      <w:r w:rsidRPr="00F10391">
        <w:t xml:space="preserve">. If, by following this approach, the NHS started exclusively or disproportionately catering for one group in society at the expense of others, the public may find this to be unacceptable. Providing approaches that make improvements to quality of life – at the expense of other approaches that save lives – is perennially controversial, regardless of the costs involved </w:t>
      </w:r>
      <w:r w:rsidRPr="00F10391">
        <w:fldChar w:fldCharType="begin"/>
      </w:r>
      <w:r w:rsidR="00700267">
        <w:instrText xml:space="preserve"> ADDIN EN.CITE &lt;EndNote&gt;&lt;Cite&gt;&lt;Author&gt;Cookson&lt;/Author&gt;&lt;Year&gt;2008&lt;/Year&gt;&lt;RecNum&gt;380&lt;/RecNum&gt;&lt;DisplayText&gt;[66]&lt;/DisplayText&gt;&lt;record&gt;&lt;rec-number&gt;380&lt;/rec-number&gt;&lt;foreign-keys&gt;&lt;key app="EN" db-id="sz9092dv2s5fpze9wpgx0zxgv5ar00aezrvf" timestamp="1457379314"&gt;380&lt;/key&gt;&lt;/foreign-keys&gt;&lt;ref-type name="Journal Article"&gt;17&lt;/ref-type&gt;&lt;contributors&gt;&lt;authors&gt;&lt;author&gt;Cookson, Richard&lt;/author&gt;&lt;author&gt;McCabe, Christopher&lt;/author&gt;&lt;author&gt;Tsuchiya, Aki&lt;/author&gt;&lt;/authors&gt;&lt;/contributors&gt;&lt;titles&gt;&lt;title&gt;Public healthcare resource allocation and the Rule of Rescue&lt;/title&gt;&lt;secondary-title&gt;Journal of Medical Ethics&lt;/secondary-title&gt;&lt;/titles&gt;&lt;periodical&gt;&lt;full-title&gt;Journal of Medical Ethics&lt;/full-title&gt;&lt;/periodical&gt;&lt;pages&gt;540-544&lt;/pages&gt;&lt;volume&gt;34&lt;/volume&gt;&lt;number&gt;7&lt;/number&gt;&lt;dates&gt;&lt;year&gt;2008&lt;/year&gt;&lt;/dates&gt;&lt;isbn&gt;1473-4257&lt;/isbn&gt;&lt;urls&gt;&lt;related-urls&gt;&lt;url&gt;http://jme.bmj.com/content/34/7/540.long&lt;/url&gt;&lt;/related-urls&gt;&lt;/urls&gt;&lt;/record&gt;&lt;/Cite&gt;&lt;/EndNote&gt;</w:instrText>
      </w:r>
      <w:r w:rsidRPr="00F10391">
        <w:fldChar w:fldCharType="separate"/>
      </w:r>
      <w:r w:rsidR="00700267">
        <w:rPr>
          <w:noProof/>
        </w:rPr>
        <w:t>[66]</w:t>
      </w:r>
      <w:r w:rsidRPr="00F10391">
        <w:fldChar w:fldCharType="end"/>
      </w:r>
      <w:r w:rsidRPr="00F10391">
        <w:t xml:space="preserve">. This preference to save lives over all else is referred to as the ‘rule of rescue’. There are no right answers to such issues, and choosing the appropriate balance between competing aims requires open debate at a societal level, through the media, democratic processes and elsewhere </w:t>
      </w:r>
      <w:r w:rsidRPr="00F10391">
        <w:fldChar w:fldCharType="begin"/>
      </w:r>
      <w:r w:rsidR="00700267">
        <w:instrText xml:space="preserve"> ADDIN EN.CITE &lt;EndNote&gt;&lt;Cite&gt;&lt;Author&gt;Council&lt;/Author&gt;&lt;Year&gt;2006&lt;/Year&gt;&lt;RecNum&gt;381&lt;/RecNum&gt;&lt;DisplayText&gt;[69]&lt;/DisplayText&gt;&lt;record&gt;&lt;rec-number&gt;381&lt;/rec-number&gt;&lt;foreign-keys&gt;&lt;key app="EN" db-id="sz9092dv2s5fpze9wpgx0zxgv5ar00aezrvf" timestamp="1457379427"&gt;381&lt;/key&gt;&lt;/foreign-keys&gt;&lt;ref-type name="Journal Article"&gt;17&lt;/ref-type&gt;&lt;contributors&gt;&lt;authors&gt;&lt;author&gt;Council, NICE Citizens&lt;/author&gt;&lt;/authors&gt;&lt;/contributors&gt;&lt;titles&gt;&lt;title&gt;NICE Citizens Council Report: Rule of Rescue&lt;/title&gt;&lt;secondary-title&gt;January. Available from http://www.nice.org.uk/Media/Default/Get-involved/Citizens-Council/Reports/CCReport06RuleOfRescue.pdf&lt;/secondary-title&gt;&lt;/titles&gt;&lt;periodical&gt;&lt;full-title&gt;January. Available from http://www.nice.org.uk/Media/Default/Get-involved/Citizens-Council/Reports/CCReport06RuleOfRescue.pdf&lt;/full-title&gt;&lt;/periodical&gt;&lt;dates&gt;&lt;year&gt;2006&lt;/year&gt;&lt;/dates&gt;&lt;urls&gt;&lt;/urls&gt;&lt;/record&gt;&lt;/Cite&gt;&lt;/EndNote&gt;</w:instrText>
      </w:r>
      <w:r w:rsidRPr="00F10391">
        <w:fldChar w:fldCharType="separate"/>
      </w:r>
      <w:r w:rsidR="00700267">
        <w:rPr>
          <w:noProof/>
        </w:rPr>
        <w:t>[69]</w:t>
      </w:r>
      <w:r w:rsidRPr="00F10391">
        <w:fldChar w:fldCharType="end"/>
      </w:r>
      <w:r w:rsidRPr="00F10391">
        <w:t>.</w:t>
      </w:r>
    </w:p>
    <w:p w14:paraId="37520AF3" w14:textId="77777777" w:rsidR="00D22CE3" w:rsidRPr="00F10391" w:rsidRDefault="00D22CE3" w:rsidP="00494A9A">
      <w:r w:rsidRPr="00F10391">
        <w:t xml:space="preserve">QALYs do not necessarily represent all aspects of health in practice. Members of the public may also expect more than health from the health service, such as being treated with dignity or that, all else being equal, the vast resources of the NHS are employed in such a way that adequately considers social equality and other societal issues. Decision-makers, including NICE, are known to take a range of such factors into account (described in Chapters 4 and 5), and even the formation of the Cancer Drugs Fund implies that the body politic consider certain illnesses more important than others. </w:t>
      </w:r>
    </w:p>
    <w:p w14:paraId="617AEF2E" w14:textId="77777777" w:rsidR="00D22CE3" w:rsidRPr="00F10391" w:rsidRDefault="00D22CE3" w:rsidP="00490B5D">
      <w:r w:rsidRPr="00F10391">
        <w:t xml:space="preserve">The use of a given treatment for a given condition is also not always as neat as we might initially assume. </w:t>
      </w:r>
      <w:r w:rsidRPr="00F10391">
        <w:rPr>
          <w:lang w:eastAsia="en-US"/>
        </w:rPr>
        <w:t xml:space="preserve">It may be unrealistic to rank all possible combinations of treatments and conditions in this way, and some rankings may lack face validity </w:t>
      </w:r>
      <w:r w:rsidRPr="00F10391">
        <w:fldChar w:fldCharType="begin"/>
      </w:r>
      <w:r w:rsidR="00700267">
        <w:instrText xml:space="preserve"> ADDIN EN.CITE &lt;EndNote&gt;&lt;Cite&gt;&lt;Author&gt;Blumstein&lt;/Author&gt;&lt;Year&gt;1997&lt;/Year&gt;&lt;RecNum&gt;14&lt;/RecNum&gt;&lt;DisplayText&gt;[70]&lt;/DisplayText&gt;&lt;record&gt;&lt;rec-number&gt;14&lt;/rec-number&gt;&lt;foreign-keys&gt;&lt;key app="EN" db-id="sz9092dv2s5fpze9wpgx0zxgv5ar00aezrvf" timestamp="0"&gt;14&lt;/key&gt;&lt;/foreign-keys&gt;&lt;ref-type name="Journal Article"&gt;17&lt;/ref-type&gt;&lt;contributors&gt;&lt;authors&gt;&lt;author&gt;Blumstein, James F&lt;/author&gt;&lt;/authors&gt;&lt;/contributors&gt;&lt;titles&gt;&lt;title&gt;The Oregon experiment: the role of cost-benefit analysis in the allocation of Medicaid funds&lt;/title&gt;&lt;secondary-title&gt;Social science &amp;amp; medicine&lt;/secondary-title&gt;&lt;/titles&gt;&lt;periodical&gt;&lt;full-title&gt;Social science &amp;amp; medicine&lt;/full-title&gt;&lt;/periodical&gt;&lt;pages&gt;545-554&lt;/pages&gt;&lt;volume&gt;45&lt;/volume&gt;&lt;number&gt;4&lt;/number&gt;&lt;dates&gt;&lt;year&gt;1997&lt;/year&gt;&lt;/dates&gt;&lt;isbn&gt;0277-9536&lt;/isbn&gt;&lt;urls&gt;&lt;related-urls&gt;&lt;url&gt;http://www.sciencedirect.com/science/article/pii/S0277953696003954&lt;/url&gt;&lt;/related-urls&gt;&lt;/urls&gt;&lt;/record&gt;&lt;/Cite&gt;&lt;/EndNote&gt;</w:instrText>
      </w:r>
      <w:r w:rsidRPr="00F10391">
        <w:fldChar w:fldCharType="separate"/>
      </w:r>
      <w:r w:rsidR="00700267">
        <w:rPr>
          <w:noProof/>
        </w:rPr>
        <w:t>[70]</w:t>
      </w:r>
      <w:r w:rsidRPr="00F10391">
        <w:fldChar w:fldCharType="end"/>
      </w:r>
      <w:r w:rsidRPr="00F10391">
        <w:t>.</w:t>
      </w:r>
      <w:r w:rsidRPr="00F10391">
        <w:rPr>
          <w:lang w:eastAsia="en-US"/>
        </w:rPr>
        <w:t xml:space="preserve"> </w:t>
      </w:r>
      <w:r w:rsidRPr="00F10391">
        <w:t xml:space="preserve">The effectiveness of an intervention may not be independent of the availability of other treatments, and may work better when combined with another approach (which could theoretically itself be ruled out on cost-effectiveness grounds). Treatments may be cost-effective only for certain subgroups of patients, but it can be difficult in practice to restrict the prescription of the treatment to other groups once the genie is out of the bottle. Finally, not all new interventions are tested for cost-effectiveness (and neither were those that predate NICE) so it is difficult to know for certain how cost-effective an intervention is in practice, as it is not clear which services are necessarily being displaced when a new treatment is made available. </w:t>
      </w:r>
    </w:p>
    <w:p w14:paraId="4436AEEC" w14:textId="64BBA894" w:rsidR="00D22CE3" w:rsidRPr="00F10391" w:rsidRDefault="00D22CE3" w:rsidP="00490B5D">
      <w:pPr>
        <w:rPr>
          <w:u w:val="single"/>
        </w:rPr>
      </w:pPr>
      <w:r w:rsidRPr="00F10391">
        <w:t>Normative health economics incorporates such concerns, considering how best we should distribute resources, given the opportunity costs in terms of health and other issues. Money, in this context, is simply a means to an end. Using a health economic approach allows a decision-maker to identify possible choices available to them, given the limits imposed by their overall budget. Each of these possible decisions may no doubt have its own attractions, but the decision-maker can at least be fully informed as to the best option available to them. Friedrich </w:t>
      </w:r>
      <w:r w:rsidRPr="00F10391">
        <w:rPr>
          <w:bCs/>
        </w:rPr>
        <w:t>Hayek</w:t>
      </w:r>
      <w:r w:rsidRPr="00F10391">
        <w:t> </w:t>
      </w:r>
      <w:r w:rsidRPr="00F10391">
        <w:fldChar w:fldCharType="begin"/>
      </w:r>
      <w:r w:rsidR="00700267">
        <w:instrText xml:space="preserve"> ADDIN EN.CITE &lt;EndNote&gt;&lt;Cite ExcludeAuth="1"&gt;&lt;Author&gt;Hayek&lt;/Author&gt;&lt;Year&gt;2013&lt;/Year&gt;&lt;RecNum&gt;58&lt;/RecNum&gt;&lt;DisplayText&gt;[71]&lt;/DisplayText&gt;&lt;record&gt;&lt;rec-number&gt;58&lt;/rec-number&gt;&lt;foreign-keys&gt;&lt;key app="EN" db-id="sz9092dv2s5fpze9wpgx0zxgv5ar00aezrvf" timestamp="0"&gt;58&lt;/key&gt;&lt;/foreign-keys&gt;&lt;ref-type name="Book"&gt;6&lt;/ref-type&gt;&lt;contributors&gt;&lt;authors&gt;&lt;author&gt;Hayek, Friedrich August&lt;/author&gt;&lt;/authors&gt;&lt;/contributors&gt;&lt;titles&gt;&lt;title&gt;The constitution of liberty: The definitive edition&lt;/title&gt;&lt;/titles&gt;&lt;volume&gt;17&lt;/volume&gt;&lt;dates&gt;&lt;year&gt;2013&lt;/year&gt;&lt;/dates&gt;&lt;publisher&gt;Routledge&lt;/publisher&gt;&lt;isbn&gt;1135631522&lt;/isbn&gt;&lt;urls&gt;&lt;/urls&gt;&lt;/record&gt;&lt;/Cite&gt;&lt;/EndNote&gt;</w:instrText>
      </w:r>
      <w:r w:rsidRPr="00F10391">
        <w:fldChar w:fldCharType="separate"/>
      </w:r>
      <w:r w:rsidR="00700267">
        <w:rPr>
          <w:noProof/>
        </w:rPr>
        <w:t>[71]</w:t>
      </w:r>
      <w:r w:rsidRPr="00F10391">
        <w:fldChar w:fldCharType="end"/>
      </w:r>
      <w:r w:rsidR="00C126B5">
        <w:t xml:space="preserve"> (p.87)</w:t>
      </w:r>
      <w:r w:rsidRPr="00F10391">
        <w:t xml:space="preserve"> described economic considerations as “merely those by which we reconcile and adjust our different purposes, none of which, in the last resort, are economic (except for those of the miser or the man for whom making money has become an end in itself)”, while Aristotle wrote on a similar theme 2300 years earlier that “wealth is evidently not the good we are seeking; for it is merely useful for the sake of something else” </w:t>
      </w:r>
      <w:r w:rsidR="00A662B3">
        <w:fldChar w:fldCharType="begin"/>
      </w:r>
      <w:r w:rsidR="00700267">
        <w:instrText xml:space="preserve"> ADDIN EN.CITE &lt;EndNote&gt;&lt;Cite&gt;&lt;Author&gt;Sen&lt;/Author&gt;&lt;Year&gt;1999&lt;/Year&gt;&lt;RecNum&gt;450&lt;/RecNum&gt;&lt;DisplayText&gt;[72]&lt;/DisplayText&gt;&lt;record&gt;&lt;rec-number&gt;450&lt;/rec-number&gt;&lt;foreign-keys&gt;&lt;key app="EN" db-id="sz9092dv2s5fpze9wpgx0zxgv5ar00aezrvf" timestamp="1485628991"&gt;450&lt;/key&gt;&lt;/foreign-keys&gt;&lt;ref-type name="Journal Article"&gt;17&lt;/ref-type&gt;&lt;contributors&gt;&lt;authors&gt;&lt;author&gt;Sen, Amartya&lt;/author&gt;&lt;/authors&gt;&lt;/contributors&gt;&lt;titles&gt;&lt;title&gt;Critical reflection. Health and development&lt;/title&gt;&lt;secondary-title&gt;Bulletin of the World Health Organization&lt;/secondary-title&gt;&lt;/titles&gt;&lt;periodical&gt;&lt;full-title&gt;Bulletin of the World Health Organization&lt;/full-title&gt;&lt;/periodical&gt;&lt;volume&gt;77&lt;/volume&gt;&lt;number&gt;8&lt;/number&gt;&lt;dates&gt;&lt;year&gt;1999&lt;/year&gt;&lt;/dates&gt;&lt;urls&gt;&lt;/urls&gt;&lt;/record&gt;&lt;/Cite&gt;&lt;/EndNote&gt;</w:instrText>
      </w:r>
      <w:r w:rsidR="00A662B3">
        <w:fldChar w:fldCharType="separate"/>
      </w:r>
      <w:r w:rsidR="00700267">
        <w:rPr>
          <w:noProof/>
        </w:rPr>
        <w:t>[72]</w:t>
      </w:r>
      <w:r w:rsidR="00A662B3">
        <w:fldChar w:fldCharType="end"/>
      </w:r>
      <w:r w:rsidR="00A662B3">
        <w:t xml:space="preserve"> (p.619)</w:t>
      </w:r>
      <w:r w:rsidRPr="00F10391">
        <w:t xml:space="preserve">. </w:t>
      </w:r>
      <w:r w:rsidRPr="00F10391">
        <w:lastRenderedPageBreak/>
        <w:t>Health economic settings are not an exception to this and allow the health services to deploy resources in a suitable way to best meet their aims.</w:t>
      </w:r>
    </w:p>
    <w:p w14:paraId="00E16D34" w14:textId="0E3F306D" w:rsidR="00D22CE3" w:rsidRPr="00F10391" w:rsidRDefault="00D22CE3" w:rsidP="00490B5D">
      <w:r w:rsidRPr="00F10391">
        <w:t xml:space="preserve">Quantitative models that can be used to structure decisions in this way, including health economic approaches, thus have a number of advantages over </w:t>
      </w:r>
      <w:r w:rsidRPr="00F10391">
        <w:rPr>
          <w:i/>
        </w:rPr>
        <w:t>ad hoc</w:t>
      </w:r>
      <w:r w:rsidRPr="00F10391">
        <w:t xml:space="preserve"> decision techniques and can ameliorate the fact that “humans are quite bad at making complex, unaided decisions” </w:t>
      </w:r>
      <w:r w:rsidRPr="00F10391">
        <w:fldChar w:fldCharType="begin"/>
      </w:r>
      <w:r w:rsidR="00700267">
        <w:instrText xml:space="preserve"> ADDIN EN.CITE &lt;EndNote&gt;&lt;Cite&gt;&lt;Author&gt;Slovic&lt;/Author&gt;&lt;Year&gt;1977&lt;/Year&gt;&lt;RecNum&gt;135&lt;/RecNum&gt;&lt;DisplayText&gt;[73]&lt;/DisplayText&gt;&lt;record&gt;&lt;rec-number&gt;135&lt;/rec-number&gt;&lt;foreign-keys&gt;&lt;key app="EN" db-id="sz9092dv2s5fpze9wpgx0zxgv5ar00aezrvf" timestamp="0"&gt;135&lt;/key&gt;&lt;/foreign-keys&gt;&lt;ref-type name="Journal Article"&gt;17&lt;/ref-type&gt;&lt;contributors&gt;&lt;authors&gt;&lt;author&gt;Slovic, Paul&lt;/author&gt;&lt;author&gt;Fischhoff, Baruch&lt;/author&gt;&lt;author&gt;Lichtenstein, Sarah&lt;/author&gt;&lt;/authors&gt;&lt;/contributors&gt;&lt;titles&gt;&lt;title&gt;Behavioral decision theory&lt;/title&gt;&lt;secondary-title&gt;Annual review of psychology&lt;/secondary-title&gt;&lt;/titles&gt;&lt;pages&gt;1-39&lt;/pages&gt;&lt;volume&gt;28&lt;/volume&gt;&lt;number&gt;1&lt;/number&gt;&lt;dates&gt;&lt;year&gt;1977&lt;/year&gt;&lt;/dates&gt;&lt;isbn&gt;0066-4308&lt;/isbn&gt;&lt;urls&gt;&lt;/urls&gt;&lt;/record&gt;&lt;/Cite&gt;&lt;/EndNote&gt;</w:instrText>
      </w:r>
      <w:r w:rsidRPr="00F10391">
        <w:fldChar w:fldCharType="separate"/>
      </w:r>
      <w:r w:rsidR="00700267">
        <w:rPr>
          <w:noProof/>
        </w:rPr>
        <w:t>[73]</w:t>
      </w:r>
      <w:r w:rsidRPr="00F10391">
        <w:fldChar w:fldCharType="end"/>
      </w:r>
      <w:r w:rsidR="00220BD6">
        <w:t xml:space="preserve"> (p.22).</w:t>
      </w:r>
    </w:p>
    <w:p w14:paraId="632712B8" w14:textId="0081629C" w:rsidR="00D22CE3" w:rsidRPr="00F10391" w:rsidRDefault="00D22CE3" w:rsidP="00A662B3">
      <w:r w:rsidRPr="00F10391">
        <w:t xml:space="preserve">Economics is ultimately about the studying of decisions, the incentives behind them and their consequences </w:t>
      </w:r>
      <w:r w:rsidRPr="00F10391">
        <w:fldChar w:fldCharType="begin"/>
      </w:r>
      <w:r w:rsidR="00700267">
        <w:instrText xml:space="preserve"> ADDIN EN.CITE &lt;EndNote&gt;&lt;Cite&gt;&lt;Author&gt;Messonnier&lt;/Author&gt;&lt;Year&gt;2006&lt;/Year&gt;&lt;RecNum&gt;424&lt;/RecNum&gt;&lt;DisplayText&gt;[74]&lt;/DisplayText&gt;&lt;record&gt;&lt;rec-number&gt;424&lt;/rec-number&gt;&lt;foreign-keys&gt;&lt;key app="EN" db-id="sz9092dv2s5fpze9wpgx0zxgv5ar00aezrvf" timestamp="1461072397"&gt;424&lt;/key&gt;&lt;/foreign-keys&gt;&lt;ref-type name="Journal Article"&gt;17&lt;/ref-type&gt;&lt;contributors&gt;&lt;authors&gt;&lt;author&gt;Messonnier, ML&lt;/author&gt;&lt;/authors&gt;&lt;/contributors&gt;&lt;titles&gt;&lt;title&gt;Economics and public health at CDC&lt;/title&gt;&lt;secondary-title&gt;MMWR. Morbidity and mortality weekly report&lt;/secondary-title&gt;&lt;/titles&gt;&lt;periodical&gt;&lt;full-title&gt;MMWR. Morbidity and mortality weekly report&lt;/full-title&gt;&lt;/periodical&gt;&lt;pages&gt;17-19&lt;/pages&gt;&lt;volume&gt;55&lt;/volume&gt;&lt;dates&gt;&lt;year&gt;2006&lt;/year&gt;&lt;/dates&gt;&lt;isbn&gt;0149-2195&lt;/isbn&gt;&lt;urls&gt;&lt;/urls&gt;&lt;/record&gt;&lt;/Cite&gt;&lt;/EndNote&gt;</w:instrText>
      </w:r>
      <w:r w:rsidRPr="00F10391">
        <w:fldChar w:fldCharType="separate"/>
      </w:r>
      <w:r w:rsidR="00700267">
        <w:rPr>
          <w:noProof/>
        </w:rPr>
        <w:t>[74]</w:t>
      </w:r>
      <w:r w:rsidRPr="00F10391">
        <w:fldChar w:fldCharType="end"/>
      </w:r>
      <w:r w:rsidRPr="00F10391">
        <w:t>; health economics relate to these choices in the context of the resources available in health generally. Public health economics can be defined as  the</w:t>
      </w:r>
      <w:r w:rsidRPr="00F10391">
        <w:rPr>
          <w:shd w:val="clear" w:color="auto" w:fill="F9F8F7"/>
        </w:rPr>
        <w:t xml:space="preserve"> “study of the economic role of government in public health, particularly, but not exclusively, in supplying public goods and addressing externalities” </w:t>
      </w:r>
      <w:r w:rsidRPr="00F10391">
        <w:rPr>
          <w:shd w:val="clear" w:color="auto" w:fill="F9F8F7"/>
        </w:rPr>
        <w:fldChar w:fldCharType="begin"/>
      </w:r>
      <w:r w:rsidR="00700267">
        <w:rPr>
          <w:shd w:val="clear" w:color="auto" w:fill="F9F8F7"/>
        </w:rPr>
        <w:instrText xml:space="preserve"> ADDIN EN.CITE &lt;EndNote&gt;&lt;Cite&gt;&lt;Author&gt;Carande-Kulis&lt;/Author&gt;&lt;Year&gt;2007&lt;/Year&gt;&lt;RecNum&gt;423&lt;/RecNum&gt;&lt;DisplayText&gt;[75]&lt;/DisplayText&gt;&lt;record&gt;&lt;rec-number&gt;423&lt;/rec-number&gt;&lt;foreign-keys&gt;&lt;key app="EN" db-id="sz9092dv2s5fpze9wpgx0zxgv5ar00aezrvf" timestamp="1461071958"&gt;423&lt;/key&gt;&lt;/foreign-keys&gt;&lt;ref-type name="Journal Article"&gt;17&lt;/ref-type&gt;&lt;contributors&gt;&lt;authors&gt;&lt;author&gt;Carande-Kulis, Vilma G&lt;/author&gt;&lt;author&gt;Getzen, Thomas E&lt;/author&gt;&lt;author&gt;Thacker, Stephen B&lt;/author&gt;&lt;/authors&gt;&lt;/contributors&gt;&lt;titles&gt;&lt;title&gt;Public goods and externalities: a research agenda for public health economics&lt;/title&gt;&lt;secondary-title&gt;Journal of Public Health Management and Practice&lt;/secondary-title&gt;&lt;/titles&gt;&lt;periodical&gt;&lt;full-title&gt;Journal of Public Health Management and Practice&lt;/full-title&gt;&lt;/periodical&gt;&lt;pages&gt;227-232&lt;/pages&gt;&lt;volume&gt;13&lt;/volume&gt;&lt;number&gt;2&lt;/number&gt;&lt;dates&gt;&lt;year&gt;2007&lt;/year&gt;&lt;/dates&gt;&lt;isbn&gt;1078-4659&lt;/isbn&gt;&lt;urls&gt;&lt;/urls&gt;&lt;/record&gt;&lt;/Cite&gt;&lt;/EndNote&gt;</w:instrText>
      </w:r>
      <w:r w:rsidRPr="00F10391">
        <w:rPr>
          <w:shd w:val="clear" w:color="auto" w:fill="F9F8F7"/>
        </w:rPr>
        <w:fldChar w:fldCharType="separate"/>
      </w:r>
      <w:r w:rsidR="00700267">
        <w:rPr>
          <w:noProof/>
          <w:shd w:val="clear" w:color="auto" w:fill="F9F8F7"/>
        </w:rPr>
        <w:t>[75]</w:t>
      </w:r>
      <w:r w:rsidRPr="00F10391">
        <w:rPr>
          <w:shd w:val="clear" w:color="auto" w:fill="F9F8F7"/>
        </w:rPr>
        <w:fldChar w:fldCharType="end"/>
      </w:r>
      <w:r w:rsidR="00054658">
        <w:rPr>
          <w:shd w:val="clear" w:color="auto" w:fill="F9F8F7"/>
        </w:rPr>
        <w:t xml:space="preserve"> </w:t>
      </w:r>
      <w:r w:rsidR="00C126B5">
        <w:rPr>
          <w:shd w:val="clear" w:color="auto" w:fill="F9F8F7"/>
        </w:rPr>
        <w:t>(p.229)</w:t>
      </w:r>
      <w:r w:rsidRPr="00F10391">
        <w:rPr>
          <w:shd w:val="clear" w:color="auto" w:fill="F9F8F7"/>
        </w:rPr>
        <w:t>. The broader effects of such interventions, taking into account a range of other factors, mean that such decision-making is much more complex than some other settings in health.</w:t>
      </w:r>
    </w:p>
    <w:p w14:paraId="6D060AD6" w14:textId="0ED7C6D9" w:rsidR="00D22CE3" w:rsidRPr="00F10391" w:rsidRDefault="00D22CE3" w:rsidP="00A662B3">
      <w:r w:rsidRPr="00F10391">
        <w:t xml:space="preserve">When faced with complex decision problems, people tend to simplify the problem using heuristics, or rules of thumb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xml:space="preserve">. These can introduce unwarranted and predictable biases into our decisions. For example, decision-makers may be disproportionately influenced by salient issues, such as things that have recently appeared on the news (the </w:t>
      </w:r>
      <w:r w:rsidR="00054658">
        <w:t>“</w:t>
      </w:r>
      <w:r w:rsidRPr="00F10391">
        <w:t>availability heuristic</w:t>
      </w:r>
      <w:r w:rsidR="00054658">
        <w:t>”</w:t>
      </w:r>
      <w:r w:rsidRPr="00F10391">
        <w:t xml:space="preserve"> </w:t>
      </w:r>
      <w:r w:rsidRPr="00F10391">
        <w:fldChar w:fldCharType="begin"/>
      </w:r>
      <w:r w:rsidR="00700267">
        <w:instrText xml:space="preserve"> ADDIN EN.CITE &lt;EndNote&gt;&lt;Cite&gt;&lt;Author&gt;Tversky&lt;/Author&gt;&lt;Year&gt;1973&lt;/Year&gt;&lt;RecNum&gt;382&lt;/RecNum&gt;&lt;DisplayText&gt;[77]&lt;/DisplayText&gt;&lt;record&gt;&lt;rec-number&gt;382&lt;/rec-number&gt;&lt;foreign-keys&gt;&lt;key app="EN" db-id="sz9092dv2s5fpze9wpgx0zxgv5ar00aezrvf" timestamp="1457379661"&gt;382&lt;/key&gt;&lt;/foreign-keys&gt;&lt;ref-type name="Journal Article"&gt;17&lt;/ref-type&gt;&lt;contributors&gt;&lt;authors&gt;&lt;author&gt;Tversky, Amos&lt;/author&gt;&lt;author&gt;Kahneman, Daniel&lt;/author&gt;&lt;/authors&gt;&lt;/contributors&gt;&lt;titles&gt;&lt;title&gt;Availability: A heuristic for judging frequency and probability&lt;/title&gt;&lt;secondary-title&gt;Cognitive psychology&lt;/secondary-title&gt;&lt;/titles&gt;&lt;periodical&gt;&lt;full-title&gt;Cognitive psychology&lt;/full-title&gt;&lt;/periodical&gt;&lt;pages&gt;207-232&lt;/pages&gt;&lt;volume&gt;5&lt;/volume&gt;&lt;number&gt;2&lt;/number&gt;&lt;dates&gt;&lt;year&gt;1973&lt;/year&gt;&lt;/dates&gt;&lt;isbn&gt;0010-0285&lt;/isbn&gt;&lt;urls&gt;&lt;related-urls&gt;&lt;url&gt;http://www.sciencedirect.com/science/article/pii/0010028573900339&lt;/url&gt;&lt;/related-urls&gt;&lt;/urls&gt;&lt;/record&gt;&lt;/Cite&gt;&lt;/EndNote&gt;</w:instrText>
      </w:r>
      <w:r w:rsidRPr="00F10391">
        <w:fldChar w:fldCharType="separate"/>
      </w:r>
      <w:r w:rsidR="00700267">
        <w:rPr>
          <w:noProof/>
        </w:rPr>
        <w:t>[77]</w:t>
      </w:r>
      <w:r w:rsidRPr="00F10391">
        <w:fldChar w:fldCharType="end"/>
      </w:r>
      <w:r w:rsidRPr="00F10391">
        <w:t xml:space="preserve">), or may be unduly influenced by what is more familiar (the </w:t>
      </w:r>
      <w:r w:rsidR="00054658">
        <w:t>“r</w:t>
      </w:r>
      <w:r w:rsidRPr="00F10391">
        <w:t>epresentativeness heuristic</w:t>
      </w:r>
      <w:r w:rsidR="00054658">
        <w:t>”</w:t>
      </w:r>
      <w:r w:rsidRPr="00F10391">
        <w:t xml:space="preserve">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xml:space="preserve">). They may simply decide there are too many criteria to take into account and instead use a decision strategy such as choosing solely on the basis of a single </w:t>
      </w:r>
      <w:r w:rsidR="008A7437">
        <w:t>‘</w:t>
      </w:r>
      <w:r w:rsidRPr="00F10391">
        <w:t>most important</w:t>
      </w:r>
      <w:r w:rsidR="008A7437">
        <w:t>’</w:t>
      </w:r>
      <w:r w:rsidRPr="00F10391">
        <w:t xml:space="preserve"> criterion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xml:space="preserve">. </w:t>
      </w:r>
    </w:p>
    <w:p w14:paraId="1BDAB1ED" w14:textId="77777777" w:rsidR="00D22CE3" w:rsidRPr="00F10391" w:rsidRDefault="00D22CE3" w:rsidP="00A662B3">
      <w:r w:rsidRPr="00F10391">
        <w:t xml:space="preserve">There is some evidence that heuristics have developed for a reason, and that the biases introduced at times are less important than the way they allow timely answers to questions </w:t>
      </w:r>
      <w:r w:rsidRPr="00F10391">
        <w:fldChar w:fldCharType="begin"/>
      </w:r>
      <w:r w:rsidR="00700267">
        <w:instrText xml:space="preserve"> ADDIN EN.CITE &lt;EndNote&gt;&lt;Cite&gt;&lt;Author&gt;Gigerenzer&lt;/Author&gt;&lt;Year&gt;1996&lt;/Year&gt;&lt;RecNum&gt;53&lt;/RecNum&gt;&lt;DisplayText&gt;[78]&lt;/DisplayText&gt;&lt;record&gt;&lt;rec-number&gt;53&lt;/rec-number&gt;&lt;foreign-keys&gt;&lt;key app="EN" db-id="sz9092dv2s5fpze9wpgx0zxgv5ar00aezrvf" timestamp="0"&gt;53&lt;/key&gt;&lt;/foreign-keys&gt;&lt;ref-type name="Journal Article"&gt;17&lt;/ref-type&gt;&lt;contributors&gt;&lt;authors&gt;&lt;author&gt;Gigerenzer, Gerd&lt;/author&gt;&lt;author&gt;Goldstein, Daniel G&lt;/author&gt;&lt;/authors&gt;&lt;/contributors&gt;&lt;titles&gt;&lt;title&gt;Reasoning the fast and frugal way: models of bounded rationality&lt;/title&gt;&lt;secondary-title&gt;Psychological review&lt;/secondary-title&gt;&lt;/titles&gt;&lt;pages&gt;650&lt;/pages&gt;&lt;volume&gt;103&lt;/volume&gt;&lt;number&gt;4&lt;/number&gt;&lt;dates&gt;&lt;year&gt;1996&lt;/year&gt;&lt;/dates&gt;&lt;isbn&gt;1939-1471&lt;/isbn&gt;&lt;urls&gt;&lt;related-urls&gt;&lt;url&gt;http://psycnet.apa.org/journals/rev/103/4/650/&lt;/url&gt;&lt;/related-urls&gt;&lt;/urls&gt;&lt;/record&gt;&lt;/Cite&gt;&lt;/EndNote&gt;</w:instrText>
      </w:r>
      <w:r w:rsidRPr="00F10391">
        <w:fldChar w:fldCharType="separate"/>
      </w:r>
      <w:r w:rsidR="00700267">
        <w:rPr>
          <w:noProof/>
        </w:rPr>
        <w:t>[78]</w:t>
      </w:r>
      <w:r w:rsidRPr="00F10391">
        <w:fldChar w:fldCharType="end"/>
      </w:r>
      <w:r w:rsidRPr="00F10391">
        <w:t xml:space="preserve">. But there is little doubt that the incorporation of analytical approaches, when available, will lead to better informed decision-making, less prone to irrational or kneejerk behaviour </w:t>
      </w:r>
      <w:r w:rsidRPr="00F10391">
        <w:fldChar w:fldCharType="begin"/>
      </w:r>
      <w:r w:rsidR="00700267">
        <w:instrText xml:space="preserve"> ADDIN EN.CITE &lt;EndNote&gt;&lt;Cite&gt;&lt;Author&gt;Slovic&lt;/Author&gt;&lt;Year&gt;2004&lt;/Year&gt;&lt;RecNum&gt;383&lt;/RecNum&gt;&lt;DisplayText&gt;[79]&lt;/DisplayText&gt;&lt;record&gt;&lt;rec-number&gt;383&lt;/rec-number&gt;&lt;foreign-keys&gt;&lt;key app="EN" db-id="sz9092dv2s5fpze9wpgx0zxgv5ar00aezrvf" timestamp="1457380065"&gt;383&lt;/key&gt;&lt;/foreign-keys&gt;&lt;ref-type name="Journal Article"&gt;17&lt;/ref-type&gt;&lt;contributors&gt;&lt;authors&gt;&lt;author&gt;Slovic, Paul&lt;/author&gt;&lt;author&gt;Finucane, Melissa L&lt;/author&gt;&lt;author&gt;Peters, Ellen&lt;/author&gt;&lt;author&gt;MacGregor, Donald G&lt;/author&gt;&lt;/authors&gt;&lt;/contributors&gt;&lt;titles&gt;&lt;title&gt;Risk as analysis and risk as feelings: Some thoughts about affect, reason, risk, and rationality&lt;/title&gt;&lt;secondary-title&gt;Risk analysis&lt;/secondary-title&gt;&lt;/titles&gt;&lt;periodical&gt;&lt;full-title&gt;Risk analysis&lt;/full-title&gt;&lt;/periodical&gt;&lt;pages&gt;311-322&lt;/pages&gt;&lt;volume&gt;24&lt;/volume&gt;&lt;number&gt;2&lt;/number&gt;&lt;dates&gt;&lt;year&gt;2004&lt;/year&gt;&lt;/dates&gt;&lt;isbn&gt;1539-6924&lt;/isbn&gt;&lt;urls&gt;&lt;related-urls&gt;&lt;url&gt;http://onlinelibrary.wiley.com/store/10.1111/j.0272-4332.2004.00433.x/asset/j.0272-4332.2004.00433.x.pdf?v=1&amp;amp;t=ilnxhfc6&amp;amp;s=0193bae33f225f5148c06f0d9e247b42609de753&lt;/url&gt;&lt;/related-urls&gt;&lt;/urls&gt;&lt;/record&gt;&lt;/Cite&gt;&lt;/EndNote&gt;</w:instrText>
      </w:r>
      <w:r w:rsidRPr="00F10391">
        <w:fldChar w:fldCharType="separate"/>
      </w:r>
      <w:r w:rsidR="00700267">
        <w:rPr>
          <w:noProof/>
        </w:rPr>
        <w:t>[79]</w:t>
      </w:r>
      <w:r w:rsidRPr="00F10391">
        <w:fldChar w:fldCharType="end"/>
      </w:r>
      <w:r w:rsidRPr="00F10391">
        <w:t xml:space="preserve">. Any such model used will have flaws of its own – models are simplifications after all – but it will at least specify clearly which criteria and assumptions are being used. Building such a model may reveal relationships that were not obvious before doing so, and allow decision-makers to experiment in order to ascertain the potential effectiveness of approaches in a way that would not be possible in real world settings given limited resources </w:t>
      </w:r>
      <w:r w:rsidRPr="00F10391">
        <w:fldChar w:fldCharType="begin"/>
      </w:r>
      <w:r w:rsidR="00700267">
        <w:instrText xml:space="preserve"> ADDIN EN.CITE &lt;EndNote&gt;&lt;Cite&gt;&lt;Author&gt;Brennan&lt;/Author&gt;&lt;Year&gt;2006&lt;/Year&gt;&lt;RecNum&gt;384&lt;/RecNum&gt;&lt;DisplayText&gt;[80]&lt;/DisplayText&gt;&lt;record&gt;&lt;rec-number&gt;384&lt;/rec-number&gt;&lt;foreign-keys&gt;&lt;key app="EN" db-id="sz9092dv2s5fpze9wpgx0zxgv5ar00aezrvf" timestamp="1457380365"&gt;384&lt;/key&gt;&lt;/foreign-keys&gt;&lt;ref-type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related-urls&gt;&lt;url&gt;http://onlinelibrary.wiley.com/doi/10.1002/hec.1148/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[80]</w:t>
      </w:r>
      <w:r w:rsidRPr="00F10391">
        <w:fldChar w:fldCharType="end"/>
      </w:r>
      <w:r w:rsidRPr="00F10391">
        <w:t xml:space="preserve">. It may also indicate which data are particularly relevant to the analysis </w:t>
      </w:r>
      <w:r w:rsidRPr="00F10391">
        <w:fldChar w:fldCharType="begin"/>
      </w:r>
      <w:r w:rsidR="00700267">
        <w:instrText xml:space="preserve"> ADDIN EN.CITE &lt;EndNote&gt;&lt;Cite&gt;&lt;Author&gt;Briggs&lt;/Author&gt;&lt;Year&gt;1998&lt;/Year&gt;&lt;RecNum&gt;385&lt;/RecNum&gt;&lt;DisplayText&gt;[81]&lt;/DisplayText&gt;&lt;record&gt;&lt;rec-number&gt;385&lt;/rec-number&gt;&lt;foreign-keys&gt;&lt;key app="EN" db-id="sz9092dv2s5fpze9wpgx0zxgv5ar00aezrvf" timestamp="1457434630"&gt;385&lt;/key&gt;&lt;/foreign-keys&gt;&lt;ref-type name="Journal Article"&gt;17&lt;/ref-type&gt;&lt;contributors&gt;&lt;authors&gt;&lt;author&gt;Briggs, Mr Andrew&lt;/author&gt;&lt;author&gt;Sculpher, Mark&lt;/author&gt;&lt;/authors&gt;&lt;/contributors&gt;&lt;titles&gt;&lt;title&gt;An introduction to Markov modelling for economic evaluation&lt;/title&gt;&lt;secondary-title&gt;Pharmacoeconomics&lt;/secondary-title&gt;&lt;/titles&gt;&lt;periodical&gt;&lt;full-title&gt;Pharmacoeconomics&lt;/full-title&gt;&lt;/periodical&gt;&lt;pages&gt;397-409&lt;/pages&gt;&lt;volume&gt;13&lt;/volume&gt;&lt;number&gt;4&lt;/number&gt;&lt;dates&gt;&lt;year&gt;1998&lt;/year&gt;&lt;/dates&gt;&lt;isbn&gt;1170-7690&lt;/isbn&gt;&lt;urls&gt;&lt;/urls&gt;&lt;/record&gt;&lt;/Cite&gt;&lt;/EndNote&gt;</w:instrText>
      </w:r>
      <w:r w:rsidRPr="00F10391">
        <w:fldChar w:fldCharType="separate"/>
      </w:r>
      <w:r w:rsidR="00700267">
        <w:rPr>
          <w:noProof/>
        </w:rPr>
        <w:t>[81]</w:t>
      </w:r>
      <w:r w:rsidRPr="00F10391">
        <w:fldChar w:fldCharType="end"/>
      </w:r>
      <w:r w:rsidRPr="00F10391">
        <w:t xml:space="preserve"> and therefore reduce the risk of ‘unknown unknowns’.</w:t>
      </w:r>
    </w:p>
    <w:p w14:paraId="2FE88014" w14:textId="77777777" w:rsidR="00D22CE3" w:rsidRPr="00F10391" w:rsidRDefault="00D22CE3" w:rsidP="00005AA6"/>
    <w:p w14:paraId="058654D6" w14:textId="77777777" w:rsidR="00D22CE3" w:rsidRPr="00F10391" w:rsidRDefault="00D22CE3" w:rsidP="00D24504">
      <w:pPr>
        <w:pStyle w:val="Numberedheading2"/>
      </w:pPr>
      <w:bookmarkStart w:id="76" w:name="_Toc313187821"/>
      <w:bookmarkStart w:id="77" w:name="_Toc441508918"/>
      <w:bookmarkStart w:id="78" w:name="_Toc453235356"/>
      <w:bookmarkStart w:id="79" w:name="_Toc453595429"/>
      <w:bookmarkStart w:id="80" w:name="_Toc476241526"/>
      <w:r w:rsidRPr="00F10391">
        <w:t>2.4</w:t>
      </w:r>
      <w:r w:rsidRPr="00F10391">
        <w:tab/>
      </w:r>
      <w:r w:rsidRPr="00F10391">
        <w:tab/>
        <w:t>Common health economic approaches</w:t>
      </w:r>
      <w:bookmarkEnd w:id="76"/>
      <w:bookmarkEnd w:id="77"/>
      <w:bookmarkEnd w:id="78"/>
      <w:bookmarkEnd w:id="79"/>
      <w:bookmarkEnd w:id="80"/>
      <w:r w:rsidRPr="00F10391">
        <w:t xml:space="preserve"> </w:t>
      </w:r>
    </w:p>
    <w:p w14:paraId="0D7159DB" w14:textId="77777777" w:rsidR="00D22CE3" w:rsidRPr="00F10391" w:rsidRDefault="00D22CE3" w:rsidP="00D24504"/>
    <w:p w14:paraId="5090DE4E" w14:textId="77777777" w:rsidR="00D22CE3" w:rsidRPr="00F10391" w:rsidRDefault="00D22CE3" w:rsidP="00D24504">
      <w:r w:rsidRPr="00F10391">
        <w:t xml:space="preserve">A variety of health economic approaches are available, varying in how they quantify benefits; ultimately all of those described in this chapter compare the costs of interventions in terms of money. The most common approaches (based on Coast </w:t>
      </w:r>
      <w:r w:rsidRPr="00F10391">
        <w:fldChar w:fldCharType="begin"/>
      </w:r>
      <w:r w:rsidR="00700267">
        <w:instrText xml:space="preserve"> ADDIN EN.CITE &lt;EndNote&gt;&lt;Cite&gt;&lt;Author&gt;Coast&lt;/Author&gt;&lt;Year&gt;2004&lt;/Year&gt;&lt;RecNum&gt;2&lt;/RecNum&gt;&lt;DisplayText&gt;[82]&lt;/DisplayText&gt;&lt;record&gt;&lt;rec-number&gt;2&lt;/rec-number&gt;&lt;foreign-keys&gt;&lt;key app="EN" db-id="sz9092dv2s5fpze9wpgx0zxgv5ar00aezrvf" timestamp="0"&gt;2&lt;/key&gt;&lt;/foreign-keys&gt;&lt;ref-type name="Journal Article"&gt;17&lt;/ref-type&gt;&lt;contributors&gt;&lt;authors&gt;&lt;author&gt;Coast, Joanna&lt;/author&gt;&lt;/authors&gt;&lt;/contributors&gt;&lt;titles&gt;&lt;title&gt;Is economic evaluation in touch with society&amp;apos;s health values?&lt;/title&gt;&lt;secondary-title&gt;BMJ: British Medical Journal&lt;/secondary-title&gt;&lt;/titles&gt;&lt;pages&gt;1233&lt;/pages&gt;&lt;volume&gt;329&lt;/volume&gt;&lt;number&gt;7476&lt;/number&gt;&lt;dates&gt;&lt;year&gt;2004&lt;/year&gt;&lt;/dates&gt;&lt;urls&gt;&lt;related-urls&gt;&lt;url&gt;http://www.ncbi.nlm.nih.gov/pmc/articles/PMC529373/pdf/bmj32901233.pdf&lt;/url&gt;&lt;/related-urls&gt;&lt;/urls&gt;&lt;/record&gt;&lt;/Cite&gt;&lt;/EndNote&gt;</w:instrText>
      </w:r>
      <w:r w:rsidRPr="00F10391">
        <w:fldChar w:fldCharType="separate"/>
      </w:r>
      <w:r w:rsidR="00700267">
        <w:rPr>
          <w:noProof/>
        </w:rPr>
        <w:t>[82]</w:t>
      </w:r>
      <w:r w:rsidRPr="00F10391">
        <w:fldChar w:fldCharType="end"/>
      </w:r>
      <w:r w:rsidR="008C61BF">
        <w:t xml:space="preserve"> (p.1234)</w:t>
      </w:r>
      <w:r w:rsidRPr="00F10391">
        <w:t>) are:</w:t>
      </w:r>
    </w:p>
    <w:p w14:paraId="60AD3591" w14:textId="77777777" w:rsidR="00D22CE3" w:rsidRPr="00F10391" w:rsidRDefault="00D22CE3" w:rsidP="006A5AA3">
      <w:pPr>
        <w:pStyle w:val="ListParagraph"/>
        <w:numPr>
          <w:ilvl w:val="0"/>
          <w:numId w:val="44"/>
        </w:numPr>
      </w:pPr>
      <w:r w:rsidRPr="00F10391">
        <w:t xml:space="preserve">Cost-effectiveness analysis (CEA) </w:t>
      </w:r>
    </w:p>
    <w:p w14:paraId="6FECF6B5" w14:textId="77777777" w:rsidR="00D22CE3" w:rsidRPr="00F10391" w:rsidRDefault="00D22CE3" w:rsidP="006942ED">
      <w:pPr>
        <w:pStyle w:val="ListParagraph"/>
        <w:numPr>
          <w:ilvl w:val="1"/>
          <w:numId w:val="44"/>
        </w:numPr>
      </w:pPr>
      <w:r w:rsidRPr="00F10391">
        <w:t>Costs are compared with some single outcome measure.</w:t>
      </w:r>
    </w:p>
    <w:p w14:paraId="70C16155" w14:textId="77777777" w:rsidR="00D22CE3" w:rsidRPr="00F10391" w:rsidRDefault="00D22CE3">
      <w:pPr>
        <w:pStyle w:val="ListParagraph"/>
        <w:numPr>
          <w:ilvl w:val="0"/>
          <w:numId w:val="44"/>
        </w:numPr>
      </w:pPr>
      <w:r w:rsidRPr="00F10391">
        <w:t xml:space="preserve">Cost-utility analysis (CUA) </w:t>
      </w:r>
    </w:p>
    <w:p w14:paraId="45BFE327" w14:textId="77777777" w:rsidR="00D22CE3" w:rsidRPr="00F10391" w:rsidRDefault="00D22CE3">
      <w:pPr>
        <w:pStyle w:val="ListParagraph"/>
        <w:numPr>
          <w:ilvl w:val="1"/>
          <w:numId w:val="44"/>
        </w:numPr>
      </w:pPr>
      <w:r w:rsidRPr="00F10391">
        <w:lastRenderedPageBreak/>
        <w:t>A specific form of cost-effectiveness analysis in which outcomes are measured in terms of QALYs gained, and from which the incremental cost-effectiveness ratio can be calculated.</w:t>
      </w:r>
    </w:p>
    <w:p w14:paraId="6D7A30F2" w14:textId="77777777" w:rsidR="00D22CE3" w:rsidRPr="00F10391" w:rsidRDefault="00D22CE3">
      <w:pPr>
        <w:pStyle w:val="ListParagraph"/>
        <w:numPr>
          <w:ilvl w:val="0"/>
          <w:numId w:val="44"/>
        </w:numPr>
      </w:pPr>
      <w:r w:rsidRPr="00F10391">
        <w:t xml:space="preserve">Cost-benefit analysis (CBA) </w:t>
      </w:r>
    </w:p>
    <w:p w14:paraId="03B4B5B2" w14:textId="77777777" w:rsidR="00D22CE3" w:rsidRPr="00F10391" w:rsidRDefault="00D22CE3">
      <w:pPr>
        <w:pStyle w:val="ListParagraph"/>
        <w:numPr>
          <w:ilvl w:val="1"/>
          <w:numId w:val="44"/>
        </w:numPr>
      </w:pPr>
      <w:r w:rsidRPr="00F10391">
        <w:t>Costs are compared with outcomes that have been translated into money equivalents, and the results presented in Net Present Values (NPVs).</w:t>
      </w:r>
    </w:p>
    <w:p w14:paraId="46AB11DB" w14:textId="77777777" w:rsidR="00D22CE3" w:rsidRPr="00F10391" w:rsidRDefault="00D22CE3">
      <w:pPr>
        <w:pStyle w:val="ListParagraph"/>
        <w:numPr>
          <w:ilvl w:val="0"/>
          <w:numId w:val="44"/>
        </w:numPr>
      </w:pPr>
      <w:r w:rsidRPr="00F10391">
        <w:t>Cost-consequence analysis (CCA)</w:t>
      </w:r>
    </w:p>
    <w:p w14:paraId="2BD8CE22" w14:textId="77777777" w:rsidR="00D22CE3" w:rsidRPr="00F10391" w:rsidRDefault="00D22CE3">
      <w:pPr>
        <w:pStyle w:val="ListParagraph"/>
        <w:numPr>
          <w:ilvl w:val="1"/>
          <w:numId w:val="44"/>
        </w:numPr>
      </w:pPr>
      <w:r w:rsidRPr="00F10391">
        <w:t>Costs are compared with the complete list of expected outcomes, left intact in natural units and not combined into a single measure. Decision-makers are presented with predictions of the interventions’ efficacy in all relevant areas, such as that it will avoid x deaths, y hospital visits and z cases of pneumonia, costing £n.</w:t>
      </w:r>
    </w:p>
    <w:p w14:paraId="3768C472" w14:textId="77777777" w:rsidR="00D22CE3" w:rsidRPr="00F10391" w:rsidRDefault="00D22CE3"/>
    <w:p w14:paraId="494517F0" w14:textId="77777777" w:rsidR="00D22CE3" w:rsidRPr="00F10391" w:rsidRDefault="00D22CE3">
      <w:pPr>
        <w:pStyle w:val="Heading3"/>
      </w:pPr>
      <w:bookmarkStart w:id="81" w:name="_Toc313187822"/>
      <w:bookmarkStart w:id="82" w:name="_Toc441508919"/>
      <w:bookmarkStart w:id="83" w:name="_Toc453235357"/>
      <w:bookmarkStart w:id="84" w:name="_Toc453595430"/>
      <w:bookmarkStart w:id="85" w:name="_Toc476241527"/>
      <w:r w:rsidRPr="00F10391">
        <w:t>2.4.1</w:t>
      </w:r>
      <w:r w:rsidRPr="00F10391">
        <w:tab/>
      </w:r>
      <w:r w:rsidRPr="00F10391">
        <w:tab/>
        <w:t>Cost-effectiveness Analysis (CEA) and Cost-utility analysis (CUA)</w:t>
      </w:r>
      <w:bookmarkEnd w:id="81"/>
      <w:bookmarkEnd w:id="82"/>
      <w:bookmarkEnd w:id="83"/>
      <w:bookmarkEnd w:id="84"/>
      <w:bookmarkEnd w:id="85"/>
    </w:p>
    <w:p w14:paraId="7AB439CF" w14:textId="77777777" w:rsidR="00D22CE3" w:rsidRPr="00F10391" w:rsidRDefault="00D22CE3">
      <w:r w:rsidRPr="00F10391">
        <w:t>Cost-effectiveness analysis allows decision-makers to see clearly the effect that each pound spent is having on a relevant outcome measure, such as the cost per death averted or cost per kilogram of weight lost. Interventions under consideration can subsequently be prioritised accordingly. However, where different studies (including those of wholly different interventions) have used different outcomes, it may be unclear to decision-makers whether on a population level it is more important or effective to, say, save one life or have the population cumulatively lose 2000 kg. NICE therefore specifies in its ‘reference case’ that the use of CUA is preferred in order for direct comparison. Where only CEA results are available, these are typically modelled to estimate the intervention’s likely cumulative effect in terms of Quality Adjusted Life Years. These processes are explained in detail in Chapter 5.</w:t>
      </w:r>
    </w:p>
    <w:p w14:paraId="6F1AC26B" w14:textId="77777777" w:rsidR="00D22CE3" w:rsidRPr="00F10391" w:rsidRDefault="00D22CE3">
      <w:r w:rsidRPr="00F10391">
        <w:t xml:space="preserve">QALYs combine an individual’s life expectancy with their expected quality of life in a single metric. The quality of life of a patient is measured in the form of a utility, from 0 (death) to 1 (perfect health), and with intermediate scores calibrated by polling the general public. Some health states may be considered worse than dead, leading to negative utilities. If a treatment for a particular disease, for example, extends a patient’s life by 2 years and their quality of life during this time is deemed to be 0.6, this would result in an increase in 2*0.6 = 1.2 QALYs. </w:t>
      </w:r>
    </w:p>
    <w:p w14:paraId="70A16566" w14:textId="77777777" w:rsidR="00D22CE3" w:rsidRPr="00F10391" w:rsidRDefault="00D22CE3">
      <w:r w:rsidRPr="00F10391">
        <w:t>An Incremental Cost-Effectiveness Ratio (ICER) can be derived to inform decision-makers about the intervention’s cost-effectiveness. By comparing the difference in costs between the proposed treatment and a comparator (normally the current treatment used), and dividing by the change in expected associated outcomes, a figure is derived that indicates the cost per extra QALY gained. If the treatment described above generated 1.2 QALYs years and cost £10000, and the current treatment instead allowed the patient to live for 6 more months, at a quality of life of 0.4 (i.e. 0.5*0.4 = 0.2 QALYs), costing £2000, the ICER can be calculated like so:</w:t>
      </w:r>
    </w:p>
    <w:p w14:paraId="7ABBF4DC" w14:textId="61F25966" w:rsidR="00D22CE3" w:rsidRPr="00F10391" w:rsidRDefault="00D22CE3">
      <w:r w:rsidRPr="00F10391">
        <w:rPr>
          <w:noProof/>
          <w:lang w:val="en-IE" w:eastAsia="en-IE"/>
        </w:rPr>
        <mc:AlternateContent>
          <mc:Choice Requires="wps">
            <w:drawing>
              <wp:anchor distT="0" distB="0" distL="114300" distR="114300" simplePos="0" relativeHeight="251660288" behindDoc="0" locked="0" layoutInCell="1" allowOverlap="1" wp14:anchorId="497496CE" wp14:editId="18CA3601">
                <wp:simplePos x="0" y="0"/>
                <wp:positionH relativeFrom="column">
                  <wp:posOffset>2638425</wp:posOffset>
                </wp:positionH>
                <wp:positionV relativeFrom="paragraph">
                  <wp:posOffset>247650</wp:posOffset>
                </wp:positionV>
                <wp:extent cx="989330" cy="6350"/>
                <wp:effectExtent l="0" t="0" r="20320" b="3175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6350"/>
                        </a:xfrm>
                        <a:prstGeom prst="straightConnector1">
                          <a:avLst/>
                        </a:prstGeom>
                        <a:noFill/>
                        <a:ln w="9525">
                          <a:solidFill>
                            <a:srgbClr val="000000"/>
                          </a:solidFill>
                          <a:round/>
                          <a:headEnd/>
                          <a:tailEnd/>
                        </a:ln>
                        <a:extLst>
                          <a:ext uri="{909E8E84-426E-40dd-AFC4-6F175D3DCCD1}">
                            <a14:hiddenFill xmlns:cx3="http://schemas.microsoft.com/office/drawing/2016/5/9/chartex" xmlns:cx4="http://schemas.microsoft.com/office/drawing/2016/5/10/chartex" xmlns:cx5="http://schemas.microsoft.com/office/drawing/2016/5/11/chartex"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w:pict>
              <v:shape w14:anchorId="5B1C2D11" id="AutoShape 18" o:spid="_x0000_s1026" type="#_x0000_t32" style="position:absolute;margin-left:207.75pt;margin-top:19.5pt;width:77.9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"/>
            </w:pict>
          </mc:Fallback>
        </mc:AlternateContent>
      </w:r>
      <w:r w:rsidRPr="00F10391">
        <w:rPr>
          <w:noProof/>
          <w:lang w:val="en-IE" w:eastAsia="en-IE"/>
        </w:rPr>
        <mc:AlternateContent>
          <mc:Choice Requires="wps">
            <w:drawing>
              <wp:anchor distT="0" distB="0" distL="114300" distR="114300" simplePos="0" relativeHeight="251659264" behindDoc="0" locked="0" layoutInCell="1" allowOverlap="1" wp14:anchorId="20867DB0" wp14:editId="62907AB0">
                <wp:simplePos x="0" y="0"/>
                <wp:positionH relativeFrom="column">
                  <wp:posOffset>904240</wp:posOffset>
                </wp:positionH>
                <wp:positionV relativeFrom="paragraph">
                  <wp:posOffset>240665</wp:posOffset>
                </wp:positionV>
                <wp:extent cx="989330" cy="6350"/>
                <wp:effectExtent l="0" t="0" r="26670" b="4445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6350"/>
                        </a:xfrm>
                        <a:prstGeom prst="straightConnector1">
                          <a:avLst/>
                        </a:prstGeom>
                        <a:noFill/>
                        <a:ln w="9525">
                          <a:solidFill>
                            <a:srgbClr val="000000"/>
                          </a:solidFill>
                          <a:round/>
                          <a:headEnd/>
                          <a:tailEnd/>
                        </a:ln>
                        <a:extLst>
                          <a:ext uri="{909E8E84-426E-40dd-AFC4-6F175D3DCCD1}">
                            <a14:hiddenFill xmlns:cx3="http://schemas.microsoft.com/office/drawing/2016/5/9/chartex" xmlns:cx4="http://schemas.microsoft.com/office/drawing/2016/5/10/chartex" xmlns:cx5="http://schemas.microsoft.com/office/drawing/2016/5/11/chartex"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w:pict>
              <v:shape w14:anchorId="3CC913AA" id="AutoShape 18" o:spid="_x0000_s1026" type="#_x0000_t32" style="position:absolute;margin-left:71.2pt;margin-top:18.95pt;width:77.9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"/>
            </w:pict>
          </mc:Fallback>
        </mc:AlternateContent>
      </w:r>
      <w:r w:rsidRPr="00F10391">
        <w:t xml:space="preserve">ICER </w:t>
      </w:r>
      <w:r w:rsidRPr="00F10391">
        <w:tab/>
        <w:t>=</w:t>
      </w:r>
      <w:r w:rsidRPr="00F10391">
        <w:tab/>
        <w:t>Cost</w:t>
      </w:r>
      <w:r w:rsidRPr="00F10391">
        <w:rPr>
          <w:vertAlign w:val="subscript"/>
        </w:rPr>
        <w:t>New</w:t>
      </w:r>
      <w:r w:rsidRPr="00F10391">
        <w:t xml:space="preserve"> – Cost</w:t>
      </w:r>
      <w:r w:rsidRPr="00F10391">
        <w:rPr>
          <w:vertAlign w:val="subscript"/>
        </w:rPr>
        <w:t>Old</w:t>
      </w:r>
      <w:r w:rsidRPr="00F10391">
        <w:tab/>
        <w:t xml:space="preserve">= </w:t>
      </w:r>
      <w:r w:rsidRPr="00F10391">
        <w:tab/>
        <w:t>10000-2000</w:t>
      </w:r>
      <w:r w:rsidRPr="00F10391">
        <w:tab/>
        <w:t>=</w:t>
      </w:r>
      <w:r w:rsidRPr="00F10391">
        <w:tab/>
        <w:t>£8000/QALY</w:t>
      </w:r>
    </w:p>
    <w:p w14:paraId="17AD910A" w14:textId="77777777" w:rsidR="00D22CE3" w:rsidRPr="00F10391" w:rsidRDefault="00D22CE3">
      <w:r w:rsidRPr="00F10391">
        <w:tab/>
      </w:r>
      <w:r w:rsidRPr="00F10391">
        <w:tab/>
        <w:t>QALY</w:t>
      </w:r>
      <w:r w:rsidRPr="00F10391">
        <w:rPr>
          <w:vertAlign w:val="subscript"/>
        </w:rPr>
        <w:t>New</w:t>
      </w:r>
      <w:r w:rsidRPr="00F10391">
        <w:t>-QALY</w:t>
      </w:r>
      <w:r w:rsidRPr="00F10391">
        <w:rPr>
          <w:vertAlign w:val="subscript"/>
        </w:rPr>
        <w:t>Old</w:t>
      </w:r>
      <w:r w:rsidRPr="00F10391">
        <w:tab/>
      </w:r>
      <w:r w:rsidRPr="00F10391">
        <w:tab/>
        <w:t xml:space="preserve">  1.2 – 0.2</w:t>
      </w:r>
      <w:r w:rsidRPr="00F10391">
        <w:tab/>
      </w:r>
      <w:r w:rsidRPr="00F10391">
        <w:tab/>
      </w:r>
    </w:p>
    <w:p w14:paraId="78A1DC82" w14:textId="77777777" w:rsidR="00D22CE3" w:rsidRPr="00F10391" w:rsidRDefault="00D22CE3">
      <w:r w:rsidRPr="00F10391">
        <w:t xml:space="preserve">This approach has a number of potential attractions for decision-makers. It ensures that treatments that we can be confident will work will be provided. It allows both quality of life and </w:t>
      </w:r>
      <w:r w:rsidRPr="00F10391">
        <w:lastRenderedPageBreak/>
        <w:t xml:space="preserve">the length of time added to the patient’s life to be taken into account, and apportions accordingly. Over time we would expect that following such an approach would reduce waste in the health service and lead to better overall outcomes. Following this process for the cumulative figures involved– the total amount of QALYs gained across the population versus the total cost – is equivalent to doing so on the level of an average patient, and will lead to the same results. </w:t>
      </w:r>
    </w:p>
    <w:p w14:paraId="74956A0C" w14:textId="77777777" w:rsidR="00D22CE3" w:rsidRPr="00F10391" w:rsidRDefault="00D22CE3">
      <w:r w:rsidRPr="00F10391">
        <w:t xml:space="preserve">Of course in practice, perfect information is not available and there are various stakeholders within the health system with some degree of power to delay such decisions. Guidance for technology appraisals is mandatory, and </w:t>
      </w:r>
      <w:r w:rsidRPr="00F10391">
        <w:rPr>
          <w:color w:val="222222"/>
          <w:shd w:val="clear" w:color="auto" w:fill="FFFFFF"/>
        </w:rPr>
        <w:t>Clinical Commissioning Groups</w:t>
      </w:r>
      <w:r w:rsidRPr="00F10391">
        <w:t xml:space="preserve"> (CCGs) must</w:t>
      </w:r>
      <w:r w:rsidRPr="00F10391">
        <w:rPr>
          <w:rStyle w:val="CommentReference"/>
          <w:rFonts w:asciiTheme="minorHAnsi" w:eastAsiaTheme="minorHAnsi" w:hAnsiTheme="minorHAnsi" w:cstheme="minorBidi"/>
          <w:lang w:eastAsia="en-US"/>
        </w:rPr>
        <w:t xml:space="preserve"> </w:t>
      </w:r>
      <w:r w:rsidRPr="00F10391">
        <w:t xml:space="preserve">implement NICE guidance within three months of approval </w:t>
      </w:r>
      <w:r w:rsidRPr="00F10391">
        <w:fldChar w:fldCharType="begin"/>
      </w:r>
      <w:r w:rsidR="00700267">
        <w:instrText xml:space="preserve"> ADDIN EN.CITE &lt;EndNote&gt;&lt;Cite&gt;&lt;Author&gt;Health&lt;/Author&gt;&lt;Year&gt;2009&lt;/Year&gt;&lt;RecNum&gt;387&lt;/RecNum&gt;&lt;DisplayText&gt;[83]&lt;/DisplayText&gt;&lt;record&gt;&lt;rec-number&gt;387&lt;/rec-number&gt;&lt;foreign-keys&gt;&lt;key app="EN" db-id="sz9092dv2s5fpze9wpgx0zxgv5ar00aezrvf" timestamp="1457541237"&gt;387&lt;/key&gt;&lt;/foreign-keys&gt;&lt;ref-type name="Generic"&gt;13&lt;/ref-type&gt;&lt;contributors&gt;&lt;authors&gt;&lt;author&gt;Department of Health&lt;/author&gt;&lt;/authors&gt;&lt;/contributors&gt;&lt;titles&gt;&lt;title&gt;NHS Constitution&lt;/title&gt;&lt;/titles&gt;&lt;dates&gt;&lt;year&gt;2009&lt;/year&gt;&lt;/dates&gt;&lt;publisher&gt;Department of Health London&lt;/publisher&gt;&lt;urls&gt;&lt;/urls&gt;&lt;/record&gt;&lt;/Cite&gt;&lt;/EndNote&gt;</w:instrText>
      </w:r>
      <w:r w:rsidRPr="00F10391">
        <w:fldChar w:fldCharType="separate"/>
      </w:r>
      <w:r w:rsidR="00700267">
        <w:rPr>
          <w:noProof/>
        </w:rPr>
        <w:t>[83]</w:t>
      </w:r>
      <w:r w:rsidRPr="00F10391">
        <w:fldChar w:fldCharType="end"/>
      </w:r>
      <w:r w:rsidRPr="00F10391">
        <w:t xml:space="preserve">. For all other guidance, such statutory power is not applicable, though relevant decision-makers are expected to give guidance careful “consideration when developing strategies, planning services and prioritising resources” </w:t>
      </w:r>
      <w:r w:rsidRPr="00F10391">
        <w:fldChar w:fldCharType="begin"/>
      </w:r>
      <w:r w:rsidR="00700267">
        <w:instrText xml:space="preserve"> ADDIN EN.CITE &lt;EndNote&gt;&lt;Cite&gt;&lt;Author&gt;Board&lt;/Author&gt;&lt;Year&gt;2013&lt;/Year&gt;&lt;RecNum&gt;386&lt;/RecNum&gt;&lt;DisplayText&gt;[84]&lt;/DisplayText&gt;&lt;record&gt;&lt;rec-number&gt;386&lt;/rec-number&gt;&lt;foreign-keys&gt;&lt;key app="EN" db-id="sz9092dv2s5fpze9wpgx0zxgv5ar00aezrvf" timestamp="1457540763"&gt;386&lt;/key&gt;&lt;/foreign-keys&gt;&lt;ref-type name="Generic"&gt;13&lt;/ref-type&gt;&lt;contributors&gt;&lt;authors&gt;&lt;author&gt;NHS Commissioning Board,&lt;/author&gt;&lt;/authors&gt;&lt;/contributors&gt;&lt;titles&gt;&lt;title&gt;Commissioning policy: implementation and funding of NICE guidance&lt;/title&gt;&lt;/titles&gt;&lt;dates&gt;&lt;year&gt;2013&lt;/year&gt;&lt;/dates&gt;&lt;urls&gt;&lt;/urls&gt;&lt;/record&gt;&lt;/Cite&gt;&lt;/EndNote&gt;</w:instrText>
      </w:r>
      <w:r w:rsidRPr="00F10391">
        <w:fldChar w:fldCharType="separate"/>
      </w:r>
      <w:r w:rsidR="00700267">
        <w:rPr>
          <w:noProof/>
        </w:rPr>
        <w:t>[84]</w:t>
      </w:r>
      <w:r w:rsidRPr="00F10391">
        <w:fldChar w:fldCharType="end"/>
      </w:r>
      <w:r w:rsidR="000F7489">
        <w:t xml:space="preserve"> (p.4)</w:t>
      </w:r>
      <w:r w:rsidRPr="00F10391">
        <w:t xml:space="preserve">. NICE provide a range of resources to help ensure the implementation of such guidance </w:t>
      </w:r>
      <w:r w:rsidRPr="00F10391">
        <w:fldChar w:fldCharType="begin"/>
      </w:r>
      <w:r w:rsidR="00700267">
        <w:instrText xml:space="preserve"> ADDIN EN.CITE &lt;EndNote&gt;&lt;Cite&gt;&lt;Author&gt;NICE&lt;/Author&gt;&lt;RecNum&gt;388&lt;/RecNum&gt;&lt;DisplayText&gt;[85]&lt;/DisplayText&gt;&lt;record&gt;&lt;rec-number&gt;388&lt;/rec-number&gt;&lt;foreign-keys&gt;&lt;key app="EN" db-id="sz9092dv2s5fpze9wpgx0zxgv5ar00aezrvf" timestamp="1457542391"&gt;388&lt;/key&gt;&lt;/foreign-keys&gt;&lt;ref-type name="Government Document"&gt;46&lt;/ref-type&gt;&lt;contributors&gt;&lt;authors&gt;&lt;author&gt;NICE&lt;/author&gt;&lt;/authors&gt;&lt;/contributors&gt;&lt;titles&gt;&lt;title&gt;Developing NICE guidelines: the manual&lt;/title&gt;&lt;/titles&gt;&lt;number&gt;Oct 2014&lt;/number&gt;&lt;dates&gt;&lt;/dates&gt;&lt;urls&gt;&lt;/urls&gt;&lt;/record&gt;&lt;/Cite&gt;&lt;/EndNote&gt;</w:instrText>
      </w:r>
      <w:r w:rsidRPr="00F10391">
        <w:fldChar w:fldCharType="separate"/>
      </w:r>
      <w:r w:rsidR="00700267">
        <w:rPr>
          <w:noProof/>
        </w:rPr>
        <w:t>[85]</w:t>
      </w:r>
      <w:r w:rsidRPr="00F10391">
        <w:fldChar w:fldCharType="end"/>
      </w:r>
      <w:r w:rsidRPr="00F10391">
        <w:t>, though no records are kept as to which bodies actually implement them.</w:t>
      </w:r>
    </w:p>
    <w:p w14:paraId="23125442" w14:textId="77777777" w:rsidR="00D22CE3" w:rsidRPr="00F10391" w:rsidRDefault="00D22CE3">
      <w:r w:rsidRPr="00F10391">
        <w:t xml:space="preserve">There are also problems with following such an utilitarian approach </w:t>
      </w:r>
      <w:r w:rsidRPr="00F10391">
        <w:fldChar w:fldCharType="begin"/>
      </w:r>
      <w:r w:rsidR="00700267">
        <w:instrText xml:space="preserve"> ADDIN EN.CITE &lt;EndNote&gt;&lt;Cite&gt;&lt;Author&gt;Sen&lt;/Author&gt;&lt;Year&gt;1999&lt;/Year&gt;&lt;RecNum&gt;130&lt;/RecNum&gt;&lt;DisplayText&gt;[86]&lt;/DisplayText&gt;&lt;record&gt;&lt;rec-number&gt;130&lt;/rec-number&gt;&lt;foreign-keys&gt;&lt;key app="EN" db-id="sz9092dv2s5fpze9wpgx0zxgv5ar00aezrvf" timestamp="0"&gt;130&lt;/key&gt;&lt;/foreign-keys&gt;&lt;ref-type name="Book"&gt;6&lt;/ref-type&gt;&lt;contributors&gt;&lt;authors&gt;&lt;author&gt;Sen, Amartya&lt;/author&gt;&lt;/authors&gt;&lt;/contributors&gt;&lt;titles&gt;&lt;title&gt;Development as freedom&lt;/title&gt;&lt;/titles&gt;&lt;dates&gt;&lt;year&gt;1999&lt;/year&gt;&lt;/dates&gt;&lt;publisher&gt;Oxford University Press&lt;/publisher&gt;&lt;isbn&gt;0198297580&lt;/isbn&gt;&lt;urls&gt;&lt;/urls&gt;&lt;/record&gt;&lt;/Cite&gt;&lt;/EndNote&gt;</w:instrText>
      </w:r>
      <w:r w:rsidRPr="00F10391">
        <w:fldChar w:fldCharType="separate"/>
      </w:r>
      <w:r w:rsidR="00700267">
        <w:rPr>
          <w:noProof/>
        </w:rPr>
        <w:t>[86]</w:t>
      </w:r>
      <w:r w:rsidRPr="00F10391">
        <w:fldChar w:fldCharType="end"/>
      </w:r>
      <w:r w:rsidR="008C61BF">
        <w:t xml:space="preserve"> (p.62)</w:t>
      </w:r>
      <w:r w:rsidRPr="00F10391">
        <w:t>, including:</w:t>
      </w:r>
    </w:p>
    <w:p w14:paraId="1137323C" w14:textId="77777777" w:rsidR="00D22CE3" w:rsidRPr="00F10391" w:rsidRDefault="00D22CE3">
      <w:pPr>
        <w:pStyle w:val="ListParagraph"/>
        <w:numPr>
          <w:ilvl w:val="0"/>
          <w:numId w:val="15"/>
        </w:numPr>
      </w:pPr>
      <w:r w:rsidRPr="00F10391">
        <w:t>Indifference to distributional concerns</w:t>
      </w:r>
    </w:p>
    <w:p w14:paraId="0D8EDB80" w14:textId="77777777" w:rsidR="00D22CE3" w:rsidRPr="00F10391" w:rsidRDefault="00D22CE3">
      <w:pPr>
        <w:pStyle w:val="ListParagraph"/>
        <w:numPr>
          <w:ilvl w:val="1"/>
          <w:numId w:val="15"/>
        </w:numPr>
      </w:pPr>
      <w:r w:rsidRPr="00F10391">
        <w:t>This approach does not take into account how health is distributed in society, and whether or not certain groups permanently have better (or worse) health outcomes. There is no mechanism within them to ensure that no groups are systematically discriminated against, and it might well be expected that following these approaches could exacerbate health inequities.</w:t>
      </w:r>
    </w:p>
    <w:p w14:paraId="3C877DB7" w14:textId="77777777" w:rsidR="00D22CE3" w:rsidRPr="00F10391" w:rsidRDefault="00D22CE3">
      <w:pPr>
        <w:pStyle w:val="ListParagraph"/>
        <w:numPr>
          <w:ilvl w:val="0"/>
          <w:numId w:val="15"/>
        </w:numPr>
      </w:pPr>
      <w:r w:rsidRPr="00F10391">
        <w:t>Neglect of rights, freedoms and other non-utility concerns</w:t>
      </w:r>
    </w:p>
    <w:p w14:paraId="34EEA282" w14:textId="77777777" w:rsidR="00D22CE3" w:rsidRPr="00F10391" w:rsidRDefault="00D22CE3">
      <w:pPr>
        <w:pStyle w:val="ListParagraph"/>
        <w:numPr>
          <w:ilvl w:val="1"/>
          <w:numId w:val="15"/>
        </w:numPr>
      </w:pPr>
      <w:r w:rsidRPr="00F10391">
        <w:t xml:space="preserve">This approach assumes that all aspects can be traded off </w:t>
      </w:r>
      <w:r w:rsidRPr="00F10391">
        <w:rPr>
          <w:i/>
        </w:rPr>
        <w:t>and</w:t>
      </w:r>
      <w:r w:rsidRPr="00F10391">
        <w:t xml:space="preserve"> that all such issues are incorporated in the QALY measure. Evidently there are concerns that are not taken into account in the QALY, and even if they were, we still may not be willing to accept a health service that actively discriminates against certain groups, for example.</w:t>
      </w:r>
    </w:p>
    <w:p w14:paraId="41DD2493" w14:textId="77777777" w:rsidR="00D22CE3" w:rsidRPr="00F10391" w:rsidRDefault="00D22CE3">
      <w:pPr>
        <w:pStyle w:val="ListParagraph"/>
        <w:numPr>
          <w:ilvl w:val="0"/>
          <w:numId w:val="15"/>
        </w:numPr>
      </w:pPr>
      <w:r w:rsidRPr="00F10391">
        <w:t>Adaptation and mental conditioning</w:t>
      </w:r>
    </w:p>
    <w:p w14:paraId="5BD102F4" w14:textId="77777777" w:rsidR="00D22CE3" w:rsidRPr="00F10391" w:rsidRDefault="00D22CE3">
      <w:pPr>
        <w:pStyle w:val="ListParagraph"/>
        <w:numPr>
          <w:ilvl w:val="1"/>
          <w:numId w:val="15"/>
        </w:numPr>
      </w:pPr>
      <w:r w:rsidRPr="00F10391">
        <w:t xml:space="preserve">People routinely adapt to their settings </w:t>
      </w:r>
      <w:r w:rsidRPr="00F10391">
        <w:fldChar w:fldCharType="begin"/>
      </w:r>
      <w:r w:rsidR="00700267">
        <w:instrText xml:space="preserve"> ADDIN EN.CITE &lt;EndNote&gt;&lt;Cite&gt;&lt;Author&gt;Brickman&lt;/Author&gt;&lt;Year&gt;1978&lt;/Year&gt;&lt;RecNum&gt;17&lt;/RecNum&gt;&lt;DisplayText&gt;[87]&lt;/DisplayText&gt;&lt;record&gt;&lt;rec-number&gt;17&lt;/rec-number&gt;&lt;foreign-keys&gt;&lt;key app="EN" db-id="sz9092dv2s5fpze9wpgx0zxgv5ar00aezrvf" timestamp="0"&gt;17&lt;/key&gt;&lt;/foreign-keys&gt;&lt;ref-type name="Journal Article"&gt;17&lt;/ref-type&gt;&lt;contributors&gt;&lt;authors&gt;&lt;author&gt;Brickman, Philip&lt;/author&gt;&lt;author&gt;Coates, Dan&lt;/author&gt;&lt;author&gt;Janoff-Bulman, Ronnie&lt;/author&gt;&lt;/authors&gt;&lt;/contributors&gt;&lt;titles&gt;&lt;title&gt;Lottery winners and accident victims: Is happiness relative?&lt;/title&gt;&lt;secondary-title&gt;Journal of personality and social psychology&lt;/secondary-title&gt;&lt;/titles&gt;&lt;pages&gt;917&lt;/pages&gt;&lt;volume&gt;36&lt;/volume&gt;&lt;number&gt;8&lt;/number&gt;&lt;dates&gt;&lt;year&gt;1978&lt;/year&gt;&lt;/dates&gt;&lt;isbn&gt;1939-1315&lt;/isbn&gt;&lt;urls&gt;&lt;/urls&gt;&lt;/record&gt;&lt;/Cite&gt;&lt;/EndNote&gt;</w:instrText>
      </w:r>
      <w:r w:rsidRPr="00F10391">
        <w:fldChar w:fldCharType="separate"/>
      </w:r>
      <w:r w:rsidR="00700267">
        <w:rPr>
          <w:noProof/>
        </w:rPr>
        <w:t>[87]</w:t>
      </w:r>
      <w:r w:rsidRPr="00F10391">
        <w:fldChar w:fldCharType="end"/>
      </w:r>
      <w:r w:rsidRPr="00F10391">
        <w:t xml:space="preserve"> and the utilitarian calculus does not take this into account, resulting in potentially unfair results on those who cannot ever improve. Given the health of a paraplegic is considered far less than that of a healthy person, the scope for improvements in health is also reduced – which may be considered discriminatory if treatments are rationed using such an approach. The approach could even be criticised for formalising inadvertent discrimination against the elderly, who (assuming they suffer from diseases that predominately affect this age group) will have less opportunity to have years to live and a lower expected quality of life over these years than young people in full health.</w:t>
      </w:r>
    </w:p>
    <w:p w14:paraId="7C6B2586" w14:textId="01ED27C1" w:rsidR="00D22CE3" w:rsidRPr="00F10391" w:rsidRDefault="00D22CE3">
      <w:r w:rsidRPr="00F10391">
        <w:t xml:space="preserve">Whether or not such issues are necessarily unfair is ultimately a value </w:t>
      </w:r>
      <w:r w:rsidR="001B7ADD">
        <w:t>judgment</w:t>
      </w:r>
      <w:r w:rsidRPr="00F10391">
        <w:t>, as is the definition of health used in the QALY. Through quantifying it in this way, analytical approaches can be applied to inform decision-makers – but this does not necessarily mean that other considerations should not be considered if desired by decision-makers.</w:t>
      </w:r>
    </w:p>
    <w:p w14:paraId="358B928C" w14:textId="77777777" w:rsidR="00D22CE3" w:rsidRPr="00F10391" w:rsidRDefault="00D22CE3">
      <w:r w:rsidRPr="00F10391">
        <w:t xml:space="preserve">There is some reluctance amongst the public and some decision-makers to make decisions based on health economic measures alone </w:t>
      </w:r>
      <w:r w:rsidRPr="00F10391">
        <w:fldChar w:fldCharType="begin">
          <w:fldData xml:space="preserve">PEVuZE5vdGU+PENpdGU+PEF1dGhvcj5Db2FzdDwvQXV0aG9yPjxZZWFyPjIwMDQ8L1llYXI+PFJl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</w:fldData>
        </w:fldChar>
      </w:r>
      <w:r w:rsidR="00700267">
        <w:instrText xml:space="preserve"> ADDIN EN.CITE </w:instrText>
      </w:r>
      <w:r w:rsidR="00700267">
        <w:fldChar w:fldCharType="begin">
          <w:fldData xml:space="preserve">PEVuZE5vdGU+PENpdGU+PEF1dGhvcj5Db2FzdDwvQXV0aG9yPjxZZWFyPjIwMDQ8L1llYXI+PFJl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</w:fldData>
        </w:fldChar>
      </w:r>
      <w:r w:rsidR="00700267">
        <w:instrText xml:space="preserve"> ADDIN EN.CITE.DATA </w:instrText>
      </w:r>
      <w:r w:rsidR="00700267">
        <w:fldChar w:fldCharType="end"/>
      </w:r>
      <w:r w:rsidRPr="00F10391">
        <w:fldChar w:fldCharType="separate"/>
      </w:r>
      <w:r w:rsidR="00700267">
        <w:rPr>
          <w:noProof/>
        </w:rPr>
        <w:t>[82, 88-91]</w:t>
      </w:r>
      <w:r w:rsidRPr="00F10391">
        <w:fldChar w:fldCharType="end"/>
      </w:r>
      <w:r w:rsidRPr="00F10391">
        <w:rPr>
          <w:rStyle w:val="CommentReference"/>
          <w:lang w:eastAsia="en-US"/>
        </w:rPr>
        <w:t xml:space="preserve">. </w:t>
      </w:r>
      <w:r w:rsidRPr="00F10391">
        <w:t xml:space="preserve">An attempt to use this approach in </w:t>
      </w:r>
      <w:r w:rsidRPr="00F10391">
        <w:lastRenderedPageBreak/>
        <w:t xml:space="preserve">Oregon in the early 1990s had to be heavily doctored before implementation in order to better address the concerns of the population </w:t>
      </w:r>
      <w:r w:rsidRPr="00F10391">
        <w:fldChar w:fldCharType="begin"/>
      </w:r>
      <w:r w:rsidR="00700267">
        <w:instrText xml:space="preserve"> ADDIN EN.CITE &lt;EndNote&gt;&lt;Cite&gt;&lt;Author&gt;Blumstein&lt;/Author&gt;&lt;Year&gt;1997&lt;/Year&gt;&lt;RecNum&gt;14&lt;/RecNum&gt;&lt;DisplayText&gt;[70]&lt;/DisplayText&gt;&lt;record&gt;&lt;rec-number&gt;14&lt;/rec-number&gt;&lt;foreign-keys&gt;&lt;key app="EN" db-id="sz9092dv2s5fpze9wpgx0zxgv5ar00aezrvf" timestamp="0"&gt;14&lt;/key&gt;&lt;/foreign-keys&gt;&lt;ref-type name="Journal Article"&gt;17&lt;/ref-type&gt;&lt;contributors&gt;&lt;authors&gt;&lt;author&gt;Blumstein, James F&lt;/author&gt;&lt;/authors&gt;&lt;/contributors&gt;&lt;titles&gt;&lt;title&gt;The Oregon experiment: the role of cost-benefit analysis in the allocation of Medicaid funds&lt;/title&gt;&lt;secondary-title&gt;Social science &amp;amp; medicine&lt;/secondary-title&gt;&lt;/titles&gt;&lt;periodical&gt;&lt;full-title&gt;Social science &amp;amp; medicine&lt;/full-title&gt;&lt;/periodical&gt;&lt;pages&gt;545-554&lt;/pages&gt;&lt;volume&gt;45&lt;/volume&gt;&lt;number&gt;4&lt;/number&gt;&lt;dates&gt;&lt;year&gt;1997&lt;/year&gt;&lt;/dates&gt;&lt;isbn&gt;0277-9536&lt;/isbn&gt;&lt;urls&gt;&lt;related-urls&gt;&lt;url&gt;http://www.sciencedirect.com/science/article/pii/S0277953696003954&lt;/url&gt;&lt;/related-urls&gt;&lt;/urls&gt;&lt;/record&gt;&lt;/Cite&gt;&lt;/EndNote&gt;</w:instrText>
      </w:r>
      <w:r w:rsidRPr="00F10391">
        <w:fldChar w:fldCharType="separate"/>
      </w:r>
      <w:r w:rsidR="00700267">
        <w:rPr>
          <w:noProof/>
        </w:rPr>
        <w:t>[70]</w:t>
      </w:r>
      <w:r w:rsidRPr="00F10391">
        <w:fldChar w:fldCharType="end"/>
      </w:r>
      <w:r w:rsidRPr="00F10391">
        <w:t xml:space="preserve">. Healthcare decisions routinely require deliberation even when quantitative evidence of safety is available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and ultimately decision-making for problems of this nature should be owned by the people or committees responsible, rather than </w:t>
      </w:r>
      <w:r w:rsidR="00634E54" w:rsidRPr="00F10391">
        <w:t>an algorithm which by its nature cannot take every possible factor into account.</w:t>
      </w:r>
      <w:r w:rsidRPr="00F10391">
        <w:t xml:space="preserve"> </w:t>
      </w:r>
    </w:p>
    <w:p w14:paraId="4681CAEB" w14:textId="77777777" w:rsidR="00D22CE3" w:rsidRPr="00F10391" w:rsidRDefault="00D22CE3">
      <w:r w:rsidRPr="00F10391">
        <w:t>Some decisions are clearly better than others, and where a new treatment is cheaper and more effective than current practice, the newer one is dominant and should normally be recommended. Equally, treatments that are more expensive and are less effective than current practice should not be recommended. However, if the new intervention being examined is cheaper and less effective – or more commonly, both more expensive and effective – ICER valuations can prove very useful to decision-makers.</w:t>
      </w:r>
    </w:p>
    <w:p w14:paraId="7C526CD6" w14:textId="77777777" w:rsidR="00D22CE3" w:rsidRPr="00F10391" w:rsidRDefault="00D22CE3">
      <w:r w:rsidRPr="00F10391">
        <w:t xml:space="preserve">While these are the broad principles behind which CUA, the devil is in the detail and many variations are possible. For example, the analysis could take the perspective of the individual, the health system, the overall public service or the broader economy. In Williams’ landmark paper “Economics of coronary artery bypass grafting” </w:t>
      </w:r>
      <w:r w:rsidRPr="00F10391">
        <w:fldChar w:fldCharType="begin"/>
      </w:r>
      <w:r w:rsidR="00700267">
        <w:instrText xml:space="preserve"> ADDIN EN.CITE &lt;EndNote&gt;&lt;Cite ExcludeAuth="1"&gt;&lt;Author&gt;Williams&lt;/Author&gt;&lt;Year&gt;2001&lt;/Year&gt;&lt;RecNum&gt;154&lt;/RecNum&gt;&lt;DisplayText&gt;[93]&lt;/DisplayText&gt;&lt;record&gt;&lt;rec-number&gt;154&lt;/rec-number&gt;&lt;foreign-keys&gt;&lt;key app="EN" db-id="sz9092dv2s5fpze9wpgx0zxgv5ar00aezrvf" timestamp="0"&gt;154&lt;/key&gt;&lt;/foreign-keys&gt;&lt;ref-type name="Journal Article"&gt;17&lt;/ref-type&gt;&lt;contributors&gt;&lt;authors&gt;&lt;author&gt;Williams, Alan&lt;/author&gt;&lt;/authors&gt;&lt;/contributors&gt;&lt;titles&gt;&lt;title&gt;Economics of coronary artery bypass grafting&lt;/title&gt;&lt;secondary-title&gt;Bulletin of the World Health Organization&lt;/secondary-title&gt;&lt;/titles&gt;&lt;periodical&gt;&lt;full-title&gt;Bulletin of the World Health Organization&lt;/full-title&gt;&lt;/periodical&gt;&lt;pages&gt;681-684&lt;/pages&gt;&lt;volume&gt;79&lt;/volume&gt;&lt;number&gt;7&lt;/number&gt;&lt;dates&gt;&lt;year&gt;2001&lt;/year&gt;&lt;/dates&gt;&lt;isbn&gt;0042-9686&lt;/isbn&gt;&lt;urls&gt;&lt;related-urls&gt;&lt;url&gt;http://www.ncbi.nlm.nih.gov/pmc/articles/PMC2566464/pdf/11484733.pdf&lt;/url&gt;&lt;/related-urls&gt;&lt;/urls&gt;&lt;/record&gt;&lt;/Cite&gt;&lt;/EndNote&gt;</w:instrText>
      </w:r>
      <w:r w:rsidRPr="00F10391">
        <w:fldChar w:fldCharType="separate"/>
      </w:r>
      <w:r w:rsidR="00700267">
        <w:rPr>
          <w:noProof/>
        </w:rPr>
        <w:t>[93]</w:t>
      </w:r>
      <w:r w:rsidRPr="00F10391">
        <w:fldChar w:fldCharType="end"/>
      </w:r>
      <w:r w:rsidRPr="00F10391">
        <w:t>, he proposes the impact on those caring for the patient should be included, which are not currently considered in NICE’s processes. Other assumptions used in the paper were framed by the economic conditions of the mid 1980s in which it was written, with high rates of unemployment. How this influenced NICE’s reference case, which was designed in very different economic circumstances, is unclear.</w:t>
      </w:r>
    </w:p>
    <w:p w14:paraId="01265B49" w14:textId="0BB1FB30" w:rsidR="00D22CE3" w:rsidRPr="00F10391" w:rsidRDefault="00D22CE3">
      <w:r w:rsidRPr="00F10391">
        <w:t>CUA represents “a logical and explicit framework to aid health care workers, decision-makers, governments, or society at large, to make choices on how best to use resources”</w:t>
      </w:r>
      <w:r w:rsidR="00A662B3">
        <w:t xml:space="preserve"> </w:t>
      </w:r>
      <w:r w:rsidR="00A662B3">
        <w:fldChar w:fldCharType="begin"/>
      </w:r>
      <w:r w:rsidR="00700267">
        <w:instrText xml:space="preserve"> ADDIN EN.CITE &lt;EndNote&gt;&lt;Cite&gt;&lt;Author&gt;Jefferson&lt;/Author&gt;&lt;Year&gt;1996&lt;/Year&gt;&lt;RecNum&gt;63&lt;/RecNum&gt;&lt;DisplayText&gt;[45]&lt;/DisplayText&gt;&lt;record&gt;&lt;rec-number&gt;63&lt;/rec-number&gt;&lt;foreign-keys&gt;&lt;key app="EN" db-id="sz9092dv2s5fpze9wpgx0zxgv5ar00aezrvf" timestamp="0"&gt;63&lt;/key&gt;&lt;/foreign-keys&gt;&lt;ref-type name="Book"&gt;6&lt;/ref-type&gt;&lt;contributors&gt;&lt;authors&gt;&lt;author&gt;Jefferson, Tom&lt;/author&gt;&lt;author&gt;Demicheli, Vittorio&lt;/author&gt;&lt;author&gt;Mugford, Miranda&lt;/author&gt;&lt;/authors&gt;&lt;/contributors&gt;&lt;titles&gt;&lt;title&gt;Elementary economic evaluation in health care&lt;/title&gt;&lt;/titles&gt;&lt;dates&gt;&lt;year&gt;1996&lt;/year&gt;&lt;/dates&gt;&lt;publisher&gt;BMJ Publishing Group&lt;/publisher&gt;&lt;isbn&gt;0727910744&lt;/isbn&gt;&lt;urls&gt;&lt;/urls&gt;&lt;/record&gt;&lt;/Cite&gt;&lt;/EndNote&gt;</w:instrText>
      </w:r>
      <w:r w:rsidR="00A662B3">
        <w:fldChar w:fldCharType="separate"/>
      </w:r>
      <w:r w:rsidR="00700267">
        <w:rPr>
          <w:noProof/>
        </w:rPr>
        <w:t>[45]</w:t>
      </w:r>
      <w:r w:rsidR="00A662B3">
        <w:fldChar w:fldCharType="end"/>
      </w:r>
      <w:r w:rsidR="00005AA6">
        <w:t xml:space="preserve"> (</w:t>
      </w:r>
      <w:r w:rsidR="00A662B3">
        <w:t>quote</w:t>
      </w:r>
      <w:r w:rsidR="00005AA6">
        <w:t>d</w:t>
      </w:r>
      <w:r w:rsidR="00A662B3">
        <w:t xml:space="preserve"> in </w:t>
      </w:r>
      <w:r w:rsidR="00005AA6">
        <w:t xml:space="preserve">Phillips </w:t>
      </w:r>
      <w:r w:rsidR="00005AA6">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005AA6">
        <w:fldChar w:fldCharType="separate"/>
      </w:r>
      <w:r w:rsidR="00700267">
        <w:rPr>
          <w:noProof/>
        </w:rPr>
        <w:t>[46]</w:t>
      </w:r>
      <w:r w:rsidR="00005AA6">
        <w:fldChar w:fldCharType="end"/>
      </w:r>
      <w:r w:rsidR="00005AA6">
        <w:t xml:space="preserve"> (p.13)) </w:t>
      </w:r>
      <w:r w:rsidRPr="00F10391">
        <w:t xml:space="preserve">and should “be welcomed as a challenge to the covert, imprecise and inconsistent practice of prioritisation which exists in all healthcare systems today” </w:t>
      </w:r>
      <w:r w:rsidRPr="00F10391">
        <w:fldChar w:fldCharType="begin"/>
      </w:r>
      <w:r w:rsidR="00700267">
        <w:instrText xml:space="preserve"> ADDIN EN.CITE &lt;EndNote&gt;&lt;Cite&gt;&lt;Author&gt;Maynard&lt;/Author&gt;&lt;Year&gt;1994&lt;/Year&gt;&lt;RecNum&gt;93&lt;/RecNum&gt;&lt;DisplayText&gt;[94]&lt;/DisplayText&gt;&lt;record&gt;&lt;rec-number&gt;93&lt;/rec-number&gt;&lt;foreign-keys&gt;&lt;key app="EN" db-id="sz9092dv2s5fpze9wpgx0zxgv5ar00aezrvf" timestamp="0"&gt;93&lt;/key&gt;&lt;/foreign-keys&gt;&lt;ref-type name="Journal Article"&gt;17&lt;/ref-type&gt;&lt;contributors&gt;&lt;authors&gt;&lt;author&gt;Maynard, Alan&lt;/author&gt;&lt;/authors&gt;&lt;/contributors&gt;&lt;titles&gt;&lt;title&gt;Prioritising health care—dreams and reality&lt;/title&gt;&lt;secondary-title&gt;Setting priorities in health care. Wiley: Chichester&lt;/secondary-title&gt;&lt;/titles&gt;&lt;pages&gt;1-18&lt;/pages&gt;&lt;dates&gt;&lt;year&gt;1994&lt;/year&gt;&lt;/dates&gt;&lt;urls&gt;&lt;/urls&gt;&lt;/record&gt;&lt;/Cite&gt;&lt;/EndNote&gt;</w:instrText>
      </w:r>
      <w:r w:rsidRPr="00F10391">
        <w:fldChar w:fldCharType="separate"/>
      </w:r>
      <w:r w:rsidR="00700267">
        <w:rPr>
          <w:noProof/>
        </w:rPr>
        <w:t>[94]</w:t>
      </w:r>
      <w:r w:rsidRPr="00F10391">
        <w:fldChar w:fldCharType="end"/>
      </w:r>
      <w:r w:rsidR="00D24504">
        <w:t xml:space="preserve"> (quoted in </w:t>
      </w:r>
      <w:r w:rsidR="00D24504">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D24504">
        <w:fldChar w:fldCharType="separate"/>
      </w:r>
      <w:r w:rsidR="00700267">
        <w:rPr>
          <w:noProof/>
        </w:rPr>
        <w:t>[46]</w:t>
      </w:r>
      <w:r w:rsidR="00D24504">
        <w:fldChar w:fldCharType="end"/>
      </w:r>
      <w:r w:rsidR="00D24504">
        <w:t xml:space="preserve"> (p.135))</w:t>
      </w:r>
      <w:r w:rsidRPr="00F10391">
        <w:t xml:space="preserve">. Thankfully, it is somewhat extraordinary that the statement that “[b]efore a well-informed </w:t>
      </w:r>
      <w:r w:rsidR="001B7ADD">
        <w:t>judgment</w:t>
      </w:r>
      <w:r w:rsidRPr="00F10391">
        <w:t xml:space="preserve"> of whether it is in the public interest to increase, decrease, or keep constant the number of operations for coronary artery bypass grafting relatable comparisons must be made with other potential users of resources” </w:t>
      </w:r>
      <w:r w:rsidRPr="00F10391">
        <w:fldChar w:fldCharType="begin"/>
      </w:r>
      <w:r w:rsidR="00700267">
        <w:instrText xml:space="preserve"> ADDIN EN.CITE &lt;EndNote&gt;&lt;Cite&gt;&lt;Author&gt;Williams&lt;/Author&gt;&lt;Year&gt;2001&lt;/Year&gt;&lt;RecNum&gt;154&lt;/RecNum&gt;&lt;DisplayText&gt;[93]&lt;/DisplayText&gt;&lt;record&gt;&lt;rec-number&gt;154&lt;/rec-number&gt;&lt;foreign-keys&gt;&lt;key app="EN" db-id="sz9092dv2s5fpze9wpgx0zxgv5ar00aezrvf" timestamp="0"&gt;154&lt;/key&gt;&lt;/foreign-keys&gt;&lt;ref-type name="Journal Article"&gt;17&lt;/ref-type&gt;&lt;contributors&gt;&lt;authors&gt;&lt;author&gt;Williams, Alan&lt;/author&gt;&lt;/authors&gt;&lt;/contributors&gt;&lt;titles&gt;&lt;title&gt;Economics of coronary artery bypass grafting&lt;/title&gt;&lt;secondary-title&gt;Bulletin of the World Health Organization&lt;/secondary-title&gt;&lt;/titles&gt;&lt;periodical&gt;&lt;full-title&gt;Bulletin of the World Health Organization&lt;/full-title&gt;&lt;/periodical&gt;&lt;pages&gt;681-684&lt;/pages&gt;&lt;volume&gt;79&lt;/volume&gt;&lt;number&gt;7&lt;/number&gt;&lt;dates&gt;&lt;year&gt;2001&lt;/year&gt;&lt;/dates&gt;&lt;isbn&gt;0042-9686&lt;/isbn&gt;&lt;urls&gt;&lt;related-urls&gt;&lt;url&gt;http://www.ncbi.nlm.nih.gov/pmc/articles/PMC2566464/pdf/11484733.pdf&lt;/url&gt;&lt;/related-urls&gt;&lt;/urls&gt;&lt;/record&gt;&lt;/Cite&gt;&lt;/EndNote&gt;</w:instrText>
      </w:r>
      <w:r w:rsidRPr="00F10391">
        <w:fldChar w:fldCharType="separate"/>
      </w:r>
      <w:r w:rsidR="00700267">
        <w:rPr>
          <w:noProof/>
        </w:rPr>
        <w:t>[93]</w:t>
      </w:r>
      <w:r w:rsidRPr="00F10391">
        <w:fldChar w:fldCharType="end"/>
      </w:r>
      <w:r w:rsidR="000C4C15">
        <w:t xml:space="preserve"> (p.683)</w:t>
      </w:r>
      <w:r w:rsidRPr="00F10391">
        <w:t xml:space="preserve"> today seems so self-evident.</w:t>
      </w:r>
    </w:p>
    <w:p w14:paraId="3788B7A4" w14:textId="77777777" w:rsidR="00D22CE3" w:rsidRPr="00F10391" w:rsidRDefault="00D22CE3"/>
    <w:p w14:paraId="12F9EA4B" w14:textId="77777777" w:rsidR="00D22CE3" w:rsidRPr="00F10391" w:rsidRDefault="00D22CE3">
      <w:pPr>
        <w:pStyle w:val="Heading3"/>
      </w:pPr>
      <w:bookmarkStart w:id="86" w:name="_Toc313187823"/>
      <w:bookmarkStart w:id="87" w:name="_Toc441508920"/>
      <w:bookmarkStart w:id="88" w:name="_Toc453235358"/>
      <w:bookmarkStart w:id="89" w:name="_Toc453595431"/>
      <w:bookmarkStart w:id="90" w:name="_Toc476241528"/>
      <w:r w:rsidRPr="00F10391">
        <w:t>2.4.2</w:t>
      </w:r>
      <w:r w:rsidRPr="00F10391">
        <w:tab/>
      </w:r>
      <w:r w:rsidRPr="00F10391">
        <w:tab/>
        <w:t>Cost-benefit analysis (CBA)</w:t>
      </w:r>
      <w:bookmarkEnd w:id="86"/>
      <w:bookmarkEnd w:id="87"/>
      <w:bookmarkEnd w:id="88"/>
      <w:bookmarkEnd w:id="89"/>
      <w:bookmarkEnd w:id="90"/>
      <w:r w:rsidR="000C4C15">
        <w:t xml:space="preserve"> </w:t>
      </w:r>
    </w:p>
    <w:p w14:paraId="189E0AC7" w14:textId="77777777" w:rsidR="00D22CE3" w:rsidRPr="00F10391" w:rsidRDefault="00D22CE3">
      <w:r w:rsidRPr="00F10391">
        <w:t xml:space="preserve">Cost-benefit analysis is a welfarist economic approach relating to the Pareto principle that in so long as some action can improve some individual’s lot in terms of welfare or overall utility (not to be confused with healthcare-specific utility measures, such as the QALY) without harming others, then this is considered an overall societal improvement. While on its own such a statement may seem uncontroversial, it is difficult to operationalize as an objective. Where decisions will inevitably take welfare from one group and give to another, the Pareto principle gives no indication of which is better </w:t>
      </w:r>
      <w:r w:rsidRPr="00F10391">
        <w:fldChar w:fldCharType="begin"/>
      </w:r>
      <w:r w:rsidR="00700267">
        <w:instrText xml:space="preserve"> ADDIN EN.CITE &lt;EndNote&gt;&lt;Cite&gt;&lt;Author&gt;Coast&lt;/Author&gt;&lt;Year&gt;2008&lt;/Year&gt;&lt;RecNum&gt;340&lt;/RecNum&gt;&lt;DisplayText&gt;[95]&lt;/DisplayText&gt;&lt;record&gt;&lt;rec-number&gt;340&lt;/rec-number&gt;&lt;foreign-keys&gt;&lt;key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EndNote&gt;</w:instrText>
      </w:r>
      <w:r w:rsidRPr="00F10391">
        <w:fldChar w:fldCharType="separate"/>
      </w:r>
      <w:r w:rsidR="00700267">
        <w:rPr>
          <w:noProof/>
        </w:rPr>
        <w:t>[95]</w:t>
      </w:r>
      <w:r w:rsidRPr="00F10391">
        <w:fldChar w:fldCharType="end"/>
      </w:r>
      <w:r w:rsidRPr="00F10391">
        <w:t xml:space="preserve">. </w:t>
      </w:r>
    </w:p>
    <w:p w14:paraId="02102B5F" w14:textId="77777777" w:rsidR="00D22CE3" w:rsidRPr="00F10391" w:rsidRDefault="00D22CE3">
      <w:r w:rsidRPr="00F10391">
        <w:t xml:space="preserve">The Kaldor-Hicks criterion can be used to identify if the winners in such a scenario could successfully compensate losers in terms of welfare </w:t>
      </w:r>
      <w:r w:rsidRPr="00F10391">
        <w:fldChar w:fldCharType="begin"/>
      </w:r>
      <w:r w:rsidR="00700267">
        <w:instrText xml:space="preserve"> ADDIN EN.CITE &lt;EndNote&gt;&lt;Cite&gt;&lt;Author&gt;Scitovszky&lt;/Author&gt;&lt;Year&gt;1941&lt;/Year&gt;&lt;RecNum&gt;336&lt;/RecNum&gt;&lt;DisplayText&gt;[96]&lt;/DisplayText&gt;&lt;record&gt;&lt;rec-number&gt;336&lt;/rec-number&gt;&lt;foreign-keys&gt;&lt;key app="EN" db-id="sz9092dv2s5fpze9wpgx0zxgv5ar00aezrvf" timestamp="0"&gt;336&lt;/key&gt;&lt;/foreign-keys&gt;&lt;ref-type name="Journal Article"&gt;17&lt;/ref-type&gt;&lt;contributors&gt;&lt;authors&gt;&lt;author&gt;Scitovszky, T de&lt;/author&gt;&lt;/authors&gt;&lt;/contributors&gt;&lt;titles&gt;&lt;title&gt;A Note on Welfare Propositions in Economics&lt;/title&gt;&lt;secondary-title&gt;Rev. Econ. Stud.&lt;/secondary-title&gt;&lt;/titles&gt;&lt;pages&gt;77&lt;/pages&gt;&lt;volume&gt;9&lt;/volume&gt;&lt;dates&gt;&lt;year&gt;1941&lt;/year&gt;&lt;/dates&gt;&lt;urls&gt;&lt;/urls&gt;&lt;/record&gt;&lt;/Cite&gt;&lt;/EndNote&gt;</w:instrText>
      </w:r>
      <w:r w:rsidRPr="00F10391">
        <w:fldChar w:fldCharType="separate"/>
      </w:r>
      <w:r w:rsidR="00700267">
        <w:rPr>
          <w:noProof/>
        </w:rPr>
        <w:t>[96]</w:t>
      </w:r>
      <w:r w:rsidRPr="00F10391">
        <w:fldChar w:fldCharType="end"/>
      </w:r>
      <w:r w:rsidRPr="00F10391">
        <w:t xml:space="preserve">, leading to a global improvement by increasing the consumer surplus </w:t>
      </w:r>
      <w:r w:rsidRPr="00F10391">
        <w:fldChar w:fldCharType="begin"/>
      </w:r>
      <w:r w:rsidR="00700267">
        <w:instrText xml:space="preserve"> ADDIN EN.CITE &lt;EndNote&gt;&lt;Cite&gt;&lt;Author&gt;Johannesson&lt;/Author&gt;&lt;Year&gt;1991&lt;/Year&gt;&lt;RecNum&gt;338&lt;/RecNum&gt;&lt;DisplayText&gt;[97]&lt;/DisplayText&gt;&lt;record&gt;&lt;rec-number&gt;338&lt;/rec-number&gt;&lt;foreign-keys&gt;&lt;key app="EN" db-id="sz9092dv2s5fpze9wpgx0zxgv5ar00aezrvf" timestamp="0"&gt;338&lt;/key&gt;&lt;/foreign-keys&gt;&lt;ref-type name="Journal Article"&gt;17&lt;/ref-type&gt;&lt;contributors&gt;&lt;authors&gt;&lt;author&gt;Johannesson, Magnus&lt;/author&gt;&lt;author&gt;Jönsson, Bengt&lt;/author&gt;&lt;/authors&gt;&lt;/contributors&gt;&lt;titles&gt;&lt;title&gt;Economic evaluation in health care: is there a role for cost-benefit analysis?&lt;/title&gt;&lt;secondary-title&gt;Health policy&lt;/secondary-title&gt;&lt;/titles&gt;&lt;periodical&gt;&lt;full-title&gt;Health Policy&lt;/full-title&gt;&lt;/periodical&gt;&lt;pages&gt;1-23&lt;/pages&gt;&lt;volume&gt;17&lt;/volume&gt;&lt;number&gt;1&lt;/number&gt;&lt;dates&gt;&lt;year&gt;1991&lt;/year&gt;&lt;/dates&gt;&lt;isbn&gt;0168-8510&lt;/isbn&gt;&lt;urls&gt;&lt;related-urls&gt;&lt;url&gt;http://www.healthpolicyjrnl.com/article/0168-8510(91)90114-D/abstract&lt;/url&gt;&lt;/related-urls&gt;&lt;/urls&gt;&lt;/record&gt;&lt;/Cite&gt;&lt;/EndNote&gt;</w:instrText>
      </w:r>
      <w:r w:rsidRPr="00F10391">
        <w:fldChar w:fldCharType="separate"/>
      </w:r>
      <w:r w:rsidR="00700267">
        <w:rPr>
          <w:noProof/>
        </w:rPr>
        <w:t>[97]</w:t>
      </w:r>
      <w:r w:rsidRPr="00F10391">
        <w:fldChar w:fldCharType="end"/>
      </w:r>
      <w:r w:rsidRPr="00F10391">
        <w:t xml:space="preserve">. This effectively uses a less strict definition of the Pareto principle, where losers are allowed. No such compensation is actually required to be paid (and </w:t>
      </w:r>
      <w:r w:rsidRPr="00F10391">
        <w:lastRenderedPageBreak/>
        <w:t xml:space="preserve">even if it were the Boadway paradox </w:t>
      </w:r>
      <w:r w:rsidRPr="00F10391">
        <w:fldChar w:fldCharType="begin"/>
      </w:r>
      <w:r w:rsidR="00700267">
        <w:instrText xml:space="preserve"> ADDIN EN.CITE &lt;EndNote&gt;&lt;Cite&gt;&lt;Author&gt;Boadway&lt;/Author&gt;&lt;Year&gt;1974&lt;/Year&gt;&lt;RecNum&gt;337&lt;/RecNum&gt;&lt;DisplayText&gt;[98]&lt;/DisplayText&gt;&lt;record&gt;&lt;rec-number&gt;337&lt;/rec-number&gt;&lt;foreign-keys&gt;&lt;key app="EN" db-id="sz9092dv2s5fpze9wpgx0zxgv5ar00aezrvf" timestamp="0"&gt;337&lt;/key&gt;&lt;/foreign-keys&gt;&lt;ref-type name="Journal Article"&gt;17&lt;/ref-type&gt;&lt;contributors&gt;&lt;authors&gt;&lt;author&gt;Boadway, Robin W&lt;/author&gt;&lt;/authors&gt;&lt;/contributors&gt;&lt;titles&gt;&lt;title&gt;The welfare foundations of cost-benefit analysis&lt;/title&gt;&lt;secondary-title&gt;The Economic Journal&lt;/secondary-title&gt;&lt;/titles&gt;&lt;pages&gt;926-939&lt;/pages&gt;&lt;dates&gt;&lt;year&gt;1974&lt;/year&gt;&lt;/dates&gt;&lt;isbn&gt;0013-0133&lt;/isbn&gt;&lt;urls&gt;&lt;/urls&gt;&lt;/record&gt;&lt;/Cite&gt;&lt;/EndNote&gt;</w:instrText>
      </w:r>
      <w:r w:rsidRPr="00F10391">
        <w:fldChar w:fldCharType="separate"/>
      </w:r>
      <w:r w:rsidR="00700267">
        <w:rPr>
          <w:noProof/>
        </w:rPr>
        <w:t>[98]</w:t>
      </w:r>
      <w:r w:rsidRPr="00F10391">
        <w:fldChar w:fldCharType="end"/>
      </w:r>
      <w:r w:rsidRPr="00F10391">
        <w:t xml:space="preserve"> holds that for sufficiently large projects, this could change market prices and thereby make such compensation insufficient). There are two possible methods to gather such information </w:t>
      </w:r>
      <w:r w:rsidRPr="00F10391">
        <w:fldChar w:fldCharType="begin"/>
      </w:r>
      <w:r w:rsidR="00700267">
        <w:instrText xml:space="preserve"> ADDIN EN.CITE &lt;EndNote&gt;&lt;Cite&gt;&lt;Author&gt;Johannesson&lt;/Author&gt;&lt;Year&gt;1991&lt;/Year&gt;&lt;RecNum&gt;338&lt;/RecNum&gt;&lt;DisplayText&gt;[97]&lt;/DisplayText&gt;&lt;record&gt;&lt;rec-number&gt;338&lt;/rec-number&gt;&lt;foreign-keys&gt;&lt;key app="EN" db-id="sz9092dv2s5fpze9wpgx0zxgv5ar00aezrvf" timestamp="0"&gt;338&lt;/key&gt;&lt;/foreign-keys&gt;&lt;ref-type name="Journal Article"&gt;17&lt;/ref-type&gt;&lt;contributors&gt;&lt;authors&gt;&lt;author&gt;Johannesson, Magnus&lt;/author&gt;&lt;author&gt;Jönsson, Bengt&lt;/author&gt;&lt;/authors&gt;&lt;/contributors&gt;&lt;titles&gt;&lt;title&gt;Economic evaluation in health care: is there a role for cost-benefit analysis?&lt;/title&gt;&lt;secondary-title&gt;Health policy&lt;/secondary-title&gt;&lt;/titles&gt;&lt;periodical&gt;&lt;full-title&gt;Health Policy&lt;/full-title&gt;&lt;/periodical&gt;&lt;pages&gt;1-23&lt;/pages&gt;&lt;volume&gt;17&lt;/volume&gt;&lt;number&gt;1&lt;/number&gt;&lt;dates&gt;&lt;year&gt;1991&lt;/year&gt;&lt;/dates&gt;&lt;isbn&gt;0168-8510&lt;/isbn&gt;&lt;urls&gt;&lt;related-urls&gt;&lt;url&gt;http://www.healthpolicyjrnl.com/article/0168-8510(91)90114-D/abstract&lt;/url&gt;&lt;/related-urls&gt;&lt;/urls&gt;&lt;/record&gt;&lt;/Cite&gt;&lt;/EndNote&gt;</w:instrText>
      </w:r>
      <w:r w:rsidRPr="00F10391">
        <w:fldChar w:fldCharType="separate"/>
      </w:r>
      <w:r w:rsidR="00700267">
        <w:rPr>
          <w:noProof/>
        </w:rPr>
        <w:t>[97]</w:t>
      </w:r>
      <w:r w:rsidRPr="00F10391">
        <w:fldChar w:fldCharType="end"/>
      </w:r>
      <w:r w:rsidRPr="00F10391">
        <w:t>:</w:t>
      </w:r>
    </w:p>
    <w:p w14:paraId="415C7C08" w14:textId="77777777" w:rsidR="00D22CE3" w:rsidRPr="00F10391" w:rsidRDefault="00D22CE3">
      <w:pPr>
        <w:pStyle w:val="ListParagraph"/>
        <w:numPr>
          <w:ilvl w:val="0"/>
          <w:numId w:val="20"/>
        </w:numPr>
      </w:pPr>
      <w:r w:rsidRPr="00F10391">
        <w:t>Compensating variation – using a starting point of current utility, investigating the willingness to pay (WTP) for welfare improvement and the willingness to accept (WTA) a certain level of compensation for a disimprovement.</w:t>
      </w:r>
    </w:p>
    <w:p w14:paraId="140F124F" w14:textId="77777777" w:rsidR="00D22CE3" w:rsidRPr="00F10391" w:rsidRDefault="00D22CE3">
      <w:pPr>
        <w:pStyle w:val="ListParagraph"/>
        <w:numPr>
          <w:ilvl w:val="0"/>
          <w:numId w:val="20"/>
        </w:numPr>
      </w:pPr>
      <w:r w:rsidRPr="00F10391">
        <w:t xml:space="preserve">Equivalent variation – using a starting point of the welfare that a potential recipient of an intervention would have where he to receive it, the WTP refers to how much he would pay to avoid deterioration in welfare and WTA the compensation demanded for not receiving the intervention. </w:t>
      </w:r>
    </w:p>
    <w:p w14:paraId="213E0B30" w14:textId="77777777" w:rsidR="00D22CE3" w:rsidRPr="00F10391" w:rsidRDefault="00D22CE3">
      <w:r w:rsidRPr="00F10391">
        <w:t xml:space="preserve">This compensation principle is effectively the foundation of CBA, totting up the benefits and costs of each potential course of action and, using some appropriate common metric (which is typically money converted using net present value) weighs the importance of these </w:t>
      </w:r>
      <w:r w:rsidRPr="00F10391">
        <w:fldChar w:fldCharType="begin"/>
      </w:r>
      <w:r w:rsidR="00700267">
        <w:instrText xml:space="preserve"> ADDIN EN.CITE &lt;EndNote&gt;&lt;Cite&gt;&lt;Author&gt;Johannesson&lt;/Author&gt;&lt;Year&gt;1991&lt;/Year&gt;&lt;RecNum&gt;338&lt;/RecNum&gt;&lt;DisplayText&gt;[97]&lt;/DisplayText&gt;&lt;record&gt;&lt;rec-number&gt;338&lt;/rec-number&gt;&lt;foreign-keys&gt;&lt;key app="EN" db-id="sz9092dv2s5fpze9wpgx0zxgv5ar00aezrvf" timestamp="0"&gt;338&lt;/key&gt;&lt;/foreign-keys&gt;&lt;ref-type name="Journal Article"&gt;17&lt;/ref-type&gt;&lt;contributors&gt;&lt;authors&gt;&lt;author&gt;Johannesson, Magnus&lt;/author&gt;&lt;author&gt;Jönsson, Bengt&lt;/author&gt;&lt;/authors&gt;&lt;/contributors&gt;&lt;titles&gt;&lt;title&gt;Economic evaluation in health care: is there a role for cost-benefit analysis?&lt;/title&gt;&lt;secondary-title&gt;Health policy&lt;/secondary-title&gt;&lt;/titles&gt;&lt;periodical&gt;&lt;full-title&gt;Health Policy&lt;/full-title&gt;&lt;/periodical&gt;&lt;pages&gt;1-23&lt;/pages&gt;&lt;volume&gt;17&lt;/volume&gt;&lt;number&gt;1&lt;/number&gt;&lt;dates&gt;&lt;year&gt;1991&lt;/year&gt;&lt;/dates&gt;&lt;isbn&gt;0168-8510&lt;/isbn&gt;&lt;urls&gt;&lt;related-urls&gt;&lt;url&gt;http://www.healthpolicyjrnl.com/article/0168-8510(91)90114-D/abstract&lt;/url&gt;&lt;/related-urls&gt;&lt;/urls&gt;&lt;/record&gt;&lt;/Cite&gt;&lt;/EndNote&gt;</w:instrText>
      </w:r>
      <w:r w:rsidRPr="00F10391">
        <w:fldChar w:fldCharType="separate"/>
      </w:r>
      <w:r w:rsidR="00700267">
        <w:rPr>
          <w:noProof/>
        </w:rPr>
        <w:t>[97]</w:t>
      </w:r>
      <w:r w:rsidRPr="00F10391">
        <w:fldChar w:fldCharType="end"/>
      </w:r>
      <w:r w:rsidRPr="00F10391">
        <w:t xml:space="preserve">. Decision-makers can thereafter judge whether on balance an intervention will have a net positive or negative effect, and act accordingly. CBA in health settings usually uses a societal perspective, rather than that of the NHS. It can therefore include issues that will help the broader economy, such as allowing patients to re-enter the workforce. By ignoring the distributional consequences of health, CBA may lead to discrimination against population groups outside the labour force, including the elderly </w:t>
      </w:r>
      <w:r w:rsidRPr="00F10391">
        <w:fldChar w:fldCharType="begin"/>
      </w:r>
      <w:r w:rsidR="00700267">
        <w:instrText xml:space="preserve"> ADDIN EN.CITE &lt;EndNote&gt;&lt;Cite&gt;&lt;Author&gt;Johannesson&lt;/Author&gt;&lt;Year&gt;2009&lt;/Year&gt;&lt;RecNum&gt;64&lt;/RecNum&gt;&lt;DisplayText&gt;[99]&lt;/DisplayText&gt;&lt;record&gt;&lt;rec-number&gt;64&lt;/rec-number&gt;&lt;foreign-keys&gt;&lt;key app="EN" db-id="sz9092dv2s5fpze9wpgx0zxgv5ar00aezrvf" timestamp="0"&gt;64&lt;/key&gt;&lt;/foreign-keys&gt;&lt;ref-type name="Journal Article"&gt;17&lt;/ref-type&gt;&lt;contributors&gt;&lt;authors&gt;&lt;author&gt;Johannesson, M&lt;/author&gt;&lt;author&gt;Jönsson, B&lt;/author&gt;&lt;author&gt;Jönsson, Linus&lt;/author&gt;&lt;author&gt;Kobelt, Gisela&lt;/author&gt;&lt;author&gt;Zethraeus, Niklas&lt;/author&gt;&lt;/authors&gt;&lt;/contributors&gt;&lt;titles&gt;&lt;title&gt;Why should economic evaluations of medical innovations have a societal perspective&lt;/title&gt;&lt;secondary-title&gt;Office of health economics (OHE) &lt;/secondary-title&gt;&lt;/titles&gt;&lt;volume&gt;51&lt;/volume&gt;&lt;dates&gt;&lt;year&gt;2009&lt;/year&gt;&lt;/dates&gt;&lt;urls&gt;&lt;/urls&gt;&lt;/record&gt;&lt;/Cite&gt;&lt;/EndNote&gt;</w:instrText>
      </w:r>
      <w:r w:rsidRPr="00F10391">
        <w:fldChar w:fldCharType="separate"/>
      </w:r>
      <w:r w:rsidR="00700267">
        <w:rPr>
          <w:noProof/>
        </w:rPr>
        <w:t>[99]</w:t>
      </w:r>
      <w:r w:rsidRPr="00F10391">
        <w:fldChar w:fldCharType="end"/>
      </w:r>
      <w:r w:rsidRPr="00F10391">
        <w:t xml:space="preserve">. This appears to be at odds with NHS ideology, which offers healthcare based on clinical need rather than the ability to pay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Pr="00F10391">
        <w:t>.</w:t>
      </w:r>
    </w:p>
    <w:p w14:paraId="643FE389" w14:textId="77777777" w:rsidR="00D22CE3" w:rsidRPr="00F10391" w:rsidRDefault="00D22CE3">
      <w:r w:rsidRPr="00F10391">
        <w:t xml:space="preserve">Welfarist economic approaches, such as CBA, assume that the relative ‘goodness’ of alternative states of affairs must be based exclusively on the respective collections of individual utilities in these states </w:t>
      </w:r>
      <w:r w:rsidRPr="00F10391">
        <w:fldChar w:fldCharType="begin"/>
      </w:r>
      <w:r w:rsidR="00700267">
        <w:instrText xml:space="preserve"> ADDIN EN.CITE &lt;EndNote&gt;&lt;Cite&gt;&lt;Author&gt;Sen&lt;/Author&gt;&lt;Year&gt;1979&lt;/Year&gt;&lt;RecNum&gt;131&lt;/RecNum&gt;&lt;DisplayText&gt;[101]&lt;/DisplayText&gt;&lt;record&gt;&lt;rec-number&gt;131&lt;/rec-number&gt;&lt;foreign-keys&gt;&lt;key app="EN" db-id="sz9092dv2s5fpze9wpgx0zxgv5ar00aezrvf" timestamp="0"&gt;131&lt;/key&gt;&lt;/foreign-keys&gt;&lt;ref-type name="Journal Article"&gt;17&lt;/ref-type&gt;&lt;contributors&gt;&lt;authors&gt;&lt;author&gt;Sen, Amartya&lt;/author&gt;&lt;/authors&gt;&lt;/contributors&gt;&lt;titles&gt;&lt;title&gt;Utilitarianism and welfarism&lt;/title&gt;&lt;secondary-title&gt;The Journal of Philosophy&lt;/secondary-title&gt;&lt;/titles&gt;&lt;pages&gt;463-489&lt;/pages&gt;&lt;dates&gt;&lt;year&gt;1979&lt;/year&gt;&lt;/dates&gt;&lt;isbn&gt;0022-362X&lt;/isbn&gt;&lt;urls&gt;&lt;/urls&gt;&lt;/record&gt;&lt;/Cite&gt;&lt;/EndNote&gt;</w:instrText>
      </w:r>
      <w:r w:rsidRPr="00F10391">
        <w:fldChar w:fldCharType="separate"/>
      </w:r>
      <w:r w:rsidR="00700267">
        <w:rPr>
          <w:noProof/>
        </w:rPr>
        <w:t>[101]</w:t>
      </w:r>
      <w:r w:rsidRPr="00F10391">
        <w:fldChar w:fldCharType="end"/>
      </w:r>
      <w:r w:rsidRPr="00F10391">
        <w:t xml:space="preserve">. While adherence to such an approach respects the individual sovereignty of the person making their own decision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Pr="00F10391">
        <w:t>, when used</w:t>
      </w:r>
      <w:r w:rsidRPr="00F10391">
        <w:rPr>
          <w:rStyle w:val="CommentReference"/>
          <w:lang w:eastAsia="en-US"/>
        </w:rPr>
        <w:t xml:space="preserve"> </w:t>
      </w:r>
      <w:r w:rsidRPr="00F10391">
        <w:t xml:space="preserve">alongside the cumulative aggregation of utilities to calculate total welfare, this too is equivalent to utilitarianism </w:t>
      </w:r>
      <w:r w:rsidRPr="00F10391">
        <w:fldChar w:fldCharType="begin"/>
      </w:r>
      <w:r w:rsidR="00700267">
        <w:instrText xml:space="preserve"> ADDIN EN.CITE &lt;EndNote&gt;&lt;Cite&gt;&lt;Author&gt;Sen&lt;/Author&gt;&lt;Year&gt;1979&lt;/Year&gt;&lt;RecNum&gt;131&lt;/RecNum&gt;&lt;DisplayText&gt;[101]&lt;/DisplayText&gt;&lt;record&gt;&lt;rec-number&gt;131&lt;/rec-number&gt;&lt;foreign-keys&gt;&lt;key app="EN" db-id="sz9092dv2s5fpze9wpgx0zxgv5ar00aezrvf" timestamp="0"&gt;131&lt;/key&gt;&lt;/foreign-keys&gt;&lt;ref-type name="Journal Article"&gt;17&lt;/ref-type&gt;&lt;contributors&gt;&lt;authors&gt;&lt;author&gt;Sen, Amartya&lt;/author&gt;&lt;/authors&gt;&lt;/contributors&gt;&lt;titles&gt;&lt;title&gt;Utilitarianism and welfarism&lt;/title&gt;&lt;secondary-title&gt;The Journal of Philosophy&lt;/secondary-title&gt;&lt;/titles&gt;&lt;pages&gt;463-489&lt;/pages&gt;&lt;dates&gt;&lt;year&gt;1979&lt;/year&gt;&lt;/dates&gt;&lt;isbn&gt;0022-362X&lt;/isbn&gt;&lt;urls&gt;&lt;/urls&gt;&lt;/record&gt;&lt;/Cite&gt;&lt;/EndNote&gt;</w:instrText>
      </w:r>
      <w:r w:rsidRPr="00F10391">
        <w:fldChar w:fldCharType="separate"/>
      </w:r>
      <w:r w:rsidR="00700267">
        <w:rPr>
          <w:noProof/>
        </w:rPr>
        <w:t>[101]</w:t>
      </w:r>
      <w:r w:rsidRPr="00F10391">
        <w:fldChar w:fldCharType="end"/>
      </w:r>
      <w:r w:rsidRPr="00F10391">
        <w:t xml:space="preserve">, leading to familiar ethical issues. Sen argues that such issues may lead to “perfectly disgusting” consequences </w:t>
      </w:r>
      <w:r w:rsidRPr="00F10391">
        <w:fldChar w:fldCharType="begin"/>
      </w:r>
      <w:r w:rsidR="00700267">
        <w:instrText xml:space="preserve"> ADDIN EN.CITE &lt;EndNote&gt;&lt;Cite&gt;&lt;Author&gt;Sen&lt;/Author&gt;&lt;Year&gt;2014&lt;/Year&gt;&lt;RecNum&gt;341&lt;/RecNum&gt;&lt;DisplayText&gt;[102]&lt;/DisplayText&gt;&lt;record&gt;&lt;rec-number&gt;341&lt;/rec-number&gt;&lt;foreign-keys&gt;&lt;key app="EN" db-id="sz9092dv2s5fpze9wpgx0zxgv5ar00aezrvf" timestamp="0"&gt;341&lt;/key&gt;&lt;/foreign-keys&gt;&lt;ref-type name="Book"&gt;6&lt;/ref-type&gt;&lt;contributors&gt;&lt;authors&gt;&lt;author&gt;Sen, Amartya Kumar&lt;/author&gt;&lt;/authors&gt;&lt;/contributors&gt;&lt;titles&gt;&lt;title&gt;Collective choice and social welfare&lt;/title&gt;&lt;/titles&gt;&lt;volume&gt;11&lt;/volume&gt;&lt;dates&gt;&lt;year&gt;2014&lt;/year&gt;&lt;/dates&gt;&lt;publisher&gt;Elsevier&lt;/publisher&gt;&lt;isbn&gt;1483294579&lt;/isbn&gt;&lt;urls&gt;&lt;/urls&gt;&lt;/record&gt;&lt;/Cite&gt;&lt;/EndNote&gt;</w:instrText>
      </w:r>
      <w:r w:rsidRPr="00F10391">
        <w:fldChar w:fldCharType="separate"/>
      </w:r>
      <w:r w:rsidR="00700267">
        <w:rPr>
          <w:noProof/>
        </w:rPr>
        <w:t>[102]</w:t>
      </w:r>
      <w:r w:rsidRPr="00F10391">
        <w:fldChar w:fldCharType="end"/>
      </w:r>
      <w:r w:rsidRPr="00F10391">
        <w:t>. To overcome this by ensuring that health-specific outcomes alone are considered, an extra-welfarist approach can be used. But this would undermine the main reason to use CBA, that of allowing the comparison of health and non-health outcomes in a single appraisal.</w:t>
      </w:r>
    </w:p>
    <w:p w14:paraId="0208FA55" w14:textId="77777777" w:rsidR="00D22CE3" w:rsidRPr="00F10391" w:rsidRDefault="00D22CE3"/>
    <w:p w14:paraId="2D783026" w14:textId="77777777" w:rsidR="00D22CE3" w:rsidRPr="00F10391" w:rsidRDefault="00D22CE3">
      <w:pPr>
        <w:pStyle w:val="Heading3"/>
      </w:pPr>
      <w:bookmarkStart w:id="91" w:name="_Toc313187824"/>
      <w:bookmarkStart w:id="92" w:name="_Toc441508921"/>
      <w:bookmarkStart w:id="93" w:name="_Toc453235359"/>
      <w:bookmarkStart w:id="94" w:name="_Toc453595432"/>
      <w:bookmarkStart w:id="95" w:name="_Toc476241529"/>
      <w:r w:rsidRPr="00F10391">
        <w:t>2.4.3</w:t>
      </w:r>
      <w:r w:rsidRPr="00F10391">
        <w:tab/>
      </w:r>
      <w:r w:rsidRPr="00F10391">
        <w:tab/>
        <w:t>Cost-consequence analysis (CCA)</w:t>
      </w:r>
      <w:bookmarkEnd w:id="91"/>
      <w:bookmarkEnd w:id="92"/>
      <w:bookmarkEnd w:id="93"/>
      <w:bookmarkEnd w:id="94"/>
      <w:bookmarkEnd w:id="95"/>
    </w:p>
    <w:p w14:paraId="76DBEE28" w14:textId="77777777" w:rsidR="00D22CE3" w:rsidRPr="00F10391" w:rsidRDefault="00D22CE3">
      <w:r w:rsidRPr="00F10391">
        <w:t xml:space="preserve">CCA measures how alternatives perform on criteria directly in terms of explicit, natural units, rather than converting them into intermediate units such as QALYs (as in CUA) or money (as in CBA). Alternative ways of using resources can be compared against each other, highlighting the trade-offs that are required to choose one approach rather than another. CCA therefore allows decision-makers (and the public) to more clearly understand the consequences of following each approach. </w:t>
      </w:r>
    </w:p>
    <w:p w14:paraId="6E4C68E4" w14:textId="77777777" w:rsidR="00D22CE3" w:rsidRPr="00F10391" w:rsidRDefault="00D22CE3">
      <w:r w:rsidRPr="00F10391">
        <w:t xml:space="preserve">CCA can take the perspective of the Department of Health or broader societal concerns, as is appropriate on a case-by-case basis. Its disadvantages arise from the fact that it may be less easy to follow than the single figure given in CUA, and it may be more open to subjectivity and </w:t>
      </w:r>
      <w:r w:rsidRPr="00F10391">
        <w:lastRenderedPageBreak/>
        <w:t>bias in arguments over which criteria to include and how to measure them. In many circumstances it will require more resources and expertise to conduct a CCA than a CUA and it may not be possible to test how an intervention would perform in a variety of scenarios.</w:t>
      </w:r>
    </w:p>
    <w:p w14:paraId="0460F67B" w14:textId="77777777" w:rsidR="00D22CE3" w:rsidRPr="00F10391" w:rsidRDefault="00D22CE3">
      <w:r w:rsidRPr="00F10391">
        <w:t>In choosing a range of relevant criteria and scoring how well each intervention does on these, CCA is close to being an MCDA approach, and is analogous to a performance matrix. If there were a consensus on how these criteria should be weighted, it would in principle be possible to combine these to create an overall score for each intervention. This score could then be compared against its cost, as is currently the case with CUA (though using a broader definition of benefit/utility), perhaps as part of a deliberative process. This concept is further described in Chapter 5.</w:t>
      </w:r>
    </w:p>
    <w:p w14:paraId="16DC85B5" w14:textId="77777777" w:rsidR="00D22CE3" w:rsidRPr="00F10391" w:rsidRDefault="00D22CE3"/>
    <w:p w14:paraId="25022D00" w14:textId="77777777" w:rsidR="00D22CE3" w:rsidRPr="00F10391" w:rsidRDefault="00D22CE3">
      <w:pPr>
        <w:pStyle w:val="Heading3"/>
      </w:pPr>
      <w:bookmarkStart w:id="96" w:name="_Toc313187825"/>
      <w:bookmarkStart w:id="97" w:name="_Toc441508922"/>
      <w:bookmarkStart w:id="98" w:name="_Toc453235360"/>
      <w:bookmarkStart w:id="99" w:name="_Toc453595433"/>
      <w:bookmarkStart w:id="100" w:name="_Toc476241530"/>
      <w:r w:rsidRPr="00F10391">
        <w:t>2.4.4</w:t>
      </w:r>
      <w:r w:rsidRPr="00F10391">
        <w:tab/>
      </w:r>
      <w:r w:rsidRPr="00F10391">
        <w:tab/>
        <w:t>Discussion of economic evaluation approaches</w:t>
      </w:r>
      <w:bookmarkEnd w:id="96"/>
      <w:bookmarkEnd w:id="97"/>
      <w:bookmarkEnd w:id="98"/>
      <w:bookmarkEnd w:id="99"/>
      <w:bookmarkEnd w:id="100"/>
    </w:p>
    <w:p w14:paraId="5F850DF9" w14:textId="77777777" w:rsidR="00D22CE3" w:rsidRPr="00F10391" w:rsidRDefault="00D22CE3">
      <w:r w:rsidRPr="00F10391">
        <w:t xml:space="preserve">Choosing between welfarist and extra-welfarist approaches gets to the heart of some of the complexities of health care decision-making. On the one hand, the welfarist approach follows the individual (and their welfare function, i.e. utility) as the unit of analysis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Pr="00F10391">
        <w:t xml:space="preserve">, which is consistent with a liberal approach to morality and the role of the market. But providing health according to one’s willingness to pay for it is not necessarily in line with public opinion or the objectives of the NHS, which was founded so that everyone should be entitled the best treatment available, regardless of “whether they can pay for them or any other factor irrelevant to real need”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000C4C15">
        <w:t xml:space="preserve"> (p.331)</w:t>
      </w:r>
      <w:r w:rsidRPr="00F10391">
        <w:t xml:space="preserve">. Given the effects of the social gradient – the correlation of wealth and health status – the need for such separation between need and WTP is particularly stark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xml:space="preserve">, due to the risk of being caught in a vicious circle. A person’s overall utility may also adjust with new circumstances – whereas it is assumed that an unchanging health state can be represented as objectively better or worse than another state. Welfarism assumes that health only is a stepping-stone that may contribute to overall utility which will be reflected in one’s WTP and hence may be in conflict with the organisational aims of the health service. The derivation of a suitable social value function is always going to be flawed </w:t>
      </w:r>
      <w:r w:rsidRPr="00F10391">
        <w:fldChar w:fldCharType="begin"/>
      </w:r>
      <w:r w:rsidR="00700267">
        <w:instrText xml:space="preserve"> ADDIN EN.CITE &lt;EndNote&gt;&lt;Cite&gt;&lt;Author&gt;Arrow&lt;/Author&gt;&lt;Year&gt;1950&lt;/Year&gt;&lt;RecNum&gt;298&lt;/RecNum&gt;&lt;DisplayText&gt;[103]&lt;/DisplayText&gt;&lt;record&gt;&lt;rec-number&gt;298&lt;/rec-number&gt;&lt;foreign-keys&gt;&lt;key app="EN" db-id="sz9092dv2s5fpze9wpgx0zxgv5ar00aezrvf" timestamp="0"&gt;298&lt;/key&gt;&lt;/foreign-keys&gt;&lt;ref-type name="Journal Article"&gt;17&lt;/ref-type&gt;&lt;contributors&gt;&lt;authors&gt;&lt;author&gt;Arrow, Kenneth J&lt;/author&gt;&lt;/authors&gt;&lt;/contributors&gt;&lt;titles&gt;&lt;title&gt;A difficulty in the concept of social welfare&lt;/title&gt;&lt;secondary-title&gt;The Journal of Political Economy&lt;/secondary-title&gt;&lt;/titles&gt;&lt;pages&gt;328-346&lt;/pages&gt;&lt;dates&gt;&lt;year&gt;1950&lt;/year&gt;&lt;/dates&gt;&lt;isbn&gt;0022-3808&lt;/isbn&gt;&lt;urls&gt;&lt;/urls&gt;&lt;/record&gt;&lt;/Cite&gt;&lt;/EndNote&gt;</w:instrText>
      </w:r>
      <w:r w:rsidRPr="00F10391">
        <w:fldChar w:fldCharType="separate"/>
      </w:r>
      <w:r w:rsidR="00700267">
        <w:rPr>
          <w:noProof/>
        </w:rPr>
        <w:t>[103]</w:t>
      </w:r>
      <w:r w:rsidRPr="00F10391">
        <w:fldChar w:fldCharType="end"/>
      </w:r>
      <w:r w:rsidRPr="00F10391">
        <w:t xml:space="preserve">, and therefore a utilitarian framework of summing individual welfare functions is used, causing the previously described ethical dilemmas. </w:t>
      </w:r>
    </w:p>
    <w:p w14:paraId="0E75F369" w14:textId="400101A9" w:rsidR="00D22CE3" w:rsidRPr="00F10391" w:rsidRDefault="00D22CE3">
      <w:r w:rsidRPr="00F10391">
        <w:t xml:space="preserve">Extra-welfarist approaches do not use this concept of ‘overall utility’ alone, instead substituting health – and hence avoiding some of these potential pitfalls. Welfarist approaches could theoretically leave such decisions to the market (at least assuming the absence of market failure), but in a NHS context this may be considered unacceptable. On the other hand, extra-welfarist approaches require some form of paternalistic decision-making body to provide values and/or weights for decision-making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Pr="00F10391">
        <w:t xml:space="preserve">. This could be for example a citizens’ council, some group of ‘wise elders’, the democratic process, or a technocratic body such as NICE. Such decisions will often require further choices on the economic perspective to be used, or when and where ‘equity weighting’ are deemed appropriate, and are hence value-laden (and open to criticism for being </w:t>
      </w:r>
      <w:r w:rsidR="008A7437">
        <w:t>‘</w:t>
      </w:r>
      <w:r w:rsidRPr="00F10391">
        <w:t>subjective</w:t>
      </w:r>
      <w:r w:rsidR="008A7437">
        <w:t>’</w:t>
      </w:r>
      <w:r w:rsidRPr="00F10391">
        <w:t xml:space="preserve"> throughout).</w:t>
      </w:r>
    </w:p>
    <w:p w14:paraId="5E07B07A" w14:textId="77777777" w:rsidR="00D22CE3" w:rsidRPr="00F10391" w:rsidRDefault="00D22CE3">
      <w:r w:rsidRPr="00F10391">
        <w:t xml:space="preserve">CUA is included in the extra-welfarist tent for not relying on overall ‘welfare’ alone. However, by taking only health into account – rather than, say, a broader capabilities approach or any other factors that may impact on welfare – it thereby disallows cross-sectoral evaluation between government departments (which CBA nominally would facilitate) </w:t>
      </w:r>
      <w:r w:rsidRPr="00F10391">
        <w:fldChar w:fldCharType="begin"/>
      </w:r>
      <w:r w:rsidR="00700267">
        <w:instrText xml:space="preserve"> ADDIN EN.CITE &lt;EndNote&gt;&lt;Cite&gt;&lt;Author&gt;Coast&lt;/Author&gt;&lt;Year&gt;2008&lt;/Year&gt;&lt;RecNum&gt;340&lt;/RecNum&gt;&lt;DisplayText&gt;[95]&lt;/DisplayText&gt;&lt;record&gt;&lt;rec-number&gt;340&lt;/rec-number&gt;&lt;foreign-keys&gt;&lt;key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EndNote&gt;</w:instrText>
      </w:r>
      <w:r w:rsidRPr="00F10391">
        <w:fldChar w:fldCharType="separate"/>
      </w:r>
      <w:r w:rsidR="00700267">
        <w:rPr>
          <w:noProof/>
        </w:rPr>
        <w:t>[95]</w:t>
      </w:r>
      <w:r w:rsidRPr="00F10391">
        <w:fldChar w:fldCharType="end"/>
      </w:r>
      <w:r w:rsidRPr="00F10391">
        <w:t xml:space="preserve">. This may in </w:t>
      </w:r>
      <w:r w:rsidRPr="00F10391">
        <w:lastRenderedPageBreak/>
        <w:t xml:space="preserve">turn make public health provision appear less cost-effective than it otherwise would by ignoring societal benefits arising outside of health </w:t>
      </w:r>
      <w:r w:rsidRPr="00F10391">
        <w:fldChar w:fldCharType="begin"/>
      </w:r>
      <w:r w:rsidR="00700267">
        <w:instrText xml:space="preserve"> ADDIN EN.CITE &lt;EndNote&gt;&lt;Cite&gt;&lt;Author&gt;Coast&lt;/Author&gt;&lt;Year&gt;2008&lt;/Year&gt;&lt;RecNum&gt;340&lt;/RecNum&gt;&lt;DisplayText&gt;[95]&lt;/DisplayText&gt;&lt;record&gt;&lt;rec-number&gt;340&lt;/rec-number&gt;&lt;foreign-keys&gt;&lt;key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EndNote&gt;</w:instrText>
      </w:r>
      <w:r w:rsidRPr="00F10391">
        <w:fldChar w:fldCharType="separate"/>
      </w:r>
      <w:r w:rsidR="00700267">
        <w:rPr>
          <w:noProof/>
        </w:rPr>
        <w:t>[95]</w:t>
      </w:r>
      <w:r w:rsidRPr="00F10391">
        <w:fldChar w:fldCharType="end"/>
      </w:r>
      <w:r w:rsidRPr="00F10391">
        <w:t xml:space="preserve"> (or even health-related aspects which are not appropriately captured within the QALY).</w:t>
      </w:r>
    </w:p>
    <w:p w14:paraId="680A0E09" w14:textId="4ADEBBD1" w:rsidR="00D22CE3" w:rsidRPr="00F10391" w:rsidRDefault="00D22CE3">
      <w:r w:rsidRPr="00F10391">
        <w:t xml:space="preserve">Unlike welfarist approaches, extra-welfarist techniques do not by definition need to reflect a summation of individuals’ utilities </w:t>
      </w:r>
      <w:r w:rsidRPr="00F10391">
        <w:fldChar w:fldCharType="begin"/>
      </w:r>
      <w:r w:rsidR="00700267">
        <w:instrText xml:space="preserve"> ADDIN EN.CITE &lt;EndNote&gt;&lt;Cite&gt;&lt;Author&gt;Brouwer&lt;/Author&gt;&lt;Year&gt;2008&lt;/Year&gt;&lt;RecNum&gt;339&lt;/RecNum&gt;&lt;DisplayText&gt;[100]&lt;/DisplayText&gt;&lt;record&gt;&lt;rec-number&gt;339&lt;/rec-number&gt;&lt;foreign-keys&gt;&lt;key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[100]</w:t>
      </w:r>
      <w:r w:rsidRPr="00F10391">
        <w:fldChar w:fldCharType="end"/>
      </w:r>
      <w:r w:rsidRPr="00F10391">
        <w:t xml:space="preserve">. They could theoretically reflect normative </w:t>
      </w:r>
      <w:r w:rsidR="001B7ADD">
        <w:t>judgment</w:t>
      </w:r>
      <w:r w:rsidRPr="00F10391">
        <w:t xml:space="preserve">s such as the ‘fair innings’ argument </w:t>
      </w:r>
      <w:r w:rsidRPr="00F10391">
        <w:fldChar w:fldCharType="begin"/>
      </w:r>
      <w:r w:rsidR="00700267">
        <w:instrText xml:space="preserve"> ADDIN EN.CITE &lt;EndNote&gt;&lt;Cite&gt;&lt;Author&gt;Williams&lt;/Author&gt;&lt;Year&gt;2004&lt;/Year&gt;&lt;RecNum&gt;155&lt;/RecNum&gt;&lt;DisplayText&gt;[104]&lt;/DisplayText&gt;&lt;record&gt;&lt;rec-number&gt;155&lt;/rec-number&gt;&lt;foreign-keys&gt;&lt;key app="EN" db-id="sz9092dv2s5fpze9wpgx0zxgv5ar00aezrvf" timestamp="0"&gt;155&lt;/key&gt;&lt;/foreign-keys&gt;&lt;ref-type name="Book"&gt;6&lt;/ref-type&gt;&lt;contributors&gt;&lt;authors&gt;&lt;author&gt;Williams, Alan&lt;/author&gt;&lt;/authors&gt;&lt;/contributors&gt;&lt;titles&gt;&lt;title&gt;What could be nicer than NICE?&lt;/title&gt;&lt;/titles&gt;&lt;dates&gt;&lt;year&gt;2004&lt;/year&gt;&lt;/dates&gt;&lt;publisher&gt;Office for Health Economics&lt;/publisher&gt;&lt;isbn&gt;189904003X&lt;/isbn&gt;&lt;urls&gt;&lt;/urls&gt;&lt;/record&gt;&lt;/Cite&gt;&lt;/EndNote&gt;</w:instrText>
      </w:r>
      <w:r w:rsidRPr="00F10391">
        <w:fldChar w:fldCharType="separate"/>
      </w:r>
      <w:r w:rsidR="00700267">
        <w:rPr>
          <w:noProof/>
        </w:rPr>
        <w:t>[104]</w:t>
      </w:r>
      <w:r w:rsidRPr="00F10391">
        <w:fldChar w:fldCharType="end"/>
      </w:r>
      <w:r w:rsidRPr="00F10391">
        <w:t xml:space="preserve"> to counter ethical concerns of utilitarianism (though such an approach may create new problems). However, an unadulterated CUA approach, while extra-welfarist, retains many of the same issues as welfarism and fails to address equity or distribution issues directly </w:t>
      </w:r>
      <w:r w:rsidRPr="00F10391">
        <w:fldChar w:fldCharType="begin"/>
      </w:r>
      <w:r w:rsidR="00700267">
        <w:instrText xml:space="preserve"> ADDIN EN.CITE &lt;EndNote&gt;&lt;Cite&gt;&lt;Author&gt;Coast&lt;/Author&gt;&lt;Year&gt;2008&lt;/Year&gt;&lt;RecNum&gt;340&lt;/RecNum&gt;&lt;DisplayText&gt;[95]&lt;/DisplayText&gt;&lt;record&gt;&lt;rec-number&gt;340&lt;/rec-number&gt;&lt;foreign-keys&gt;&lt;key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EndNote&gt;</w:instrText>
      </w:r>
      <w:r w:rsidRPr="00F10391">
        <w:fldChar w:fldCharType="separate"/>
      </w:r>
      <w:r w:rsidR="00700267">
        <w:rPr>
          <w:noProof/>
        </w:rPr>
        <w:t>[95]</w:t>
      </w:r>
      <w:r w:rsidRPr="00F10391">
        <w:fldChar w:fldCharType="end"/>
      </w:r>
      <w:r w:rsidRPr="00F10391">
        <w:t xml:space="preserve">. The CPH nonetheless has a specific responsibility to consider the equity of outcomes alongside cost-effectiveness concerns </w:t>
      </w:r>
      <w:r w:rsidRPr="00F10391">
        <w:fldChar w:fldCharType="begin"/>
      </w:r>
      <w:r w:rsidR="00700267">
        <w:instrText xml:space="preserve"> ADDIN EN.CITE &lt;EndNote&gt;&lt;Cite&gt;&lt;Author&gt;NICE&lt;/Author&gt;&lt;RecNum&gt;388&lt;/RecNum&gt;&lt;DisplayText&gt;[85]&lt;/DisplayText&gt;&lt;record&gt;&lt;rec-number&gt;388&lt;/rec-number&gt;&lt;foreign-keys&gt;&lt;key app="EN" db-id="sz9092dv2s5fpze9wpgx0zxgv5ar00aezrvf" timestamp="1457542391"&gt;388&lt;/key&gt;&lt;/foreign-keys&gt;&lt;ref-type name="Government Document"&gt;46&lt;/ref-type&gt;&lt;contributors&gt;&lt;authors&gt;&lt;author&gt;NICE&lt;/author&gt;&lt;/authors&gt;&lt;/contributors&gt;&lt;titles&gt;&lt;title&gt;Developing NICE guidelines: the manual&lt;/title&gt;&lt;/titles&gt;&lt;number&gt;Oct 2014&lt;/number&gt;&lt;dates&gt;&lt;/dates&gt;&lt;urls&gt;&lt;/urls&gt;&lt;/record&gt;&lt;/Cite&gt;&lt;/EndNote&gt;</w:instrText>
      </w:r>
      <w:r w:rsidRPr="00F10391">
        <w:fldChar w:fldCharType="separate"/>
      </w:r>
      <w:r w:rsidR="00700267">
        <w:rPr>
          <w:noProof/>
        </w:rPr>
        <w:t>[85]</w:t>
      </w:r>
      <w:r w:rsidRPr="00F10391">
        <w:fldChar w:fldCharType="end"/>
      </w:r>
      <w:r w:rsidRPr="00F10391">
        <w:t>.</w:t>
      </w:r>
    </w:p>
    <w:p w14:paraId="64C967AD" w14:textId="77777777" w:rsidR="00D22CE3" w:rsidRPr="00F10391" w:rsidRDefault="00D22CE3">
      <w:r w:rsidRPr="00F10391">
        <w:t xml:space="preserve">Deciding on an approach to use for public health prioritisation – while still allowing comparison with other directorates within NICE – is therefore something of a quandary. Each approach has its advantages and disadvantages, and should be chosen carefully based upon the nature of the decision. Within the CPH, CUA is used whenever possible to allow comparison directly. To attempt to capture other effects, where necessary, the CPH also permits the use of CBA and CCA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These appear to be becoming increasingly prominent, described in further detail in Chapters 4 and 5. CBA is particularly useful where societal level concerns are relevant and where the topic under consideration already uses CBA as a standard. For example, it has been used on guidance relating to transport issues, as transport planners use this as their go-to day-to-day economic evaluation technique. CCA is useful where multiple criteria need to be compared and traded off but where it is more difficult to quantify these in monetary terms. </w:t>
      </w:r>
    </w:p>
    <w:p w14:paraId="1D9B5415" w14:textId="77777777" w:rsidR="00D22CE3" w:rsidRPr="00F10391" w:rsidRDefault="00D22CE3">
      <w:r w:rsidRPr="00F10391">
        <w:t xml:space="preserve">Applying cost-effectiveness techniques to public health decision problems, rather than the traditional pharmacoeconomic settings for which they were first designed, poses specific challenges, most notably: issues relating to attributing outcomes to interventions to obtain unbiased estimates of effect; measuring and valuing outcomes to ascertain how much better the quality of life is in one health state compared to another; incorporating equity considerations; identifying inter-sectoral costs and consequences to assess their impact on the health care sector; and impacts on other sectors of the economy </w:t>
      </w:r>
      <w:r w:rsidRPr="00F10391">
        <w:fldChar w:fldCharType="begin"/>
      </w:r>
      <w:r w:rsidR="00700267">
        <w:instrText xml:space="preserve"> ADDIN EN.CITE &lt;EndNote&gt;&lt;Cite&gt;&lt;Author&gt;Weatherly&lt;/Author&gt;&lt;Year&gt;2009&lt;/Year&gt;&lt;RecNum&gt;152&lt;/RecNum&gt;&lt;DisplayText&gt;[105, 106]&lt;/DisplayText&gt;&lt;record&gt;&lt;rec-number&gt;152&lt;/rec-number&gt;&lt;foreign-keys&gt;&lt;key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Cite&gt;&lt;Author&gt;Drummond&lt;/Author&gt;&lt;Year&gt;2007&lt;/Year&gt;&lt;RecNum&gt;6&lt;/RecNum&gt;&lt;record&gt;&lt;rec-number&gt;6&lt;/rec-number&gt;&lt;foreign-keys&gt;&lt;key app="EN" db-id="sz9092dv2s5fpze9wpgx0zxgv5ar00aezrvf" timestamp="0"&gt;6&lt;/key&gt;&lt;/foreign-keys&gt;&lt;ref-type name="Book"&gt;6&lt;/ref-type&gt;&lt;contributors&gt;&lt;authors&gt;&lt;author&gt;Drummond, Michael&lt;/author&gt;&lt;author&gt;Public Health Research Consortium&lt;/author&gt;&lt;author&gt;Britain, Great&lt;/author&gt;&lt;/authors&gt;&lt;/contributors&gt;&lt;titles&gt;&lt;title&gt;Assessing the Challenges of Applying Standard Methods of Economic Evaluation to Public Health Inverventions: Final Report&lt;/title&gt;&lt;/titles&gt;&lt;dates&gt;&lt;year&gt;2007&lt;/year&gt;&lt;/dates&gt;&lt;publisher&gt;Public Health Research Consortium&lt;/publisher&gt;&lt;urls&gt;&lt;/urls&gt;&lt;/record&gt;&lt;/Cite&gt;&lt;/EndNote&gt;</w:instrText>
      </w:r>
      <w:r w:rsidRPr="00F10391">
        <w:fldChar w:fldCharType="separate"/>
      </w:r>
      <w:r w:rsidR="00700267">
        <w:rPr>
          <w:noProof/>
        </w:rPr>
        <w:t>[105, 106]</w:t>
      </w:r>
      <w:r w:rsidRPr="00F10391">
        <w:fldChar w:fldCharType="end"/>
      </w:r>
      <w:r w:rsidRPr="00F10391">
        <w:t>. There are also issues relating to the wider variety of stakeholders, and hence a wider distribution of costs and benefits amongst organisations therefore posing practical problems with their implementation. The benefits also tend to accrue over long periods of time and may appear less worthwhile to decision-makers, depending on the discount rate used</w:t>
      </w:r>
      <w:r w:rsidRPr="00F10391">
        <w:rPr>
          <w:lang w:eastAsia="en-US"/>
        </w:rPr>
        <w:t xml:space="preserve">. </w:t>
      </w:r>
    </w:p>
    <w:p w14:paraId="6AF5633F" w14:textId="77777777" w:rsidR="00D22CE3" w:rsidRPr="00F10391" w:rsidRDefault="00D22CE3">
      <w:r w:rsidRPr="00F10391">
        <w:t xml:space="preserve">Furthermore, taking a public health perspective, the cumulative health of a population may not necessarily reflect the health of all individual members </w:t>
      </w:r>
      <w:r w:rsidRPr="00F10391">
        <w:fldChar w:fldCharType="begin"/>
      </w:r>
      <w:r w:rsidR="00700267">
        <w:instrText xml:space="preserve"> ADDIN EN.CITE &lt;EndNote&gt;&lt;Cite&gt;&lt;Author&gt;Mackenbach&lt;/Author&gt;&lt;Year&gt;2009&lt;/Year&gt;&lt;RecNum&gt;86&lt;/RecNum&gt;&lt;DisplayText&gt;[107]&lt;/DisplayText&gt;&lt;record&gt;&lt;rec-number&gt;86&lt;/rec-number&gt;&lt;foreign-keys&gt;&lt;key app="EN" db-id="sz9092dv2s5fpze9wpgx0zxgv5ar00aezrvf" timestamp="0"&gt;86&lt;/key&gt;&lt;/foreign-keys&gt;&lt;ref-type name="Journal Article"&gt;17&lt;/ref-type&gt;&lt;contributors&gt;&lt;authors&gt;&lt;author&gt;Mackenbach, Johan P&lt;/author&gt;&lt;/authors&gt;&lt;/contributors&gt;&lt;titles&gt;&lt;title&gt;Politics is nothing but medicine at a larger scale: reflections on public health’s biggest idea&lt;/title&gt;&lt;secondary-title&gt;Journal of epidemiology and community health&lt;/secondary-title&gt;&lt;/titles&gt;&lt;periodical&gt;&lt;full-title&gt;Journal of epidemiology and community health&lt;/full-title&gt;&lt;/periodical&gt;&lt;pages&gt;181-184&lt;/pages&gt;&lt;volume&gt;63&lt;/volume&gt;&lt;number&gt;3&lt;/number&gt;&lt;dates&gt;&lt;year&gt;2009&lt;/year&gt;&lt;/dates&gt;&lt;isbn&gt;1470-2738&lt;/isbn&gt;&lt;urls&gt;&lt;related-urls&gt;&lt;url&gt;http://jech.bmj.com/content/63/3/181.long&lt;/url&gt;&lt;url&gt;http://jech.bmj.com/content/63/3/181.full.pdf&lt;/url&gt;&lt;/related-urls&gt;&lt;/urls&gt;&lt;/record&gt;&lt;/Cite&gt;&lt;/EndNote&gt;</w:instrText>
      </w:r>
      <w:r w:rsidRPr="00F10391">
        <w:fldChar w:fldCharType="separate"/>
      </w:r>
      <w:r w:rsidR="00700267">
        <w:rPr>
          <w:noProof/>
        </w:rPr>
        <w:t>[107]</w:t>
      </w:r>
      <w:r w:rsidRPr="00F10391">
        <w:fldChar w:fldCharType="end"/>
      </w:r>
      <w:r w:rsidRPr="00F10391">
        <w:t xml:space="preserve">. Such an assumption ignores practical realities such as the fact that diseases may be contagious (and so curing a person may reduce the future incidence). Causes of ill health will also vary at the aggregate and individual levels </w:t>
      </w:r>
      <w:r w:rsidRPr="00F10391">
        <w:fldChar w:fldCharType="begin"/>
      </w:r>
      <w:r w:rsidR="00700267">
        <w:instrText xml:space="preserve"> ADDIN EN.CITE &lt;EndNote&gt;&lt;Cite&gt;&lt;Author&gt;Rose&lt;/Author&gt;&lt;Year&gt;1992&lt;/Year&gt;&lt;RecNum&gt;119&lt;/RecNum&gt;&lt;DisplayText&gt;[108]&lt;/DisplayText&gt;&lt;record&gt;&lt;rec-number&gt;119&lt;/rec-number&gt;&lt;foreign-keys&gt;&lt;key app="EN" db-id="sz9092dv2s5fpze9wpgx0zxgv5ar00aezrvf" timestamp="0"&gt;119&lt;/key&gt;&lt;/foreign-keys&gt;&lt;ref-type name="Journal Article"&gt;17&lt;/ref-type&gt;&lt;contributors&gt;&lt;authors&gt;&lt;author&gt;Rose, Geoffrey&lt;/author&gt;&lt;/authors&gt;&lt;/contributors&gt;&lt;titles&gt;&lt;title&gt;The strategy of preventive medicine&lt;/title&gt;&lt;secondary-title&gt;The strategy of preventive medicine.&lt;/secondary-title&gt;&lt;/titles&gt;&lt;dates&gt;&lt;year&gt;1992&lt;/year&gt;&lt;/dates&gt;&lt;urls&gt;&lt;/urls&gt;&lt;/record&gt;&lt;/Cite&gt;&lt;/EndNote&gt;</w:instrText>
      </w:r>
      <w:r w:rsidRPr="00F10391">
        <w:fldChar w:fldCharType="separate"/>
      </w:r>
      <w:r w:rsidR="00700267">
        <w:rPr>
          <w:noProof/>
        </w:rPr>
        <w:t>[108]</w:t>
      </w:r>
      <w:r w:rsidRPr="00F10391">
        <w:fldChar w:fldCharType="end"/>
      </w:r>
      <w:r w:rsidRPr="00F10391">
        <w:t xml:space="preserve">. Individual factors may not directly correspond to broader trends; Durkheim </w:t>
      </w:r>
      <w:r w:rsidRPr="00F10391">
        <w:fldChar w:fldCharType="begin"/>
      </w:r>
      <w:r w:rsidR="00700267">
        <w:instrText xml:space="preserve"> ADDIN EN.CITE &lt;EndNote&gt;&lt;Cite&gt;&lt;Author&gt;Durkheim&lt;/Author&gt;&lt;Year&gt;1952&lt;/Year&gt;&lt;RecNum&gt;44&lt;/RecNum&gt;&lt;DisplayText&gt;[109]&lt;/DisplayText&gt;&lt;record&gt;&lt;rec-number&gt;44&lt;/rec-number&gt;&lt;foreign-keys&gt;&lt;key app="EN" db-id="sz9092dv2s5fpze9wpgx0zxgv5ar00aezrvf" timestamp="0"&gt;44&lt;/key&gt;&lt;/foreign-keys&gt;&lt;ref-type name="Book"&gt;6&lt;/ref-type&gt;&lt;contributors&gt;&lt;authors&gt;&lt;author&gt;Durkheim, Emile&lt;/author&gt;&lt;author&gt;Simpson, George&lt;/author&gt;&lt;author&gt;Spaulding, John A&lt;/author&gt;&lt;/authors&gt;&lt;/contributors&gt;&lt;titles&gt;&lt;title&gt;Suicide. A Study in Sociology... Translated by John A. Spaulding and George Simpson. Edited with an Introduction by George Simpson&lt;/title&gt;&lt;/titles&gt;&lt;dates&gt;&lt;year&gt;1952&lt;/year&gt;&lt;/dates&gt;&lt;publisher&gt;London&lt;/publisher&gt;&lt;urls&gt;&lt;/urls&gt;&lt;/record&gt;&lt;/Cite&gt;&lt;/EndNote&gt;</w:instrText>
      </w:r>
      <w:r w:rsidRPr="00F10391">
        <w:fldChar w:fldCharType="separate"/>
      </w:r>
      <w:r w:rsidR="00700267">
        <w:rPr>
          <w:noProof/>
        </w:rPr>
        <w:t>[109]</w:t>
      </w:r>
      <w:r w:rsidRPr="00F10391">
        <w:fldChar w:fldCharType="end"/>
      </w:r>
      <w:r w:rsidRPr="00F10391">
        <w:t xml:space="preserve"> for example found that there appeared to be underlying suicide rates within given communities that stay around the same level each year, even though each suicide is clearly a personal decision. </w:t>
      </w:r>
    </w:p>
    <w:p w14:paraId="62ED5BE0" w14:textId="77777777" w:rsidR="00D22CE3" w:rsidRPr="00F10391" w:rsidRDefault="00D22CE3">
      <w:r w:rsidRPr="00F10391">
        <w:t xml:space="preserve">As a result of these issues, the best choice for public health prioritisation decisions are not necessarily as clear as is the case in technology assessments in NICE. As a result, a range of special measures have traditionally been carried out in NICE in public health settings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and greater flexibility is given to committees devising public health guidance than elsewhere.</w:t>
      </w:r>
    </w:p>
    <w:p w14:paraId="46EA811B" w14:textId="77777777" w:rsidR="00D22CE3" w:rsidRPr="00F10391" w:rsidRDefault="00D22CE3">
      <w:r w:rsidRPr="00F10391">
        <w:lastRenderedPageBreak/>
        <w:t xml:space="preserve">Each approach allows for more and more criteria to be formally analysed – CUA compares the costs and QALYs of approaches (which are themselves derived from length of life gained and quality of life over that time). CBA allows for more criteria (including those from outside health) to be valued on a single metric. And CCA allows for as many criteria as necessary to be valued in natural units. The CPH in NICE has stated that when CCA techniques are used, they can be further combined using a number of formal approaches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This could potentially set the scene for MCDA techniques to be tested in future, described further in Chapter 5.</w:t>
      </w:r>
    </w:p>
    <w:p w14:paraId="2D67D5C1" w14:textId="77777777" w:rsidR="00D22CE3" w:rsidRPr="00F10391" w:rsidRDefault="00D22CE3">
      <w:pPr>
        <w:rPr>
          <w:lang w:eastAsia="en-US"/>
        </w:rPr>
      </w:pPr>
    </w:p>
    <w:p w14:paraId="03802B01" w14:textId="77777777" w:rsidR="00D22CE3" w:rsidRPr="00F10391" w:rsidRDefault="00D22CE3">
      <w:pPr>
        <w:pStyle w:val="Numberedheading2"/>
      </w:pPr>
      <w:bookmarkStart w:id="101" w:name="_Toc313187826"/>
      <w:bookmarkStart w:id="102" w:name="_Toc441508923"/>
      <w:bookmarkStart w:id="103" w:name="_Toc453235361"/>
      <w:bookmarkStart w:id="104" w:name="_Toc453595434"/>
      <w:bookmarkStart w:id="105" w:name="_Toc476241531"/>
      <w:r w:rsidRPr="00F10391">
        <w:t>2.5</w:t>
      </w:r>
      <w:r w:rsidRPr="00F10391">
        <w:tab/>
      </w:r>
      <w:r w:rsidRPr="00F10391">
        <w:tab/>
        <w:t>Defining MCDA</w:t>
      </w:r>
      <w:bookmarkEnd w:id="101"/>
      <w:bookmarkEnd w:id="102"/>
      <w:bookmarkEnd w:id="103"/>
      <w:bookmarkEnd w:id="104"/>
      <w:bookmarkEnd w:id="105"/>
    </w:p>
    <w:p w14:paraId="66FE6954" w14:textId="77777777" w:rsidR="00D22CE3" w:rsidRPr="00F10391" w:rsidRDefault="00D22CE3"/>
    <w:p w14:paraId="491B9C8C" w14:textId="77777777" w:rsidR="00D22CE3" w:rsidRPr="00F10391" w:rsidRDefault="00D22CE3">
      <w:r w:rsidRPr="00F10391">
        <w:t xml:space="preserve">Decision analytic approaches are used to investigate and describe the nature of a given problem, showing the full range of possible actions available to the decision-maker, possible states of nature outside of their control including the actions of other stakeholders, the associated consequences and the uncertainties of each. </w:t>
      </w:r>
    </w:p>
    <w:p w14:paraId="43518951" w14:textId="620BDBBD" w:rsidR="00D22CE3" w:rsidRPr="00F10391" w:rsidRDefault="00D22CE3">
      <w:pPr>
        <w:ind w:left="720"/>
      </w:pPr>
      <w:r w:rsidRPr="00F10391">
        <w:t xml:space="preserve">“The spirit of decision analysis is divide and conquer: decompose a complex problem into simpler problems, get one’s thinking straight on these simpler problems, paste these analyses together with logical glue, and come out with a program of action for the complex problem” </w:t>
      </w:r>
      <w:r w:rsidRPr="00F10391">
        <w:fldChar w:fldCharType="begin"/>
      </w:r>
      <w:r w:rsidR="00700267">
        <w:instrText xml:space="preserve"> ADDIN EN.CITE &lt;EndNote&gt;&lt;Cite&gt;&lt;Author&gt;Raiffa&lt;/Author&gt;&lt;Year&gt;1968&lt;/Year&gt;&lt;RecNum&gt;261&lt;/RecNum&gt;&lt;DisplayText&gt;[110]&lt;/DisplayText&gt;&lt;record&gt;&lt;rec-number&gt;261&lt;/rec-number&gt;&lt;foreign-keys&gt;&lt;key app="EN" db-id="sz9092dv2s5fpze9wpgx0zxgv5ar00aezrvf" timestamp="0"&gt;261&lt;/key&gt;&lt;/foreign-keys&gt;&lt;ref-type name="Book"&gt;6&lt;/ref-type&gt;&lt;contributors&gt;&lt;authors&gt;&lt;author&gt;Raiffa, Howard&lt;/author&gt;&lt;/authors&gt;&lt;/contributors&gt;&lt;titles&gt;&lt;title&gt;Decision Analysis.&lt;/title&gt;&lt;/titles&gt;&lt;pages&gt;271&lt;/pages&gt;&lt;dates&gt;&lt;year&gt;1968&lt;/year&gt;&lt;/dates&gt;&lt;pub-location&gt; Reading, Mass.&lt;/pub-location&gt;&lt;publisher&gt;Addison-Wesley&lt;/publisher&gt;&lt;urls&gt;&lt;/urls&gt;&lt;/record&gt;&lt;/Cite&gt;&lt;/EndNote&gt;</w:instrText>
      </w:r>
      <w:r w:rsidRPr="00F10391">
        <w:fldChar w:fldCharType="separate"/>
      </w:r>
      <w:r w:rsidR="00700267">
        <w:rPr>
          <w:noProof/>
        </w:rPr>
        <w:t>[110]</w:t>
      </w:r>
      <w:r w:rsidRPr="00F10391">
        <w:fldChar w:fldCharType="end"/>
      </w:r>
      <w:r w:rsidRPr="00F10391">
        <w:t xml:space="preserve"> (</w:t>
      </w:r>
      <w:r w:rsidR="008533CC">
        <w:t>p.</w:t>
      </w:r>
      <w:r w:rsidRPr="00F10391">
        <w:t>271)</w:t>
      </w:r>
      <w:r w:rsidR="00EF7608">
        <w:t>.</w:t>
      </w:r>
    </w:p>
    <w:p w14:paraId="2A0DB5D4" w14:textId="77777777" w:rsidR="00D22CE3" w:rsidRPr="00F10391" w:rsidRDefault="00D22CE3" w:rsidP="00494A9A">
      <w:r w:rsidRPr="00F10391">
        <w:t xml:space="preserve">Decision analysis can be used to maximise a given criterion, such as the level of profit or utility; equally other objectives could be minimised. In other situations, decision-makers may wish to use a satisficing </w:t>
      </w:r>
      <w:r w:rsidRPr="00F10391">
        <w:fldChar w:fldCharType="begin"/>
      </w:r>
      <w:r w:rsidR="00700267">
        <w:instrText xml:space="preserve"> ADDIN EN.CITE &lt;EndNote&gt;&lt;Cite&gt;&lt;Author&gt;Simon&lt;/Author&gt;&lt;Year&gt;1955&lt;/Year&gt;&lt;RecNum&gt;134&lt;/RecNum&gt;&lt;DisplayText&gt;[59]&lt;/DisplayText&gt;&lt;record&gt;&lt;rec-number&gt;134&lt;/rec-number&gt;&lt;foreign-keys&gt;&lt;key app="EN" db-id="sz9092dv2s5fpze9wpgx0zxgv5ar00aezrvf" timestamp="0"&gt;134&lt;/key&gt;&lt;/foreign-keys&gt;&lt;ref-type name="Journal Article"&gt;17&lt;/ref-type&gt;&lt;contributors&gt;&lt;authors&gt;&lt;author&gt;Simon, Herbert A&lt;/author&gt;&lt;/authors&gt;&lt;/contributors&gt;&lt;titles&gt;&lt;title&gt;A behavioral model of rational choice&lt;/title&gt;&lt;secondary-title&gt;The quarterly journal of economics&lt;/secondary-title&gt;&lt;/titles&gt;&lt;pages&gt;99-118&lt;/pages&gt;&lt;dates&gt;&lt;year&gt;1955&lt;/year&gt;&lt;/dates&gt;&lt;isbn&gt;0033-5533&lt;/isbn&gt;&lt;urls&gt;&lt;/urls&gt;&lt;/record&gt;&lt;/Cite&gt;&lt;/EndNote&gt;</w:instrText>
      </w:r>
      <w:r w:rsidRPr="00F10391">
        <w:fldChar w:fldCharType="separate"/>
      </w:r>
      <w:r w:rsidR="00700267">
        <w:rPr>
          <w:noProof/>
        </w:rPr>
        <w:t>[59]</w:t>
      </w:r>
      <w:r w:rsidRPr="00F10391">
        <w:fldChar w:fldCharType="end"/>
      </w:r>
      <w:r w:rsidRPr="00F10391">
        <w:t xml:space="preserve"> strategy to align outcomes as closely as possible with a pre-defined list of minimum targets to be achieved. </w:t>
      </w:r>
    </w:p>
    <w:p w14:paraId="6B0551D7" w14:textId="3C047C4D" w:rsidR="00D22CE3" w:rsidRPr="00F10391" w:rsidRDefault="00D22CE3" w:rsidP="00D24504">
      <w:pPr>
        <w:ind w:left="720"/>
      </w:pPr>
      <w:r w:rsidRPr="00F10391">
        <w:t xml:space="preserve">“The normative assumption that individuals </w:t>
      </w:r>
      <w:r w:rsidRPr="00F10391">
        <w:rPr>
          <w:i/>
          <w:iCs/>
        </w:rPr>
        <w:t>should</w:t>
      </w:r>
      <w:r w:rsidRPr="00F10391">
        <w:t xml:space="preserve"> maximize </w:t>
      </w:r>
      <w:r w:rsidRPr="00F10391">
        <w:rPr>
          <w:i/>
          <w:iCs/>
        </w:rPr>
        <w:t>some</w:t>
      </w:r>
      <w:r w:rsidRPr="00F10391">
        <w:t xml:space="preserve"> quantity may be wrong. Perhaps … there exists nothing to be maximized. Ordering may be partial … because the calculations are impossible in principle: People do and should act as </w:t>
      </w:r>
      <w:r w:rsidRPr="00F10391">
        <w:rPr>
          <w:iCs/>
        </w:rPr>
        <w:t>problem solvers, not maximizers</w:t>
      </w:r>
      <w:r w:rsidRPr="00F10391">
        <w:t xml:space="preserve">, because they have many different and incommensurable … goals to achieve” </w:t>
      </w:r>
      <w:r w:rsidRPr="00F10391">
        <w:fldChar w:fldCharType="begin"/>
      </w:r>
      <w:r w:rsidR="00700267">
        <w:instrText xml:space="preserve"> ADDIN EN.CITE &lt;EndNote&gt;&lt;Cite&gt;&lt;Author&gt;Krantz&lt;/Author&gt;&lt;Year&gt;1991&lt;/Year&gt;&lt;RecNum&gt;79&lt;/RecNum&gt;&lt;DisplayText&gt;[111]&lt;/DisplayText&gt;&lt;record&gt;&lt;rec-number&gt;79&lt;/rec-number&gt;&lt;foreign-keys&gt;&lt;key app="EN" db-id="sz9092dv2s5fpze9wpgx0zxgv5ar00aezrvf" timestamp="0"&gt;79&lt;/key&gt;&lt;/foreign-keys&gt;&lt;ref-type name="Book Section"&gt;5&lt;/ref-type&gt;&lt;contributors&gt;&lt;authors&gt;&lt;author&gt;Krantz, David H&lt;/author&gt;&lt;/authors&gt;&lt;/contributors&gt;&lt;titles&gt;&lt;title&gt;From indices to mappings: The representational approach to measurement&lt;/title&gt;&lt;secondary-title&gt;Frontiers of mathematical psychology&lt;/secondary-title&gt;&lt;/titles&gt;&lt;pages&gt;34&lt;/pages&gt;&lt;dates&gt;&lt;year&gt;1991&lt;/year&gt;&lt;/dates&gt;&lt;publisher&gt;Springer&lt;/publisher&gt;&lt;isbn&gt;0387974512&lt;/isbn&gt;&lt;urls&gt;&lt;/urls&gt;&lt;/record&gt;&lt;/Cite&gt;&lt;/EndNote&gt;</w:instrText>
      </w:r>
      <w:r w:rsidRPr="00F10391">
        <w:fldChar w:fldCharType="separate"/>
      </w:r>
      <w:r w:rsidR="00700267">
        <w:rPr>
          <w:noProof/>
        </w:rPr>
        <w:t>[111]</w:t>
      </w:r>
      <w:r w:rsidRPr="00F10391">
        <w:fldChar w:fldCharType="end"/>
      </w:r>
      <w:r w:rsidRPr="00F10391">
        <w:t xml:space="preserve"> (</w:t>
      </w:r>
      <w:r w:rsidR="008533CC">
        <w:t>p.</w:t>
      </w:r>
      <w:r w:rsidRPr="00F10391">
        <w:t>34)</w:t>
      </w:r>
      <w:r w:rsidR="00EF7608">
        <w:t>.</w:t>
      </w:r>
    </w:p>
    <w:p w14:paraId="46219E6A" w14:textId="77777777" w:rsidR="00D22CE3" w:rsidRPr="00F10391" w:rsidRDefault="00D22CE3" w:rsidP="00494A9A"/>
    <w:p w14:paraId="12C72559" w14:textId="77777777" w:rsidR="00D22CE3" w:rsidRPr="00F10391" w:rsidRDefault="00D22CE3" w:rsidP="00494A9A">
      <w:pPr>
        <w:pStyle w:val="Heading3"/>
      </w:pPr>
      <w:bookmarkStart w:id="106" w:name="_Toc313187827"/>
      <w:bookmarkStart w:id="107" w:name="_Toc441508924"/>
      <w:bookmarkStart w:id="108" w:name="_Toc453235362"/>
      <w:bookmarkStart w:id="109" w:name="_Toc453595435"/>
      <w:bookmarkStart w:id="110" w:name="_Toc476241532"/>
      <w:r w:rsidRPr="00F10391">
        <w:t>2.5.1</w:t>
      </w:r>
      <w:r w:rsidRPr="00F10391">
        <w:tab/>
      </w:r>
      <w:r w:rsidRPr="00F10391">
        <w:tab/>
        <w:t>Background to MCDA use in health settings</w:t>
      </w:r>
      <w:bookmarkEnd w:id="106"/>
      <w:bookmarkEnd w:id="107"/>
      <w:bookmarkEnd w:id="108"/>
      <w:bookmarkEnd w:id="109"/>
      <w:bookmarkEnd w:id="110"/>
    </w:p>
    <w:p w14:paraId="7CF07CD4" w14:textId="77777777" w:rsidR="00D22CE3" w:rsidRPr="00F10391" w:rsidRDefault="00D22CE3" w:rsidP="00490B5D">
      <w:r w:rsidRPr="00F10391">
        <w:t xml:space="preserve">In practice, decisions in healthcare settings are not always made on the basis of cost-effectiveness alone and also include other factors. Both decision-makers and the public seem to value the inclusion of other criteria, preferring pluralistic methodologies </w:t>
      </w:r>
      <w:r w:rsidRPr="00F10391">
        <w:fldChar w:fldCharType="begin"/>
      </w:r>
      <w:r w:rsidR="00700267">
        <w:instrText xml:space="preserve"> ADDIN EN.CITE &lt;EndNote&gt;&lt;Cite&gt;&lt;Author&gt;Cookson&lt;/Author&gt;&lt;Year&gt;2000&lt;/Year&gt;&lt;RecNum&gt;26&lt;/RecNum&gt;&lt;DisplayText&gt;[44, 82]&lt;/DisplayText&gt;&lt;record&gt;&lt;rec-number&gt;26&lt;/rec-number&gt;&lt;foreign-keys&gt;&lt;key app="EN" db-id="sz9092dv2s5fpze9wpgx0zxgv5ar00aezrvf" timestamp="0"&gt;26&lt;/key&gt;&lt;/foreign-keys&gt;&lt;ref-type name="Journal Article"&gt;17&lt;/ref-type&gt;&lt;contributors&gt;&lt;authors&gt;&lt;author&gt;Cookson, Richard&lt;/author&gt;&lt;author&gt;Dolan, Paul&lt;/author&gt;&lt;/authors&gt;&lt;/contributors&gt;&lt;titles&gt;&lt;title&gt;Principles of justice in health care rationing&lt;/title&gt;&lt;secondary-title&gt;Journal of Medical Ethics&lt;/secondary-title&gt;&lt;/titles&gt;&lt;periodical&gt;&lt;full-title&gt;Journal of Medical Ethics&lt;/full-title&gt;&lt;/periodical&gt;&lt;pages&gt;323-329&lt;/pages&gt;&lt;volume&gt;26&lt;/volume&gt;&lt;number&gt;5&lt;/number&gt;&lt;dates&gt;&lt;year&gt;2000&lt;/year&gt;&lt;/dates&gt;&lt;isbn&gt;1473-4257&lt;/isbn&gt;&lt;urls&gt;&lt;related-urls&gt;&lt;url&gt;http://www.ncbi.nlm.nih.gov/pmc/articles/PMC1733291/pdf/v026p00323.pdf&lt;/url&gt;&lt;/related-urls&gt;&lt;/urls&gt;&lt;/record&gt;&lt;/Cite&gt;&lt;Cite&gt;&lt;Author&gt;Coast&lt;/Author&gt;&lt;Year&gt;2004&lt;/Year&gt;&lt;RecNum&gt;2&lt;/RecNum&gt;&lt;record&gt;&lt;rec-number&gt;2&lt;/rec-number&gt;&lt;foreign-keys&gt;&lt;key app="EN" db-id="sz9092dv2s5fpze9wpgx0zxgv5ar00aezrvf" timestamp="0"&gt;2&lt;/key&gt;&lt;/foreign-keys&gt;&lt;ref-type name="Journal Article"&gt;17&lt;/ref-type&gt;&lt;contributors&gt;&lt;authors&gt;&lt;author&gt;Coast, Joanna&lt;/author&gt;&lt;/authors&gt;&lt;/contributors&gt;&lt;titles&gt;&lt;title&gt;Is economic evaluation in touch with society&amp;apos;s health values?&lt;/title&gt;&lt;secondary-title&gt;BMJ: British Medical Journal&lt;/secondary-title&gt;&lt;/titles&gt;&lt;pages&gt;1233&lt;/pages&gt;&lt;volume&gt;329&lt;/volume&gt;&lt;number&gt;7476&lt;/number&gt;&lt;dates&gt;&lt;year&gt;2004&lt;/year&gt;&lt;/dates&gt;&lt;urls&gt;&lt;related-urls&gt;&lt;url&gt;http://www.ncbi.nlm.nih.gov/pmc/articles/PMC529373/pdf/bmj32901233.pdf&lt;/url&gt;&lt;/related-urls&gt;&lt;/urls&gt;&lt;/record&gt;&lt;/Cite&gt;&lt;/EndNote&gt;</w:instrText>
      </w:r>
      <w:r w:rsidRPr="00F10391">
        <w:fldChar w:fldCharType="separate"/>
      </w:r>
      <w:r w:rsidR="00700267">
        <w:rPr>
          <w:noProof/>
        </w:rPr>
        <w:t>[44, 82]</w:t>
      </w:r>
      <w:r w:rsidRPr="00F10391">
        <w:fldChar w:fldCharType="end"/>
      </w:r>
      <w:r w:rsidRPr="00F10391">
        <w:t>. The analytical approaches already outlined in this chapter can be used to structure decision problems, informing decision-makers and making explicit the trade-offs and assumptions used. This could lead to a more open decision-making process and ultimately better decisions. Multiple criteria decision analysis fits firmly amongst these approaches, and by “</w:t>
      </w:r>
      <w:r w:rsidRPr="00F10391">
        <w:rPr>
          <w:iCs/>
        </w:rPr>
        <w:t>reducing a complex problem into small, easily managed parts, the analysis helps avoid errors that result from attempts to make highly complex decisions intuitively</w:t>
      </w:r>
      <w:r w:rsidRPr="00F10391">
        <w:t xml:space="preserve">”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000C4C15">
        <w:t xml:space="preserve"> (p.44)</w:t>
      </w:r>
      <w:r w:rsidRPr="00F10391">
        <w:t>.</w:t>
      </w:r>
    </w:p>
    <w:p w14:paraId="30F1C561" w14:textId="77777777" w:rsidR="00D22CE3" w:rsidRPr="00F10391" w:rsidRDefault="00D22CE3" w:rsidP="00490B5D">
      <w:pPr>
        <w:rPr>
          <w:i/>
          <w:iCs/>
        </w:rPr>
      </w:pPr>
      <w:r w:rsidRPr="00F10391">
        <w:lastRenderedPageBreak/>
        <w:t>Multiple criteria have unquestionably been widely used in healthcare for a long time; the QALY combines two criteria, and the quality of life component itself is generated using the EQ-5D instrument, incorporating five criteria. None of this is necessary new: Lagrange incorporated multiple commodities into single units in an approach reminiscent of CBA (though not using money) around 1800.</w:t>
      </w:r>
      <w:r w:rsidRPr="00F10391">
        <w:rPr>
          <w:i/>
          <w:iCs/>
        </w:rPr>
        <w:t xml:space="preserve"> </w:t>
      </w:r>
    </w:p>
    <w:p w14:paraId="462DF786" w14:textId="04D10FFB" w:rsidR="00D22CE3" w:rsidRPr="00F10391" w:rsidRDefault="00D22CE3" w:rsidP="00D24504">
      <w:pPr>
        <w:ind w:left="720"/>
        <w:rPr>
          <w:u w:val="single"/>
        </w:rPr>
      </w:pPr>
      <w:r w:rsidRPr="00F10391">
        <w:t xml:space="preserve">“Joseph-Louis Lagrange, the great mathematician, was particularly innovative in converting commodities into the function related characteristics: amounts of wheat and other grains into their nourishment equivalent, amounts of meat into equivalent units of beef (in terms of their nutritional qualities) and amounts of all beverages into units of wine (remember, Lagrange was French)” </w:t>
      </w:r>
      <w:r w:rsidRPr="00F10391">
        <w:fldChar w:fldCharType="begin"/>
      </w:r>
      <w:r w:rsidR="00700267">
        <w:instrText xml:space="preserve"> ADDIN EN.CITE &lt;EndNote&gt;&lt;Cite&gt;&lt;Author&gt;Sen&lt;/Author&gt;&lt;Year&gt;1999&lt;/Year&gt;&lt;RecNum&gt;390&lt;/RecNum&gt;&lt;DisplayText&gt;[86]&lt;/DisplayText&gt;&lt;record&gt;&lt;rec-number&gt;390&lt;/rec-number&gt;&lt;foreign-keys&gt;&lt;key app="EN" db-id="sz9092dv2s5fpze9wpgx0zxgv5ar00aezrvf" timestamp="1457608988"&gt;390&lt;/key&gt;&lt;/foreign-keys&gt;&lt;ref-type name="Book"&gt;6&lt;/ref-type&gt;&lt;contributors&gt;&lt;authors&gt;&lt;author&gt;Sen, Amartya&lt;/author&gt;&lt;/authors&gt;&lt;/contributors&gt;&lt;titles&gt;&lt;title&gt;Development as Freedom&lt;/title&gt;&lt;/titles&gt;&lt;section&gt;25&lt;/section&gt;&lt;dates&gt;&lt;year&gt;1999&lt;/year&gt;&lt;/dates&gt;&lt;publisher&gt;Oxford University Press&lt;/publisher&gt;&lt;urls&gt;&lt;/urls&gt;&lt;/record&gt;&lt;/Cite&gt;&lt;/EndNote&gt;</w:instrText>
      </w:r>
      <w:r w:rsidRPr="00F10391">
        <w:fldChar w:fldCharType="separate"/>
      </w:r>
      <w:r w:rsidR="00700267">
        <w:rPr>
          <w:noProof/>
        </w:rPr>
        <w:t>[86]</w:t>
      </w:r>
      <w:r w:rsidRPr="00F10391">
        <w:fldChar w:fldCharType="end"/>
      </w:r>
      <w:r w:rsidRPr="00F10391">
        <w:t xml:space="preserve"> (</w:t>
      </w:r>
      <w:r w:rsidR="008533CC">
        <w:t>p.</w:t>
      </w:r>
      <w:r w:rsidRPr="00F10391">
        <w:t>25)</w:t>
      </w:r>
      <w:r w:rsidR="00EF7608">
        <w:t>.</w:t>
      </w:r>
    </w:p>
    <w:p w14:paraId="6C7DAEFC" w14:textId="77777777" w:rsidR="00D22CE3" w:rsidRPr="00F10391" w:rsidRDefault="00D22CE3" w:rsidP="00494A9A">
      <w:r w:rsidRPr="00F10391">
        <w:t xml:space="preserve">MCDA approaches operate similarly to CBA, but instead of comparing alternatives on units of monetary (or, as above, nutritional) value, they use preference value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and the best value is chosen. A formal set of approaches is available to structure and understand particularly complex problems, and together they can be thought of as “the study of methods and procedures by which concerns about multiple conflicting criteria can be formally incorporated into the management process” </w:t>
      </w:r>
      <w:r w:rsidRPr="00F10391">
        <w:fldChar w:fldCharType="begin"/>
      </w:r>
      <w:r w:rsidR="00700267">
        <w:instrText xml:space="preserve"> ADDIN EN.CITE &lt;EndNote&gt;&lt;Cite&gt;&lt;Author&gt;Society&lt;/Author&gt;&lt;Year&gt;2013&lt;/Year&gt;&lt;RecNum&gt;176&lt;/RecNum&gt;&lt;DisplayText&gt;[113]&lt;/DisplayText&gt;&lt;record&gt;&lt;rec-number&gt;176&lt;/rec-number&gt;&lt;foreign-keys&gt;&lt;key app="EN" db-id="sz9092dv2s5fpze9wpgx0zxgv5ar00aezrvf" timestamp="0"&gt;176&lt;/key&gt;&lt;/foreign-keys&gt;&lt;ref-type name="Web Page"&gt;12&lt;/ref-type&gt;&lt;contributors&gt;&lt;authors&gt;&lt;author&gt;International MCDM Society,&lt;/author&gt;&lt;/authors&gt;&lt;/contributors&gt;&lt;titles&gt;&lt;title&gt;Introduction&lt;/title&gt;&lt;/titles&gt;&lt;volume&gt;2014&lt;/volume&gt;&lt;number&gt;12 September 2014&lt;/number&gt;&lt;dates&gt;&lt;year&gt;2013&lt;/year&gt;&lt;/dates&gt;&lt;urls&gt;&lt;related-urls&gt;&lt;url&gt; http://www.mcdmsociety.org/intro.html&lt;/url&gt;&lt;/related-urls&gt;&lt;/urls&gt;&lt;/record&gt;&lt;/Cite&gt;&lt;/EndNote&gt;</w:instrText>
      </w:r>
      <w:r w:rsidRPr="00F10391">
        <w:fldChar w:fldCharType="separate"/>
      </w:r>
      <w:r w:rsidR="00700267">
        <w:rPr>
          <w:noProof/>
        </w:rPr>
        <w:t>[113]</w:t>
      </w:r>
      <w:r w:rsidRPr="00F10391">
        <w:fldChar w:fldCharType="end"/>
      </w:r>
      <w:r w:rsidR="00B95230">
        <w:t xml:space="preserve"> (from webpage)</w:t>
      </w:r>
      <w:r w:rsidRPr="00F10391">
        <w:t xml:space="preserve"> to improve decision-making.</w:t>
      </w:r>
    </w:p>
    <w:p w14:paraId="2CAEFB8D" w14:textId="44378B11" w:rsidR="00D22CE3" w:rsidRPr="00F10391" w:rsidRDefault="00D22CE3" w:rsidP="00494A9A">
      <w:r w:rsidRPr="00F10391">
        <w:t xml:space="preserve">MCDA and other economic approaches previously outlined have much in common, and these approaches need not be mutually exclusive. Joubert et al. </w:t>
      </w:r>
      <w:r w:rsidRPr="00F10391">
        <w:fldChar w:fldCharType="begin"/>
      </w:r>
      <w:r w:rsidR="00700267">
        <w:instrText xml:space="preserve"> ADDIN EN.CITE &lt;EndNote&gt;&lt;Cite&gt;&lt;Author&gt;Joubert&lt;/Author&gt;&lt;Year&gt;1997&lt;/Year&gt;&lt;RecNum&gt;65&lt;/RecNum&gt;&lt;DisplayText&gt;[114]&lt;/DisplayText&gt;&lt;record&gt;&lt;rec-number&gt;65&lt;/rec-number&gt;&lt;foreign-keys&gt;&lt;key app="EN" db-id="sz9092dv2s5fpze9wpgx0zxgv5ar00aezrvf" timestamp="0"&gt;65&lt;/key&gt;&lt;/foreign-keys&gt;&lt;ref-type name="Journal Article"&gt;17&lt;/ref-type&gt;&lt;contributors&gt;&lt;authors&gt;&lt;author&gt;Joubert, Alison R&lt;/author&gt;&lt;author&gt;Leiman, Anthony&lt;/author&gt;&lt;author&gt;de Klerk, Helen M&lt;/author&gt;&lt;author&gt;Katua, Stephen&lt;/author&gt;&lt;author&gt;Aggenbach, J Coenrad&lt;/author&gt;&lt;/authors&gt;&lt;/contributors&gt;&lt;titles&gt;&lt;title&gt;Fynbos (fine bush) vegetation and the supply of water: a comparison of multi-criteria decision analysis and cost-benefit analysis&lt;/title&gt;&lt;secondary-title&gt;Ecological economics&lt;/secondary-title&gt;&lt;/titles&gt;&lt;pages&gt;123-140&lt;/pages&gt;&lt;volume&gt;22&lt;/volume&gt;&lt;number&gt;2&lt;/number&gt;&lt;dates&gt;&lt;year&gt;1997&lt;/year&gt;&lt;/dates&gt;&lt;isbn&gt;0921-8009&lt;/isbn&gt;&lt;urls&gt;&lt;related-urls&gt;&lt;url&gt;http://www.sciencedirect.com/science/article/pii/S0921800997005739&lt;/url&gt;&lt;/related-urls&gt;&lt;/urls&gt;&lt;/record&gt;&lt;/Cite&gt;&lt;/EndNote&gt;</w:instrText>
      </w:r>
      <w:r w:rsidRPr="00F10391">
        <w:fldChar w:fldCharType="separate"/>
      </w:r>
      <w:r w:rsidR="00700267">
        <w:rPr>
          <w:noProof/>
        </w:rPr>
        <w:t>[114]</w:t>
      </w:r>
      <w:r w:rsidRPr="00F10391">
        <w:fldChar w:fldCharType="end"/>
      </w:r>
      <w:r w:rsidRPr="00F10391">
        <w:t xml:space="preserve"> suggested that MCDA could be used to complement CBA when non-tangible market goods are important. Leys </w:t>
      </w:r>
      <w:r w:rsidRPr="00F10391">
        <w:fldChar w:fldCharType="begin"/>
      </w:r>
      <w:r w:rsidR="00700267">
        <w:instrText xml:space="preserve"> ADDIN EN.CITE &lt;EndNote&gt;&lt;Cite ExcludeAuth="1"&gt;&lt;Author&gt;Leys&lt;/Author&gt;&lt;Year&gt;2003&lt;/Year&gt;&lt;RecNum&gt;81&lt;/RecNum&gt;&lt;DisplayText&gt;[115]&lt;/DisplayText&gt;&lt;record&gt;&lt;rec-number&gt;81&lt;/rec-number&gt;&lt;foreign-keys&gt;&lt;key app="EN" db-id="sz9092dv2s5fpze9wpgx0zxgv5ar00aezrvf" timestamp="0"&gt;81&lt;/key&gt;&lt;/foreign-keys&gt;&lt;ref-type name="Journal Article"&gt;17&lt;/ref-type&gt;&lt;contributors&gt;&lt;authors&gt;&lt;author&gt;Leys, Mark&lt;/author&gt;&lt;/authors&gt;&lt;/contributors&gt;&lt;titles&gt;&lt;title&gt;Health care policy: qualitative evidence and health technology assessment&lt;/title&gt;&lt;secondary-title&gt;Health Policy&lt;/secondary-title&gt;&lt;/titles&gt;&lt;periodical&gt;&lt;full-title&gt;Health Policy&lt;/full-title&gt;&lt;/periodical&gt;&lt;pages&gt;217-226&lt;/pages&gt;&lt;volume&gt;65&lt;/volume&gt;&lt;number&gt;3&lt;/number&gt;&lt;dates&gt;&lt;year&gt;2003&lt;/year&gt;&lt;/dates&gt;&lt;isbn&gt;0168-8510&lt;/isbn&gt;&lt;urls&gt;&lt;related-urls&gt;&lt;url&gt;http://www.healthpolicyjrnl.com/article/S0168-8510(02)00209-9/abstract&lt;/url&gt;&lt;url&gt;http://ac.els-cdn.com/S0168851002002099/1-s2.0-S0168851002002099-main.pdf?_tid=3b814364-9359-11e4-bbee-00000aacb360&amp;amp;acdnat=1420297398_9e3ed1b425eaeb024b678bb6ddd328ec&lt;/url&gt;&lt;/related-urls&gt;&lt;/urls&gt;&lt;/record&gt;&lt;/Cite&gt;&lt;/EndNote&gt;</w:instrText>
      </w:r>
      <w:r w:rsidRPr="00F10391">
        <w:fldChar w:fldCharType="separate"/>
      </w:r>
      <w:r w:rsidR="00700267">
        <w:rPr>
          <w:noProof/>
        </w:rPr>
        <w:t>[115]</w:t>
      </w:r>
      <w:r w:rsidRPr="00F10391">
        <w:fldChar w:fldCharType="end"/>
      </w:r>
      <w:r w:rsidRPr="00F10391">
        <w:t xml:space="preserve"> notes that qualitative data in health technology assessments are too often not considered ‘real’ evidence and therefore not given adequate weight; MCDA is one possible alternative to mitigate this effect. It is important to also acknowledge that decisions can be informed by a variety of analyses – whether in sequence or simultaneously – and MCDA and current health economic approaches could be used side by side in these settings. A two-stage process incorporating both MCDA and CUA (for example) could allow opportunity cost to be ignored at the MCDA stage, while ensuring that it is still included in any final decision. In this vein, both chapters of the </w:t>
      </w:r>
      <w:r w:rsidR="008A7437">
        <w:t>‘</w:t>
      </w:r>
      <w:r w:rsidRPr="00F10391">
        <w:t>intervention development and implementation</w:t>
      </w:r>
      <w:r w:rsidR="008A7437">
        <w:t>’</w:t>
      </w:r>
      <w:r w:rsidRPr="00F10391">
        <w:t xml:space="preserve"> stage of the thesis deal with questions at stages of the decision process prior to the consideration of costs.</w:t>
      </w:r>
    </w:p>
    <w:p w14:paraId="4FF50964" w14:textId="77777777" w:rsidR="00D22CE3" w:rsidRPr="00F10391" w:rsidRDefault="00D22CE3" w:rsidP="00490B5D">
      <w:bookmarkStart w:id="111" w:name="_Toc313187828"/>
    </w:p>
    <w:p w14:paraId="067631E0" w14:textId="77777777" w:rsidR="00D22CE3" w:rsidRPr="00F10391" w:rsidRDefault="00D22CE3" w:rsidP="00490B5D">
      <w:pPr>
        <w:pStyle w:val="Heading3"/>
      </w:pPr>
      <w:bookmarkStart w:id="112" w:name="_Toc441508925"/>
      <w:bookmarkStart w:id="113" w:name="_Toc453235363"/>
      <w:bookmarkStart w:id="114" w:name="_Toc453595436"/>
      <w:bookmarkStart w:id="115" w:name="_Toc476241533"/>
      <w:r w:rsidRPr="00F10391">
        <w:t>2.5.2</w:t>
      </w:r>
      <w:r w:rsidRPr="00F10391">
        <w:tab/>
      </w:r>
      <w:r w:rsidRPr="00F10391">
        <w:tab/>
        <w:t>MCDA overview</w:t>
      </w:r>
      <w:bookmarkEnd w:id="111"/>
      <w:bookmarkEnd w:id="112"/>
      <w:bookmarkEnd w:id="113"/>
      <w:bookmarkEnd w:id="114"/>
      <w:bookmarkEnd w:id="115"/>
    </w:p>
    <w:p w14:paraId="7F640B1B" w14:textId="77777777" w:rsidR="00D22CE3" w:rsidRPr="00F10391" w:rsidRDefault="00D22CE3" w:rsidP="00D24504">
      <w:r w:rsidRPr="00F10391">
        <w:t xml:space="preserve">MCDA approaches are inter-disciplinary, incorporating concepts from OR, mathematics, psychology and decision theory. These problems typically include not only multiple conflicting objectives, but also multiple stakeholders, multiple potentially relevant criteria to judge and/or high levels of uncertainty. Such situations are not uncommon in public health scenarios. Structuring decisions in this way helps decision-makers to avoid oversimplifying the problem using heuristics and overly </w:t>
      </w:r>
      <w:r w:rsidRPr="00F10391">
        <w:rPr>
          <w:i/>
        </w:rPr>
        <w:t>ad hoc</w:t>
      </w:r>
      <w:r w:rsidRPr="00F10391">
        <w:t xml:space="preserve"> approaches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which may lead to sub-optimal outcomes:</w:t>
      </w:r>
    </w:p>
    <w:p w14:paraId="3C0AF582" w14:textId="0199BE62" w:rsidR="00D22CE3" w:rsidRPr="00F10391" w:rsidRDefault="00D22CE3" w:rsidP="00D24504">
      <w:pPr>
        <w:ind w:left="720"/>
      </w:pPr>
      <w:r w:rsidRPr="00F10391">
        <w:t xml:space="preserve">“When confronted with such complex problems, policy-makers tend to use intuitive or heuristic approaches to simplify complexity, and in the process, important information may be lost, and priority setting is ad-hoc... policy makers may not always [be] well placed to make informed well-thought choices involving trade-offs of societal values” </w:t>
      </w:r>
      <w:r w:rsidRPr="00F10391">
        <w:fldChar w:fldCharType="begin"/>
      </w:r>
      <w:r w:rsidR="00700267">
        <w:instrText xml:space="preserve"> ADDIN EN.CITE &lt;EndNote&gt;&lt;Cite&gt;&lt;Author&gt;Baltussen&lt;/Author&gt;&lt;Year&gt;2006&lt;/Year&gt;&lt;RecNum&gt;398&lt;/RecNum&gt;&lt;DisplayText&gt;[116]&lt;/DisplayText&gt;&lt;record&gt;&lt;rec-number&gt;398&lt;/rec-number&gt;&lt;foreign-keys&gt;&lt;key app="EN" db-id="sz9092dv2s5fpze9wpgx0zxgv5ar00aezrvf" timestamp="1458057115"&gt;398&lt;/key&gt;&lt;/foreign-keys&gt;&lt;ref-type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allocation&lt;/full-title&gt;&lt;/periodical&gt;&lt;pages&gt;2 of 9&lt;/pages&gt;&lt;volume&gt;4&lt;/volume&gt;&lt;number&gt;1&lt;/number&gt;&lt;dates&gt;&lt;year&gt;2006&lt;/year&gt;&lt;/dates&gt;&lt;isbn&gt;1478-7547&lt;/isbn&gt;&lt;urls&gt;&lt;/urls&gt;&lt;/record&gt;&lt;/Cite&gt;&lt;/EndNote&gt;</w:instrText>
      </w:r>
      <w:r w:rsidRPr="00F10391">
        <w:fldChar w:fldCharType="separate"/>
      </w:r>
      <w:r w:rsidR="00700267">
        <w:rPr>
          <w:noProof/>
        </w:rPr>
        <w:t>[116]</w:t>
      </w:r>
      <w:r w:rsidRPr="00F10391">
        <w:fldChar w:fldCharType="end"/>
      </w:r>
      <w:r w:rsidRPr="00F10391">
        <w:t xml:space="preserve"> (</w:t>
      </w:r>
      <w:r w:rsidR="008533CC">
        <w:t>p.</w:t>
      </w:r>
      <w:r w:rsidRPr="00F10391">
        <w:t>2 of 9)</w:t>
      </w:r>
      <w:r w:rsidR="00EF7608">
        <w:t>.</w:t>
      </w:r>
    </w:p>
    <w:p w14:paraId="0B7948E2" w14:textId="77777777" w:rsidR="00D22CE3" w:rsidRPr="00F10391" w:rsidRDefault="00D22CE3" w:rsidP="00494A9A">
      <w:r w:rsidRPr="00F10391">
        <w:lastRenderedPageBreak/>
        <w:t xml:space="preserve">MCDA techniques are by their nature transparent, structured approaches to investigating the performance of alternative courses of action in order to provide recommendations for decision-makers. They typically involve a period of reflection, in a group setting if possible, to discover the key attributes that will influence the decision. If necessary, the problem itself may have to be thought through more thoroughly and defined formally. There are numerous MCDA approaches used, which tend to fall into three broad families, of </w:t>
      </w:r>
      <w:r w:rsidRPr="00F10391">
        <w:rPr>
          <w:i/>
        </w:rPr>
        <w:t>value measurement</w:t>
      </w:r>
      <w:r w:rsidRPr="00F10391">
        <w:t xml:space="preserve">, </w:t>
      </w:r>
      <w:r w:rsidRPr="00F10391">
        <w:rPr>
          <w:i/>
        </w:rPr>
        <w:t>outranking</w:t>
      </w:r>
      <w:r w:rsidRPr="00F10391">
        <w:rPr>
          <w:iCs/>
        </w:rPr>
        <w:t xml:space="preserve"> or </w:t>
      </w:r>
      <w:r w:rsidRPr="00F10391">
        <w:rPr>
          <w:i/>
        </w:rPr>
        <w:t>goal programming</w:t>
      </w:r>
      <w:r w:rsidRPr="00F10391">
        <w:rPr>
          <w:iCs/>
        </w:rPr>
        <w:t xml:space="preserve"> methods </w:t>
      </w:r>
      <w:r w:rsidRPr="00F10391">
        <w:rPr>
          <w:iCs/>
        </w:rPr>
        <w:fldChar w:fldCharType="begin"/>
      </w:r>
      <w:r w:rsidR="00700267">
        <w:rPr>
          <w:iCs/>
        </w:rPr>
        <w:instrText xml:space="preserve"> ADDIN EN.CITE &lt;EndNote&gt;&lt;Cite&gt;&lt;Author&gt;Belton&lt;/Author&gt;&lt;Year&gt;2002&lt;/Year&gt;&lt;RecNum&gt;12&lt;/RecNum&gt;&lt;DisplayText&gt;[117]&lt;/DisplayText&gt;&lt;record&gt;&lt;rec-number&gt;12&lt;/rec-number&gt;&lt;foreign-keys&gt;&lt;key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rPr>
          <w:iCs/>
        </w:rPr>
        <w:fldChar w:fldCharType="separate"/>
      </w:r>
      <w:r w:rsidR="00700267">
        <w:rPr>
          <w:iCs/>
          <w:noProof/>
        </w:rPr>
        <w:t>[117]</w:t>
      </w:r>
      <w:r w:rsidRPr="00F10391">
        <w:rPr>
          <w:iCs/>
        </w:rPr>
        <w:fldChar w:fldCharType="end"/>
      </w:r>
      <w:r w:rsidRPr="00F10391">
        <w:rPr>
          <w:iCs/>
        </w:rPr>
        <w:t xml:space="preserve">, though other approaches are also possible </w:t>
      </w:r>
      <w:r w:rsidRPr="00F10391">
        <w:rPr>
          <w:iCs/>
        </w:rPr>
        <w:fldChar w:fldCharType="begin"/>
      </w:r>
      <w:r w:rsidR="00700267">
        <w:rPr>
          <w:iCs/>
        </w:rPr>
        <w:instrText xml:space="preserve"> ADDIN EN.CITE &lt;EndNote&gt;&lt;Cite&gt;&lt;Author&gt;Gamper&lt;/Author&gt;&lt;Year&gt;2007&lt;/Year&gt;&lt;RecNum&gt;51&lt;/RecNum&gt;&lt;DisplayText&gt;[118]&lt;/DisplayText&gt;&lt;record&gt;&lt;rec-number&gt;51&lt;/rec-number&gt;&lt;foreign-keys&gt;&lt;key app="EN" db-id="sz9092dv2s5fpze9wpgx0zxgv5ar00aezrvf" timestamp="0"&gt;51&lt;/key&gt;&lt;/foreign-keys&gt;&lt;ref-type name="Journal Article"&gt;17&lt;/ref-type&gt;&lt;contributors&gt;&lt;authors&gt;&lt;author&gt;Gamper, CD&lt;/author&gt;&lt;author&gt;Turcanu, Catrinel&lt;/author&gt;&lt;/authors&gt;&lt;/contributors&gt;&lt;titles&gt;&lt;title&gt;On the governmental use of multi-criteria analysis&lt;/title&gt;&lt;secondary-title&gt;Ecological economics&lt;/secondary-title&gt;&lt;/titles&gt;&lt;pages&gt;298-307&lt;/pages&gt;&lt;volume&gt;62&lt;/volume&gt;&lt;number&gt;2&lt;/number&gt;&lt;dates&gt;&lt;year&gt;2007&lt;/year&gt;&lt;/dates&gt;&lt;isbn&gt;0921-8009&lt;/isbn&gt;&lt;urls&gt;&lt;related-urls&gt;&lt;url&gt;http://www.sciencedirect.com/science/article/pii/S092180090700095X&lt;/url&gt;&lt;/related-urls&gt;&lt;/urls&gt;&lt;/record&gt;&lt;/Cite&gt;&lt;/EndNote&gt;</w:instrText>
      </w:r>
      <w:r w:rsidRPr="00F10391">
        <w:rPr>
          <w:iCs/>
        </w:rPr>
        <w:fldChar w:fldCharType="separate"/>
      </w:r>
      <w:r w:rsidR="00700267">
        <w:rPr>
          <w:iCs/>
          <w:noProof/>
        </w:rPr>
        <w:t>[118]</w:t>
      </w:r>
      <w:r w:rsidRPr="00F10391">
        <w:rPr>
          <w:iCs/>
        </w:rPr>
        <w:fldChar w:fldCharType="end"/>
      </w:r>
      <w:r w:rsidRPr="00F10391">
        <w:rPr>
          <w:iCs/>
        </w:rPr>
        <w:t>.</w:t>
      </w:r>
    </w:p>
    <w:p w14:paraId="46EDB29C" w14:textId="77777777" w:rsidR="00D22CE3" w:rsidRPr="00F10391" w:rsidRDefault="00D22CE3" w:rsidP="00494A9A">
      <w:r w:rsidRPr="00F10391">
        <w:t xml:space="preserve">The involvement of stakeholders, which is integral to MCDA decision processes, may improve the quality of decisions </w:t>
      </w:r>
      <w:r w:rsidRPr="00F10391">
        <w:fldChar w:fldCharType="begin"/>
      </w:r>
      <w:r w:rsidR="00700267">
        <w:instrText xml:space="preserve"> ADDIN EN.CITE &lt;EndNote&gt;&lt;Cite&gt;&lt;Author&gt;Beierle&lt;/Author&gt;&lt;Year&gt;2002&lt;/Year&gt;&lt;RecNum&gt;262&lt;/RecNum&gt;&lt;DisplayText&gt;[119]&lt;/DisplayText&gt;&lt;record&gt;&lt;rec-number&gt;262&lt;/rec-number&gt;&lt;foreign-keys&gt;&lt;key app="EN" db-id="sz9092dv2s5fpze9wpgx0zxgv5ar00aezrvf" timestamp="0"&gt;262&lt;/key&gt;</w:instrText>
      </w:r>
      <w:r w:rsidR="00700267">
        <w:rPr>
          <w:rFonts w:hint="eastAsia"/>
        </w:rPr>
        <w:instrText>&lt;/foreign-keys&gt;&lt;ref-type name="Journal Article"&gt;17&lt;/ref-type&gt;&lt;contributors&gt;&lt;authors&gt;&lt;author&gt;Beierle, Thomas C&lt;/author&gt;&lt;/authors&gt;&lt;/contributors&gt;&lt;titles&gt;&lt;title&gt;The quality of stakeholder</w:instrText>
      </w:r>
      <w:r w:rsidR="00700267">
        <w:rPr>
          <w:rFonts w:hint="eastAsia"/>
        </w:rPr>
        <w:instrText>‐</w:instrText>
      </w:r>
      <w:r w:rsidR="00700267">
        <w:rPr>
          <w:rFonts w:hint="eastAsia"/>
        </w:rPr>
        <w:instrText>based decisions&lt;/title&gt;&lt;secondary-title&gt;Risk analysis&lt;/secondary-title</w:instrText>
      </w:r>
      <w:r w:rsidR="00700267">
        <w:instrText>&gt;&lt;/titles&gt;&lt;periodical&gt;&lt;full-title&gt;Risk analysis&lt;/full-title&gt;&lt;/periodical&gt;&lt;pages&gt;739-749&lt;/pages&gt;&lt;volume&gt;22&lt;/volume&gt;&lt;number&gt;4&lt;/number&gt;&lt;dates&gt;&lt;year&gt;2002&lt;/year&gt;&lt;/dates&gt;&lt;isbn&gt;1539-6924&lt;/isbn&gt;&lt;urls&gt;&lt;related-urls&gt;&lt;url&gt;http://onlinelibrary.wiley.com/doi/10.1111/0272-4332.00065/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[119]</w:t>
      </w:r>
      <w:r w:rsidRPr="00F10391">
        <w:fldChar w:fldCharType="end"/>
      </w:r>
      <w:r w:rsidRPr="00F10391">
        <w:t xml:space="preserve">, increase the likelihood of public acceptance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r w:rsidRPr="00F10391">
        <w:t xml:space="preserve"> and increase the likelihood of managerial ‘buy-in’, which should increase the likelihood of successful implementation </w:t>
      </w:r>
      <w:r w:rsidRPr="00F10391">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w:t>
      </w:r>
      <w:r w:rsidRPr="00F10391">
        <w:fldChar w:fldCharType="end"/>
      </w:r>
      <w:r w:rsidRPr="00F10391">
        <w:t xml:space="preserve">. In some circumstances, however, political considerations may limit the opportunities for meaningful stakeholder involvement </w:t>
      </w:r>
      <w:r w:rsidRPr="00F10391">
        <w:fldChar w:fldCharType="begin"/>
      </w:r>
      <w:r w:rsidR="00700267">
        <w:instrText xml:space="preserve"> ADDIN EN.CITE &lt;EndNote&gt;&lt;Cite&gt;&lt;Author&gt;Costa&lt;/Author&gt;&lt;Year&gt;2001&lt;/Year&gt;&lt;RecNum&gt;10&lt;/RecNum&gt;&lt;DisplayText&gt;[122]&lt;/DisplayText&gt;&lt;record&gt;&lt;rec-number&gt;10&lt;/rec-number&gt;&lt;foreign-keys&gt;&lt;key app="EN" db-id="sz9092dv2s5fpze9wpgx0zxgv5ar00aezrvf" timestamp="0"&gt;10&lt;/key&gt;&lt;/for</w:instrText>
      </w:r>
      <w:r w:rsidR="00700267">
        <w:rPr>
          <w:rFonts w:hint="eastAsia"/>
        </w:rPr>
        <w:instrText>eign-keys&gt;&lt;ref-type name="Journal Article"&gt;17&lt;/ref-type&gt;&lt;contributors&gt;&lt;authors&gt;&lt;author&gt;Bana E Costa, Carlos A&lt;/author&gt;&lt;/authors&gt;&lt;/contributors&gt;&lt;titles&gt;&lt;title&gt;The use of multi</w:instrText>
      </w:r>
      <w:r w:rsidR="00700267">
        <w:rPr>
          <w:rFonts w:hint="eastAsia"/>
        </w:rPr>
        <w:instrText>‐</w:instrText>
      </w:r>
      <w:r w:rsidR="00700267">
        <w:rPr>
          <w:rFonts w:hint="eastAsia"/>
        </w:rPr>
        <w:instrText>criteria decision analysis to support the search for less conflicting policy options in a multi</w:instrText>
      </w:r>
      <w:r w:rsidR="00700267">
        <w:rPr>
          <w:rFonts w:hint="eastAsia"/>
        </w:rPr>
        <w:instrText>‐</w:instrText>
      </w:r>
      <w:r w:rsidR="00700267">
        <w:rPr>
          <w:rFonts w:hint="eastAsia"/>
        </w:rPr>
        <w:instrText>actor context: case study&lt;/title&gt;&lt;secondary-title&gt;Journal of Multi</w:instrText>
      </w:r>
      <w:r w:rsidR="00700267">
        <w:rPr>
          <w:rFonts w:hint="eastAsia"/>
        </w:rPr>
        <w:instrText>‐</w:instrText>
      </w:r>
      <w:r w:rsidR="00700267">
        <w:rPr>
          <w:rFonts w:hint="eastAsia"/>
        </w:rPr>
        <w:instrText>Criteria Decision Analysis&lt;/secondary-title&gt;&lt;/titles&gt;&lt;periodical&gt;&lt;full-title&gt;Journal of Multi</w:instrText>
      </w:r>
      <w:r w:rsidR="00700267">
        <w:rPr>
          <w:rFonts w:hint="eastAsia"/>
        </w:rPr>
        <w:instrText>‐</w:instrText>
      </w:r>
      <w:r w:rsidR="00700267">
        <w:rPr>
          <w:rFonts w:hint="eastAsia"/>
        </w:rPr>
        <w:instrText>Criteria Decision Analysis&lt;/full-title&gt;&lt;/periodical&gt;&lt;pages&gt;111-125&lt;/pages&gt;&lt;vol</w:instrText>
      </w:r>
      <w:r w:rsidR="00700267">
        <w:instrText>ume&gt;10&lt;/volume&gt;&lt;number&gt;2&lt;/number&gt;&lt;dates&gt;&lt;year&gt;2001&lt;/year&gt;&lt;/dates&gt;&lt;isbn&gt;1099-1360&lt;/isbn&gt;&lt;urls&gt;&lt;/urls&gt;&lt;/record&gt;&lt;/Cite&gt;&lt;/EndNote&gt;</w:instrText>
      </w:r>
      <w:r w:rsidRPr="00F10391">
        <w:fldChar w:fldCharType="separate"/>
      </w:r>
      <w:r w:rsidR="00700267">
        <w:rPr>
          <w:noProof/>
        </w:rPr>
        <w:t>[122]</w:t>
      </w:r>
      <w:r w:rsidRPr="00F10391">
        <w:fldChar w:fldCharType="end"/>
      </w:r>
      <w:r w:rsidRPr="00F10391">
        <w:t>.</w:t>
      </w:r>
    </w:p>
    <w:p w14:paraId="27E9E077" w14:textId="77777777" w:rsidR="00D22CE3" w:rsidRPr="00F10391" w:rsidRDefault="00D22CE3" w:rsidP="00494A9A">
      <w:pPr>
        <w:rPr>
          <w:bCs/>
        </w:rPr>
      </w:pPr>
      <w:r w:rsidRPr="00F10391">
        <w:rPr>
          <w:lang w:eastAsia="zh-TW"/>
        </w:rPr>
        <w:t>Decision-makers employing any such approach need to initially identify the problem, alternative options, the criteria that can be used to assess performance of each of these alternatives and the relative weights of these criteria to ensure that key attributes are defined as such</w:t>
      </w:r>
      <w:r w:rsidRPr="00F10391">
        <w:t xml:space="preserve">. </w:t>
      </w:r>
      <w:r w:rsidRPr="00F10391">
        <w:rPr>
          <w:iCs/>
        </w:rPr>
        <w:t xml:space="preserve">There are a number of factors to consider in choosing criteria that will work together in the model </w:t>
      </w:r>
      <w:r w:rsidRPr="00F10391">
        <w:fldChar w:fldCharType="begin"/>
      </w:r>
      <w:r w:rsidRPr="00F10391">
        <w:instrText xml:space="preserve"> ADDIN EN.CITE &lt;EndNote&gt;&lt;Cite&gt;&lt;Author&gt;Keeney&lt;/Author&gt;&lt;Year&gt;1993&lt;/Year&gt;&lt;RecNum&gt;260&lt;/RecNum&gt;&lt;DisplayText&gt;[8]&lt;/DisplayText&gt;&lt;record&gt;&lt;rec-number&gt;260&lt;/rec-number&gt;&lt;foreign-keys&gt;&lt;key app="EN" db-id="sz9092dv2s5fpze9wpgx0zxgv5ar00aezrvf" timestamp="0"&gt;260&lt;/key&gt;&lt;/foreign-keys&gt;&lt;ref-type name="Book"&gt;6&lt;/ref-type&gt;&lt;contributors&gt;&lt;authors&gt;&lt;author&gt;Keeney, Ralph L&lt;/author&gt;&lt;author&gt;Raiffa, Howard&lt;/author&gt;&lt;/authors&gt;&lt;/contributors&gt;&lt;titles&gt;&lt;title&gt;Decisions with multiple objectives: preferences and value trade-offs&lt;/title&gt;&lt;/titles&gt;&lt;dates&gt;&lt;year&gt;1993&lt;/year&gt;&lt;/dates&gt;&lt;publisher&gt;Cambridge university press&lt;/publisher&gt;&lt;isbn&gt;0521438837&lt;/isbn&gt;&lt;urls&gt;&lt;/urls&gt;&lt;/record&gt;&lt;/Cite&gt;&lt;/EndNote&gt;</w:instrText>
      </w:r>
      <w:r w:rsidRPr="00F10391">
        <w:fldChar w:fldCharType="separate"/>
      </w:r>
      <w:r w:rsidRPr="00F10391">
        <w:t>[8]</w:t>
      </w:r>
      <w:r w:rsidRPr="00F10391">
        <w:fldChar w:fldCharType="end"/>
      </w:r>
      <w:r w:rsidRPr="00F10391">
        <w:rPr>
          <w:iCs/>
        </w:rPr>
        <w:t>:</w:t>
      </w:r>
    </w:p>
    <w:p w14:paraId="52550E3F" w14:textId="77777777" w:rsidR="00D22CE3" w:rsidRPr="00F10391" w:rsidRDefault="00D22CE3" w:rsidP="00490B5D">
      <w:pPr>
        <w:pStyle w:val="ListParagraph"/>
        <w:numPr>
          <w:ilvl w:val="0"/>
          <w:numId w:val="6"/>
        </w:numPr>
      </w:pPr>
      <w:bookmarkStart w:id="116" w:name="_Toc303953392"/>
      <w:r w:rsidRPr="00F10391">
        <w:t>Complete: criteria completely define the objectives</w:t>
      </w:r>
    </w:p>
    <w:p w14:paraId="241058A3" w14:textId="77777777" w:rsidR="00D22CE3" w:rsidRPr="00F10391" w:rsidRDefault="00D22CE3" w:rsidP="00490B5D">
      <w:pPr>
        <w:pStyle w:val="ListParagraph"/>
        <w:numPr>
          <w:ilvl w:val="0"/>
          <w:numId w:val="6"/>
        </w:numPr>
      </w:pPr>
      <w:r w:rsidRPr="00F10391">
        <w:t xml:space="preserve">Operational: criteria are meaningful </w:t>
      </w:r>
    </w:p>
    <w:p w14:paraId="22251F36" w14:textId="77777777" w:rsidR="00D22CE3" w:rsidRPr="00F10391" w:rsidRDefault="00D22CE3" w:rsidP="00D24504">
      <w:pPr>
        <w:pStyle w:val="ListParagraph"/>
        <w:numPr>
          <w:ilvl w:val="0"/>
          <w:numId w:val="6"/>
        </w:numPr>
      </w:pPr>
      <w:r w:rsidRPr="00F10391">
        <w:t>Decomposable: The criteria can be analysed one at a time, do not depend on each other.</w:t>
      </w:r>
    </w:p>
    <w:p w14:paraId="052B24BA" w14:textId="77777777" w:rsidR="00D22CE3" w:rsidRPr="00F10391" w:rsidRDefault="00D22CE3" w:rsidP="00D24504">
      <w:pPr>
        <w:pStyle w:val="ListParagraph"/>
        <w:numPr>
          <w:ilvl w:val="0"/>
          <w:numId w:val="6"/>
        </w:numPr>
      </w:pPr>
      <w:r w:rsidRPr="00F10391">
        <w:t>Absence of redundancy: criteria are mutually exclusive, do not mean the same thing.</w:t>
      </w:r>
    </w:p>
    <w:p w14:paraId="632C9955" w14:textId="77777777" w:rsidR="00D22CE3" w:rsidRPr="00F10391" w:rsidRDefault="00D22CE3" w:rsidP="006A5AA3">
      <w:pPr>
        <w:pStyle w:val="ListParagraph"/>
        <w:numPr>
          <w:ilvl w:val="0"/>
          <w:numId w:val="6"/>
        </w:numPr>
      </w:pPr>
      <w:r w:rsidRPr="00F10391">
        <w:t>Of minimum size: Decision-makers cannot handle large number of criteria.</w:t>
      </w:r>
    </w:p>
    <w:p w14:paraId="410340B3" w14:textId="77777777" w:rsidR="00D22CE3" w:rsidRPr="00F10391" w:rsidRDefault="00D22CE3" w:rsidP="006942ED">
      <w:r w:rsidRPr="00F10391">
        <w:t>Other issues are also clearly relevant in choosing final criteria. Decision-makers should avoid falling into the trap of ‘double counting’, where the same effect is counted in more than one criterion, leading to it receiving more weight than is intended. Correlated results are not necessarily a problem in all such cases, so long as it is clear that the criteria are independent. This may require a thorough understanding of the organisation’s values and the decision problem’s broader context.</w:t>
      </w:r>
    </w:p>
    <w:p w14:paraId="34D5DF4E" w14:textId="77777777" w:rsidR="00D22CE3" w:rsidRPr="00F10391" w:rsidRDefault="00D22CE3">
      <w:r w:rsidRPr="00F10391">
        <w:t>Temporal impacts may also play an important role in decision-making in practice. For decisions with costs and benefits arising a long time in the future, there needs to be some recognition of this, whether through discounting (as with current economic approaches) or by weighting the long-term effects separately from those more immediately apparent.</w:t>
      </w:r>
    </w:p>
    <w:p w14:paraId="0BE489BB" w14:textId="77777777" w:rsidR="00D22CE3" w:rsidRPr="00F10391" w:rsidRDefault="00D22CE3">
      <w:r w:rsidRPr="00F10391">
        <w:t xml:space="preserve">Other issues can also be designed into the system and it is tempting for example to argue that criteria should also meet the four criteria required in the Accountability for Reasonableness framework </w:t>
      </w:r>
      <w:r w:rsidRPr="00F10391">
        <w:fldChar w:fldCharType="begin"/>
      </w:r>
      <w:r w:rsidR="00700267">
        <w:instrText xml:space="preserve"> ADDIN EN.CITE &lt;EndNote&gt;&lt;Cite&gt;&lt;Author&gt;Daniels&lt;/Author&gt;&lt;Year&gt;2002&lt;/Year&gt;&lt;RecNum&gt;32&lt;/RecNum&gt;&lt;DisplayText&gt;[123]&lt;/DisplayText&gt;&lt;record&gt;&lt;rec-number&gt;32&lt;/rec-number&gt;&lt;foreign-keys&gt;&lt;key app="EN" db-id="sz9092dv2s5fpze9wpgx0zxgv5ar00aezrvf" timestamp="0"&gt;32&lt;/key&gt;&lt;/foreign-keys&gt;&lt;ref-type name="Journal Article"&gt;17&lt;/ref-type&gt;&lt;contributors&gt;&lt;authors&gt;&lt;author&gt;Daniels, Norman&lt;/author&gt;&lt;author&gt;Sabin, James E&lt;/author&gt;&lt;/authors&gt;&lt;/contributors&gt;&lt;titles&gt;&lt;title&gt;Setting limits fairly: can we learn to share medical resources?&lt;/title&gt;&lt;secondary-title&gt;OUP Catalogue&lt;/secondary-title&gt;&lt;/titles&gt;&lt;dates&gt;&lt;year&gt;2002&lt;/year&gt;&lt;/dates&gt;&lt;urls&gt;&lt;/urls&gt;&lt;/record&gt;&lt;/Cite&gt;&lt;/EndNote&gt;</w:instrText>
      </w:r>
      <w:r w:rsidRPr="00F10391">
        <w:fldChar w:fldCharType="separate"/>
      </w:r>
      <w:r w:rsidR="00700267">
        <w:rPr>
          <w:noProof/>
        </w:rPr>
        <w:t>[123]</w:t>
      </w:r>
      <w:r w:rsidRPr="00F10391">
        <w:fldChar w:fldCharType="end"/>
      </w:r>
      <w:r w:rsidRPr="00F10391">
        <w:t xml:space="preserve"> to ensure fairness. However, as more requirements are imposed, trade-offs (perhaps fittingly) may have to be made to ensure the most important criteria are included in a workable model. Criteria should also ideally be easily understandable and measurable. Weights may initially be elicited from discussion or by some algorithm such as averaging anonymous preferences of the stakeholders or through discrete choice experiments (described in Section 2.5.3.3). Sensitivity analyses is required to better understand the role of each of these processes on the final ranking; answering the question “What makes a </w:t>
      </w:r>
      <w:r w:rsidRPr="00F10391">
        <w:lastRenderedPageBreak/>
        <w:t xml:space="preserve">difference in this decision?” </w:t>
      </w:r>
      <w:r w:rsidRPr="00F10391">
        <w:fldChar w:fldCharType="begin"/>
      </w:r>
      <w:r w:rsidR="00700267">
        <w:instrText xml:space="preserve"> ADDIN EN.CITE &lt;EndNote&gt;&lt;Cite&gt;&lt;Author&gt;Clemen&lt;/Author&gt;&lt;Year&gt;1999&lt;/Year&gt;&lt;RecNum&gt;259&lt;/RecNum&gt;&lt;DisplayText&gt;[124]&lt;/DisplayText&gt;&lt;record&gt;&lt;rec-number&gt;259&lt;/rec-number&gt;&lt;foreign-keys&gt;&lt;key app="EN" db-id="sz9092dv2s5fpze9wpgx0zxgv5ar00aezrvf" timestamp="0"&gt;259&lt;/key&gt;&lt;/foreign-keys&gt;&lt;ref-type name="Journal Article"&gt;17&lt;/ref-type&gt;&lt;contributors&gt;&lt;authors&gt;&lt;author&gt;Clemen, Robert T&lt;/author&gt;&lt;author&gt;Reilly, Terence&lt;/author&gt;&lt;/authors&gt;&lt;/contributors&gt;&lt;titles&gt;&lt;title&gt;Making hard decisions with DecisionTools Suite&lt;/title&gt;&lt;/titles&gt;&lt;dates&gt;&lt;year&gt;1999&lt;/year&gt;&lt;/dates&gt;&lt;isbn&gt;0534365973&lt;/isbn&gt;&lt;urls&gt;&lt;/urls&gt;&lt;/record&gt;&lt;/Cite&gt;&lt;/EndNote&gt;</w:instrText>
      </w:r>
      <w:r w:rsidRPr="00F10391">
        <w:fldChar w:fldCharType="separate"/>
      </w:r>
      <w:r w:rsidR="00700267">
        <w:rPr>
          <w:noProof/>
        </w:rPr>
        <w:t>[124]</w:t>
      </w:r>
      <w:r w:rsidRPr="00F10391">
        <w:fldChar w:fldCharType="end"/>
      </w:r>
      <w:r w:rsidRPr="00F10391">
        <w:t xml:space="preserve">. There is typically an option for revision later in the process if necessary, and to a certain extent even within each stage. MCDA is best considered an iterative process that works towards building agreed objectives. </w:t>
      </w:r>
    </w:p>
    <w:p w14:paraId="59848EF8" w14:textId="77777777" w:rsidR="00D22CE3" w:rsidRPr="00F10391" w:rsidRDefault="00D22CE3">
      <w:r w:rsidRPr="00F10391">
        <w:t xml:space="preserve">There are therefore eight commonly agreed upon stages required to carry out an MCDA project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000C4C15">
        <w:t xml:space="preserve"> (p.50)</w:t>
      </w:r>
      <w:r w:rsidRPr="00F10391">
        <w:t>, though they need not always be carried out in this order:</w:t>
      </w:r>
    </w:p>
    <w:p w14:paraId="4D6D973C" w14:textId="77777777" w:rsidR="00D22CE3" w:rsidRPr="00F10391" w:rsidRDefault="00D22CE3">
      <w:pPr>
        <w:pStyle w:val="ListParagraph"/>
        <w:numPr>
          <w:ilvl w:val="0"/>
          <w:numId w:val="46"/>
        </w:numPr>
      </w:pPr>
      <w:r w:rsidRPr="00F10391">
        <w:t>Establish the decision context.</w:t>
      </w:r>
    </w:p>
    <w:p w14:paraId="004FBC28" w14:textId="77777777" w:rsidR="00D22CE3" w:rsidRPr="00F10391" w:rsidRDefault="00D22CE3">
      <w:pPr>
        <w:pStyle w:val="ListParagraph"/>
        <w:numPr>
          <w:ilvl w:val="1"/>
          <w:numId w:val="46"/>
        </w:numPr>
      </w:pPr>
      <w:r w:rsidRPr="00F10391">
        <w:t>Establish aims of the MCDA, and identify decision-makers and other key players.</w:t>
      </w:r>
    </w:p>
    <w:p w14:paraId="0DF1F877" w14:textId="77777777" w:rsidR="00D22CE3" w:rsidRPr="00F10391" w:rsidRDefault="00D22CE3">
      <w:pPr>
        <w:pStyle w:val="ListParagraph"/>
        <w:numPr>
          <w:ilvl w:val="1"/>
          <w:numId w:val="46"/>
        </w:numPr>
      </w:pPr>
      <w:r w:rsidRPr="00F10391">
        <w:t>Design the socio-technical system for conducting the MCDA.</w:t>
      </w:r>
    </w:p>
    <w:p w14:paraId="16D5ADF9" w14:textId="77777777" w:rsidR="00D22CE3" w:rsidRPr="00F10391" w:rsidRDefault="00D22CE3">
      <w:pPr>
        <w:pStyle w:val="ListParagraph"/>
        <w:numPr>
          <w:ilvl w:val="1"/>
          <w:numId w:val="46"/>
        </w:numPr>
      </w:pPr>
      <w:r w:rsidRPr="00F10391">
        <w:t>Consider the context of the appraisal.</w:t>
      </w:r>
    </w:p>
    <w:p w14:paraId="1E7FE8E8" w14:textId="77777777" w:rsidR="00D22CE3" w:rsidRPr="00F10391" w:rsidRDefault="00D22CE3">
      <w:pPr>
        <w:pStyle w:val="ListParagraph"/>
        <w:numPr>
          <w:ilvl w:val="0"/>
          <w:numId w:val="46"/>
        </w:numPr>
      </w:pPr>
      <w:r w:rsidRPr="00F10391">
        <w:t>Identify the options to be appraised.</w:t>
      </w:r>
    </w:p>
    <w:p w14:paraId="2C16C1D6" w14:textId="77777777" w:rsidR="00D22CE3" w:rsidRPr="00F10391" w:rsidRDefault="00D22CE3">
      <w:pPr>
        <w:pStyle w:val="ListParagraph"/>
        <w:numPr>
          <w:ilvl w:val="1"/>
          <w:numId w:val="46"/>
        </w:numPr>
      </w:pPr>
      <w:r w:rsidRPr="00F10391">
        <w:t>Identify objectives and criteria.</w:t>
      </w:r>
    </w:p>
    <w:p w14:paraId="00170B95" w14:textId="77777777" w:rsidR="00D22CE3" w:rsidRPr="00F10391" w:rsidRDefault="00D22CE3">
      <w:pPr>
        <w:pStyle w:val="ListParagraph"/>
        <w:numPr>
          <w:ilvl w:val="1"/>
          <w:numId w:val="46"/>
        </w:numPr>
      </w:pPr>
      <w:r w:rsidRPr="00F10391">
        <w:t>Identify criteria for assessing the consequences of each option.</w:t>
      </w:r>
    </w:p>
    <w:p w14:paraId="0F2408A2" w14:textId="77777777" w:rsidR="00D22CE3" w:rsidRPr="00F10391" w:rsidRDefault="00D22CE3">
      <w:pPr>
        <w:pStyle w:val="ListParagraph"/>
        <w:numPr>
          <w:ilvl w:val="0"/>
          <w:numId w:val="46"/>
        </w:numPr>
      </w:pPr>
      <w:r w:rsidRPr="00F10391">
        <w:t>Organise the criteria by clustering them under high-level and lower-level objectives in a hierarchy.</w:t>
      </w:r>
    </w:p>
    <w:p w14:paraId="746BD67D" w14:textId="77777777" w:rsidR="00D22CE3" w:rsidRPr="00F10391" w:rsidRDefault="00D22CE3">
      <w:pPr>
        <w:pStyle w:val="ListParagraph"/>
        <w:numPr>
          <w:ilvl w:val="0"/>
          <w:numId w:val="46"/>
        </w:numPr>
      </w:pPr>
      <w:r w:rsidRPr="00F10391">
        <w:t>‘Scoring’. Assess the expected performance of each option against the criteria. Then assess the value associated with the consequences of each option for each criterion.</w:t>
      </w:r>
    </w:p>
    <w:p w14:paraId="68106446" w14:textId="77777777" w:rsidR="00D22CE3" w:rsidRPr="00F10391" w:rsidRDefault="00D22CE3">
      <w:pPr>
        <w:pStyle w:val="ListParagraph"/>
        <w:numPr>
          <w:ilvl w:val="1"/>
          <w:numId w:val="46"/>
        </w:numPr>
      </w:pPr>
      <w:r w:rsidRPr="00F10391">
        <w:t>Describe the consequences of the options.</w:t>
      </w:r>
    </w:p>
    <w:p w14:paraId="57E3CA96" w14:textId="77777777" w:rsidR="00D22CE3" w:rsidRPr="00F10391" w:rsidRDefault="00D22CE3">
      <w:pPr>
        <w:pStyle w:val="ListParagraph"/>
        <w:numPr>
          <w:ilvl w:val="1"/>
          <w:numId w:val="46"/>
        </w:numPr>
      </w:pPr>
      <w:r w:rsidRPr="00F10391">
        <w:t>Score the options on the criteria.</w:t>
      </w:r>
    </w:p>
    <w:p w14:paraId="58DFD1AE" w14:textId="77777777" w:rsidR="00D22CE3" w:rsidRPr="00F10391" w:rsidRDefault="00D22CE3">
      <w:pPr>
        <w:pStyle w:val="ListParagraph"/>
        <w:numPr>
          <w:ilvl w:val="1"/>
          <w:numId w:val="46"/>
        </w:numPr>
      </w:pPr>
      <w:r w:rsidRPr="00F10391">
        <w:t>Check the consistency of the scores on each criterion.</w:t>
      </w:r>
    </w:p>
    <w:p w14:paraId="1D7BDD59" w14:textId="77777777" w:rsidR="00D22CE3" w:rsidRPr="00F10391" w:rsidRDefault="00D22CE3">
      <w:pPr>
        <w:pStyle w:val="ListParagraph"/>
        <w:numPr>
          <w:ilvl w:val="0"/>
          <w:numId w:val="46"/>
        </w:numPr>
      </w:pPr>
      <w:r w:rsidRPr="00F10391">
        <w:t>‘Weighting’. Assign weights for each of the criterion to reflect their relative importance to the decision.</w:t>
      </w:r>
    </w:p>
    <w:p w14:paraId="33E770B5" w14:textId="77777777" w:rsidR="00D22CE3" w:rsidRPr="00F10391" w:rsidRDefault="00D22CE3">
      <w:pPr>
        <w:pStyle w:val="ListParagraph"/>
        <w:numPr>
          <w:ilvl w:val="0"/>
          <w:numId w:val="46"/>
        </w:numPr>
      </w:pPr>
      <w:r w:rsidRPr="00F10391">
        <w:t>Combine the weights and scores for each option to derive an overall value.</w:t>
      </w:r>
    </w:p>
    <w:p w14:paraId="50DB8D45" w14:textId="77777777" w:rsidR="00D22CE3" w:rsidRPr="00F10391" w:rsidRDefault="00D22CE3">
      <w:pPr>
        <w:pStyle w:val="ListParagraph"/>
        <w:numPr>
          <w:ilvl w:val="1"/>
          <w:numId w:val="46"/>
        </w:numPr>
      </w:pPr>
      <w:r w:rsidRPr="00F10391">
        <w:t>Calculate overall weighted scores at each level in the hierarchy.</w:t>
      </w:r>
    </w:p>
    <w:p w14:paraId="11C76EC7" w14:textId="77777777" w:rsidR="00D22CE3" w:rsidRPr="00F10391" w:rsidRDefault="00D22CE3">
      <w:pPr>
        <w:pStyle w:val="ListParagraph"/>
        <w:numPr>
          <w:ilvl w:val="1"/>
          <w:numId w:val="46"/>
        </w:numPr>
      </w:pPr>
      <w:r w:rsidRPr="00F10391">
        <w:t>Calculate overall weighted scores.</w:t>
      </w:r>
    </w:p>
    <w:p w14:paraId="2AF1928C" w14:textId="77777777" w:rsidR="00D22CE3" w:rsidRPr="00F10391" w:rsidRDefault="00D22CE3">
      <w:pPr>
        <w:pStyle w:val="ListParagraph"/>
        <w:numPr>
          <w:ilvl w:val="0"/>
          <w:numId w:val="46"/>
        </w:numPr>
      </w:pPr>
      <w:r w:rsidRPr="00F10391">
        <w:t>Examine the results.</w:t>
      </w:r>
    </w:p>
    <w:p w14:paraId="108FDEED" w14:textId="77777777" w:rsidR="00D22CE3" w:rsidRPr="00F10391" w:rsidRDefault="00D22CE3">
      <w:pPr>
        <w:pStyle w:val="ListParagraph"/>
        <w:numPr>
          <w:ilvl w:val="0"/>
          <w:numId w:val="46"/>
        </w:numPr>
      </w:pPr>
      <w:r w:rsidRPr="00F10391">
        <w:t>Sensitivity analysis.</w:t>
      </w:r>
    </w:p>
    <w:p w14:paraId="7A67EA4F" w14:textId="77777777" w:rsidR="00D22CE3" w:rsidRPr="00F10391" w:rsidRDefault="00D22CE3">
      <w:pPr>
        <w:pStyle w:val="ListParagraph"/>
        <w:numPr>
          <w:ilvl w:val="1"/>
          <w:numId w:val="46"/>
        </w:numPr>
      </w:pPr>
      <w:r w:rsidRPr="00F10391">
        <w:t>Conduct a sensitivity analysis: do other preferences or weights affect the overall ordering of the options?</w:t>
      </w:r>
    </w:p>
    <w:p w14:paraId="7F94CC16" w14:textId="77777777" w:rsidR="00D22CE3" w:rsidRPr="00F10391" w:rsidRDefault="00D22CE3">
      <w:pPr>
        <w:pStyle w:val="ListParagraph"/>
        <w:numPr>
          <w:ilvl w:val="1"/>
          <w:numId w:val="46"/>
        </w:numPr>
      </w:pPr>
      <w:r w:rsidRPr="00F10391">
        <w:t>Look at the advantages and disadvantages of selected options, and compare pairs of options.</w:t>
      </w:r>
    </w:p>
    <w:p w14:paraId="0A665DB5" w14:textId="77777777" w:rsidR="00D22CE3" w:rsidRPr="00F10391" w:rsidRDefault="00D22CE3">
      <w:pPr>
        <w:pStyle w:val="ListParagraph"/>
        <w:numPr>
          <w:ilvl w:val="1"/>
          <w:numId w:val="46"/>
        </w:numPr>
      </w:pPr>
      <w:r w:rsidRPr="00F10391">
        <w:t>Create possible new options that might be better than those originally considered.</w:t>
      </w:r>
    </w:p>
    <w:p w14:paraId="1425AA05" w14:textId="77777777" w:rsidR="00D22CE3" w:rsidRPr="00F10391" w:rsidRDefault="00D22CE3">
      <w:pPr>
        <w:pStyle w:val="ListParagraph"/>
        <w:numPr>
          <w:ilvl w:val="1"/>
          <w:numId w:val="46"/>
        </w:numPr>
      </w:pPr>
      <w:r w:rsidRPr="00F10391">
        <w:t>Repeat the above steps until a ‘requisite’ model is obtained.</w:t>
      </w:r>
    </w:p>
    <w:p w14:paraId="03F83D50" w14:textId="77777777" w:rsidR="00D22CE3" w:rsidRPr="00F10391" w:rsidRDefault="00D22CE3">
      <w:r w:rsidRPr="00F10391">
        <w:t>These 8 steps are revisited for both case studies in the intervention development/implementation stage of the thesis.</w:t>
      </w:r>
    </w:p>
    <w:p w14:paraId="6554E214" w14:textId="77777777" w:rsidR="00D22CE3" w:rsidRPr="00F10391" w:rsidRDefault="00D22CE3">
      <w:r w:rsidRPr="00F10391">
        <w:t xml:space="preserve">A model is normally imperfect, but should be ‘requisite’ – sufficient to represent the mental models, beliefs about uncertainty and preferences of the participants, and where additional model refinements do not generate new insights in the problem </w:t>
      </w:r>
      <w:r w:rsidRPr="00F10391">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w:t>
      </w:r>
      <w:r w:rsidRPr="00F10391">
        <w:fldChar w:fldCharType="end"/>
      </w:r>
      <w:r w:rsidRPr="00F10391">
        <w:t>.</w:t>
      </w:r>
    </w:p>
    <w:p w14:paraId="04720611" w14:textId="7F63D55C" w:rsidR="00D22CE3" w:rsidRPr="00F10391" w:rsidRDefault="00D22CE3">
      <w:r w:rsidRPr="00F10391">
        <w:t xml:space="preserve">MCDA approaches are rarely used in value-free contexts and need further interpretation before the ‘answers’ provided are to be used. There is always a danger of the false legitimacy of looking mathematical with any of these approaches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xml:space="preserve">. Decision-makers will still require their </w:t>
      </w:r>
      <w:r w:rsidR="001B7ADD">
        <w:t>judgment</w:t>
      </w:r>
      <w:r w:rsidRPr="00F10391">
        <w:t xml:space="preserve"> in making final decisions, but such approaches are nonetheless useful in building up shared understanding and a sense of common purpose, increasing the chances </w:t>
      </w:r>
      <w:r w:rsidRPr="00F10391">
        <w:lastRenderedPageBreak/>
        <w:t xml:space="preserve">that changes will be implemented </w:t>
      </w:r>
      <w:r w:rsidRPr="00F10391">
        <w:fldChar w:fldCharType="begin"/>
      </w:r>
      <w:r w:rsidR="00700267">
        <w:instrText xml:space="preserve"> ADDIN EN.CITE &lt;EndNote&gt;&lt;Cite&gt;&lt;Author&gt;Phillips&lt;/Author&gt;&lt;Year&gt;2007&lt;/Year&gt;&lt;RecNum&gt;110&lt;/RecNum&gt;&lt;DisplayText&gt;[127]&lt;/DisplayText&gt;&lt;record&gt;&lt;rec-number&gt;110&lt;/rec-number&gt;&lt;foreign-keys&gt;&lt;key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EndNote&gt;</w:instrText>
      </w:r>
      <w:r w:rsidRPr="00F10391">
        <w:fldChar w:fldCharType="separate"/>
      </w:r>
      <w:r w:rsidR="00700267">
        <w:rPr>
          <w:noProof/>
        </w:rPr>
        <w:t>[127]</w:t>
      </w:r>
      <w:r w:rsidRPr="00F10391">
        <w:fldChar w:fldCharType="end"/>
      </w:r>
      <w:r w:rsidRPr="00F10391">
        <w:t xml:space="preserve">. There may not be a ’correct’ answer, though in many situations some answers are more correct than others, and MCDA approaches can highlight interventions that are likely to do particularly well or poorly. </w:t>
      </w:r>
    </w:p>
    <w:p w14:paraId="255F63C3" w14:textId="77777777" w:rsidR="00D22CE3" w:rsidRPr="00F10391" w:rsidRDefault="00D22CE3">
      <w:r w:rsidRPr="00F10391">
        <w:t xml:space="preserve">Dolan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Pr="00F10391">
        <w:t xml:space="preserve"> provides a simple example of how MCDA might be used in a health context – in this case how doctors could structure the decision for patients about which colorectal cancer screening method would be most appropriate for them. This objective is broken down into six criteria and there are six alternative screening programmes (including a </w:t>
      </w:r>
      <w:r w:rsidRPr="00F10391">
        <w:rPr>
          <w:i/>
          <w:iCs/>
        </w:rPr>
        <w:t>no screening</w:t>
      </w:r>
      <w:r w:rsidRPr="00F10391">
        <w:t xml:space="preserve"> option), shown in Figure 2.1. </w:t>
      </w:r>
    </w:p>
    <w:p w14:paraId="57830269" w14:textId="4B083A3D" w:rsidR="00D22CE3" w:rsidRPr="00F10391" w:rsidRDefault="00D22CE3">
      <w:pPr>
        <w:pStyle w:val="Caption"/>
      </w:pPr>
      <w:bookmarkStart w:id="117" w:name="_Toc476241444"/>
      <w:bookmarkStart w:id="118" w:name="_Toc444180807"/>
      <w:r w:rsidRPr="00F10391">
        <w:t xml:space="preserve">Figure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Example MCDA model for use in shared decision-making settings to structure the process for patients trying to choose between potential options for colorectal screening. Adapted from Dolan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bookmarkEnd w:id="118"/>
      <w:r w:rsidR="00700267">
        <w:rPr>
          <w:noProof/>
        </w:rPr>
        <w:t>[112]</w:t>
      </w:r>
      <w:bookmarkEnd w:id="117"/>
      <w:r w:rsidRPr="00F10391">
        <w:fldChar w:fldCharType="end"/>
      </w:r>
    </w:p>
    <w:p w14:paraId="5800566D" w14:textId="77777777" w:rsidR="00D22CE3" w:rsidRPr="00F10391" w:rsidRDefault="00D22CE3">
      <w:pPr>
        <w:rPr>
          <w:color w:val="4F81BD"/>
        </w:rPr>
      </w:pPr>
      <w:r w:rsidRPr="00F10391">
        <w:rPr>
          <w:noProof/>
          <w:lang w:val="en-IE" w:eastAsia="en-IE"/>
        </w:rPr>
        <w:drawing>
          <wp:inline distT="0" distB="0" distL="0" distR="0" wp14:anchorId="5BBFA327" wp14:editId="61E2FA9D">
            <wp:extent cx="5738495" cy="2835910"/>
            <wp:effectExtent l="0" t="0" r="1905"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495" cy="2835910"/>
                    </a:xfrm>
                    <a:prstGeom prst="rect">
                      <a:avLst/>
                    </a:prstGeom>
                    <a:noFill/>
                    <a:ln>
                      <a:noFill/>
                    </a:ln>
                  </pic:spPr>
                </pic:pic>
              </a:graphicData>
            </a:graphic>
          </wp:inline>
        </w:drawing>
      </w:r>
    </w:p>
    <w:p w14:paraId="20007D19" w14:textId="77777777" w:rsidR="00D22CE3" w:rsidRPr="00F10391" w:rsidRDefault="00D22CE3">
      <w:bookmarkStart w:id="119" w:name="_Toc303953393"/>
      <w:bookmarkEnd w:id="116"/>
    </w:p>
    <w:p w14:paraId="4DCBF854" w14:textId="77777777" w:rsidR="00D22CE3" w:rsidRPr="00F10391" w:rsidRDefault="00D22CE3">
      <w:pPr>
        <w:pStyle w:val="Heading3"/>
      </w:pPr>
      <w:bookmarkStart w:id="120" w:name="_Toc313187829"/>
      <w:bookmarkStart w:id="121" w:name="_Toc441508926"/>
      <w:bookmarkStart w:id="122" w:name="_Toc453235364"/>
      <w:bookmarkStart w:id="123" w:name="_Toc453595437"/>
      <w:bookmarkStart w:id="124" w:name="_Toc476241534"/>
      <w:r w:rsidRPr="00F10391">
        <w:t>2.5.3</w:t>
      </w:r>
      <w:r w:rsidRPr="00F10391">
        <w:tab/>
      </w:r>
      <w:r w:rsidRPr="00F10391">
        <w:tab/>
        <w:t>Value measurement models</w:t>
      </w:r>
      <w:bookmarkEnd w:id="119"/>
      <w:bookmarkEnd w:id="120"/>
      <w:bookmarkEnd w:id="121"/>
      <w:bookmarkEnd w:id="122"/>
      <w:bookmarkEnd w:id="123"/>
      <w:bookmarkEnd w:id="124"/>
    </w:p>
    <w:p w14:paraId="25029CF6" w14:textId="77777777" w:rsidR="00D22CE3" w:rsidRPr="00F10391" w:rsidRDefault="00D22CE3">
      <w:r w:rsidRPr="00F10391">
        <w:t xml:space="preserve">Value measurement models include various approaches that assign scores to each alternative course of action comparing how well each would perform. They are the most commonly used family of approaches in health settings </w:t>
      </w:r>
      <w:r w:rsidRPr="00F10391">
        <w:fldChar w:fldCharType="begin"/>
      </w:r>
      <w:r w:rsidR="00700267">
        <w:instrText xml:space="preserve"> ADDIN EN.CITE &lt;EndNote&gt;&lt;Cite&gt;&lt;Author&gt;Marsh&lt;/Author&gt;&lt;Year&gt;2014&lt;/Year&gt;&lt;RecNum&gt;322&lt;/RecNum&gt;&lt;DisplayText&gt;[128]&lt;/DisplayText&gt;&lt;record&gt;&lt;rec-number&gt;322&lt;/rec-number&gt;&lt;foreign-keys&gt;&lt;key app="EN" db-id="sz9092dv2s5fpze9wpgx0zxgv5ar00aezrvf" timestamp="0"&gt;322&lt;/key&gt;&lt;/foreign-keys&gt;&lt;ref-type name="Journal Article"&gt;17&lt;/ref-type&gt;&lt;contributors&gt;&lt;authors&gt;&lt;author&gt;Marsh, Kevin&lt;/author&gt;&lt;author&gt;Lanitis, Tereza&lt;/author&gt;&lt;author&gt;Neasham, David&lt;/author&gt;&lt;author&gt;Orfanos, Panagiotis&lt;/author&gt;&lt;author&gt;Caro, Jaime&lt;/author&gt;&lt;/authors&gt;&lt;/contributors&gt;&lt;titles&gt;&lt;title&gt;Assessing the value of healthcare interventions using multi-criteria decision analysis: a review of the literature&lt;/title&gt;&lt;secondary-title&gt;Pharmacoeconomics&lt;/secondary-title&gt;&lt;/titles&gt;&lt;periodical&gt;&lt;full-title&gt;Pharmacoeconomics&lt;/full-title&gt;&lt;/periodical&gt;&lt;pages&gt;345-365&lt;/pages&gt;&lt;volume&gt;32&lt;/volume&gt;&lt;number&gt;4&lt;/number&gt;&lt;dates&gt;&lt;year&gt;2014&lt;/year&gt;&lt;/dates&gt;&lt;isbn&gt;1170-7690&lt;/isbn&gt;&lt;urls&gt;&lt;related-urls&gt;&lt;url&gt;http://link.springer.com/article/10.1007%2Fs40273-014-0135-0&lt;/url&gt;&lt;/related-urls&gt;&lt;/urls&gt;&lt;/record&gt;&lt;/Cite&gt;&lt;/EndNote&gt;</w:instrText>
      </w:r>
      <w:r w:rsidRPr="00F10391">
        <w:fldChar w:fldCharType="separate"/>
      </w:r>
      <w:r w:rsidR="00700267">
        <w:rPr>
          <w:noProof/>
        </w:rPr>
        <w:t>[128]</w:t>
      </w:r>
      <w:r w:rsidRPr="00F10391">
        <w:fldChar w:fldCharType="end"/>
      </w:r>
      <w:r w:rsidRPr="00F10391">
        <w:t>. Unlike other approaches, they are a compensatory method, allowing direct trade-offs between criteria. Therefore, if an alternative performs badly on one criterion, it is not automatically excluded (as might be the case with other techniques) and may still turn out to be the best option overall if it performs well on the other criteria. Value measurement models use various approaches in order to assign scores to each of the alternatives to indicate how well they perform, allowing the ranking of these interventions. This is useful when the decision problem allows for the choice of more than one option.</w:t>
      </w:r>
    </w:p>
    <w:p w14:paraId="704C592A" w14:textId="77777777" w:rsidR="00D22CE3" w:rsidRPr="00F10391" w:rsidRDefault="00D22CE3"/>
    <w:p w14:paraId="3C058B42" w14:textId="77777777" w:rsidR="00D22CE3" w:rsidRPr="00F10391" w:rsidRDefault="00D22CE3">
      <w:pPr>
        <w:pStyle w:val="Heading4"/>
      </w:pPr>
      <w:bookmarkStart w:id="125" w:name="_Toc441508927"/>
      <w:bookmarkStart w:id="126" w:name="_Toc453235365"/>
      <w:bookmarkStart w:id="127" w:name="_Toc453595438"/>
      <w:bookmarkStart w:id="128" w:name="_Toc476241535"/>
      <w:r w:rsidRPr="00F10391">
        <w:t>2.5.3.1</w:t>
      </w:r>
      <w:r w:rsidRPr="00F10391">
        <w:tab/>
      </w:r>
      <w:r w:rsidRPr="00F10391">
        <w:tab/>
        <w:t>Linear Additive approach</w:t>
      </w:r>
      <w:bookmarkEnd w:id="125"/>
      <w:bookmarkEnd w:id="126"/>
      <w:bookmarkEnd w:id="127"/>
      <w:bookmarkEnd w:id="128"/>
    </w:p>
    <w:p w14:paraId="3BBC2524" w14:textId="77777777" w:rsidR="00D22CE3" w:rsidRPr="00F10391" w:rsidRDefault="00D22CE3">
      <w:r w:rsidRPr="00F10391">
        <w:t>The most common of these methods is probably the Linear Additive Model</w:t>
      </w:r>
      <w:r w:rsidRPr="00F10391">
        <w:rPr>
          <w:iCs/>
        </w:rPr>
        <w:t xml:space="preserve"> (it is also referred to as Multi-Attribute Utility Theory (MAUT) or Multi-Attribute Value Theory (MAVT))</w:t>
      </w:r>
      <w:r w:rsidRPr="00F10391">
        <w:t xml:space="preserve">; it is also </w:t>
      </w:r>
      <w:r w:rsidRPr="00F10391">
        <w:lastRenderedPageBreak/>
        <w:t xml:space="preserve">one of the simplest. Each alternative is given a score on each criterion. Then the relative importance of each criterion is elicited from stakeholders. This is normally carried out using swing-weighting, which initially requires the identification of the most important criterion by thinking about the difference between the best and worst performance on each criterion </w:t>
      </w:r>
      <w:r w:rsidRPr="00F10391">
        <w:rPr>
          <w:iCs/>
        </w:rPr>
        <w:t>for the alternatives under consideration.</w:t>
      </w:r>
      <w:r w:rsidRPr="00F10391">
        <w:t xml:space="preserve"> Criteria that under normal circumstances would be considered critical </w:t>
      </w:r>
      <w:r w:rsidRPr="00F10391">
        <w:rPr>
          <w:i/>
        </w:rPr>
        <w:t xml:space="preserve">a priori </w:t>
      </w:r>
      <w:r w:rsidRPr="00F10391">
        <w:t xml:space="preserve">may not end up important in the context of the model if similar levels are present in each of the alternatives, and vice versa. </w:t>
      </w:r>
    </w:p>
    <w:p w14:paraId="3BE99877" w14:textId="77777777" w:rsidR="00D22CE3" w:rsidRPr="00F10391" w:rsidRDefault="00D22CE3">
      <w:r w:rsidRPr="00F10391">
        <w:t>These scores may initially come in natural units, rates, ordinal values or some other measurement. They are typically normalised (i.e. placed on a common scale such as 0 to 1 or 0 to 100) in order to make comparisons between criteria easier. There are a number of suitable ways for eliciting these from the stakeholders. Once the most important criterion is decided upon, stakeholders can assign relative weights to each of the remaining criteria; for example, the swing for X is 80% as important as that of Y. A weighted sum is calculated for each alternative, which then represents its ‘score’, where the highest score represents a suggested course of action.</w:t>
      </w:r>
    </w:p>
    <w:p w14:paraId="0B8AE487" w14:textId="77777777" w:rsidR="00D22CE3" w:rsidRPr="00F10391" w:rsidRDefault="00D22CE3">
      <w:r w:rsidRPr="00F10391">
        <w:t xml:space="preserve">If the findings are wholly counterintuitive to the point that stakeholders doubt the result, or if they realise that a key attribute has not been included, the process can be revisited if necessary iteratively. If on the other hand, two or more alternatives have similar scores, this can serve as a basis for further discussion amongst the stakeholders and sensitivity analyses can be performed to test what courses of action would be preferred under certain circumstances. Taken together, the process can tease out meaningful rankings and potentially identify and incorporate further relevant criteria and relationships. </w:t>
      </w:r>
    </w:p>
    <w:p w14:paraId="6A6DB39B" w14:textId="1A09F1C3" w:rsidR="00D22CE3" w:rsidRPr="00F10391" w:rsidRDefault="00D22CE3">
      <w:pPr>
        <w:pStyle w:val="Caption"/>
      </w:pPr>
      <w:bookmarkStart w:id="129" w:name="_Toc444180785"/>
      <w:bookmarkStart w:id="130" w:name="_Toc476241420"/>
      <w:r w:rsidRPr="00F10391">
        <w:t>Table 2.</w:t>
      </w:r>
      <w:r w:rsidR="000F1034">
        <w:fldChar w:fldCharType="begin"/>
      </w:r>
      <w:r w:rsidR="000F1034">
        <w:instrText xml:space="preserve"> SEQ Table \* ARABIC \s 1 </w:instrText>
      </w:r>
      <w:r w:rsidR="000F1034">
        <w:fldChar w:fldCharType="separate"/>
      </w:r>
      <w:r w:rsidR="00B37229">
        <w:rPr>
          <w:noProof/>
        </w:rPr>
        <w:t>2</w:t>
      </w:r>
      <w:r w:rsidR="000F1034">
        <w:rPr>
          <w:noProof/>
        </w:rPr>
        <w:fldChar w:fldCharType="end"/>
      </w:r>
      <w:r w:rsidRPr="00F10391">
        <w:t xml:space="preserve"> – Arnold's weights for each of the criteria using swing weighting, with ‘Avoiding false positives’ the most important</w:t>
      </w:r>
      <w:bookmarkEnd w:id="129"/>
      <w:bookmarkEnd w:id="130"/>
    </w:p>
    <w:tbl>
      <w:tblPr>
        <w:tblW w:w="0" w:type="auto"/>
        <w:tblBorders>
          <w:top w:val="single" w:sz="8" w:space="0" w:color="000000"/>
          <w:bottom w:val="single" w:sz="8" w:space="0" w:color="000000"/>
        </w:tblBorders>
        <w:tblLook w:val="04A0" w:firstRow="1" w:lastRow="0" w:firstColumn="1" w:lastColumn="0" w:noHBand="0" w:noVBand="1"/>
      </w:tblPr>
      <w:tblGrid>
        <w:gridCol w:w="2376"/>
        <w:gridCol w:w="1985"/>
        <w:gridCol w:w="1985"/>
      </w:tblGrid>
      <w:tr w:rsidR="00D22CE3" w:rsidRPr="00F10391" w14:paraId="114C35EE" w14:textId="77777777" w:rsidTr="00D22CE3">
        <w:trPr>
          <w:trHeight w:val="340"/>
        </w:trPr>
        <w:tc>
          <w:tcPr>
            <w:tcW w:w="2376" w:type="dxa"/>
            <w:tcBorders>
              <w:top w:val="single" w:sz="8" w:space="0" w:color="000000"/>
              <w:bottom w:val="single" w:sz="8" w:space="0" w:color="000000"/>
            </w:tcBorders>
            <w:shd w:val="clear" w:color="auto" w:fill="auto"/>
          </w:tcPr>
          <w:p w14:paraId="0D9033BA" w14:textId="77777777" w:rsidR="00D22CE3" w:rsidRPr="00F10391" w:rsidRDefault="00D22CE3" w:rsidP="0063065F">
            <w:pPr>
              <w:jc w:val="left"/>
            </w:pPr>
          </w:p>
        </w:tc>
        <w:tc>
          <w:tcPr>
            <w:tcW w:w="1985" w:type="dxa"/>
            <w:tcBorders>
              <w:top w:val="single" w:sz="8" w:space="0" w:color="000000"/>
              <w:bottom w:val="single" w:sz="8" w:space="0" w:color="000000"/>
            </w:tcBorders>
            <w:shd w:val="clear" w:color="auto" w:fill="auto"/>
          </w:tcPr>
          <w:p w14:paraId="701D280E" w14:textId="77777777" w:rsidR="00D22CE3" w:rsidRPr="00F10391" w:rsidRDefault="00D22CE3" w:rsidP="0063065F">
            <w:pPr>
              <w:jc w:val="left"/>
            </w:pPr>
            <w:r w:rsidRPr="00F10391">
              <w:t>Relative importance</w:t>
            </w:r>
          </w:p>
        </w:tc>
        <w:tc>
          <w:tcPr>
            <w:tcW w:w="1985" w:type="dxa"/>
            <w:tcBorders>
              <w:top w:val="single" w:sz="8" w:space="0" w:color="000000"/>
              <w:bottom w:val="single" w:sz="8" w:space="0" w:color="000000"/>
            </w:tcBorders>
            <w:shd w:val="clear" w:color="auto" w:fill="auto"/>
          </w:tcPr>
          <w:p w14:paraId="299697D9" w14:textId="77777777" w:rsidR="00D22CE3" w:rsidRPr="00F10391" w:rsidRDefault="00D22CE3" w:rsidP="0063065F">
            <w:pPr>
              <w:jc w:val="left"/>
            </w:pPr>
            <w:r w:rsidRPr="00F10391">
              <w:t>Normalised importance ratio</w:t>
            </w:r>
          </w:p>
        </w:tc>
      </w:tr>
      <w:tr w:rsidR="00D22CE3" w:rsidRPr="00F10391" w14:paraId="4AD987AB" w14:textId="77777777" w:rsidTr="00D22CE3">
        <w:trPr>
          <w:trHeight w:hRule="exact" w:val="284"/>
        </w:trPr>
        <w:tc>
          <w:tcPr>
            <w:tcW w:w="2376" w:type="dxa"/>
            <w:shd w:val="clear" w:color="auto" w:fill="C0C0C0"/>
          </w:tcPr>
          <w:p w14:paraId="33BD93A0" w14:textId="77777777" w:rsidR="00D22CE3" w:rsidRPr="00F10391" w:rsidRDefault="00D22CE3" w:rsidP="0063065F">
            <w:pPr>
              <w:jc w:val="left"/>
            </w:pPr>
            <w:r w:rsidRPr="00F10391">
              <w:t>Avoid Cancer</w:t>
            </w:r>
          </w:p>
        </w:tc>
        <w:tc>
          <w:tcPr>
            <w:tcW w:w="1985" w:type="dxa"/>
            <w:tcBorders>
              <w:left w:val="nil"/>
              <w:right w:val="nil"/>
            </w:tcBorders>
            <w:shd w:val="clear" w:color="auto" w:fill="C0C0C0"/>
          </w:tcPr>
          <w:p w14:paraId="0AD52264" w14:textId="77777777" w:rsidR="00D22CE3" w:rsidRPr="00F10391" w:rsidRDefault="00D22CE3" w:rsidP="0063065F">
            <w:pPr>
              <w:jc w:val="left"/>
            </w:pPr>
            <w:r w:rsidRPr="00F10391">
              <w:t>0.5</w:t>
            </w:r>
          </w:p>
        </w:tc>
        <w:tc>
          <w:tcPr>
            <w:tcW w:w="1985" w:type="dxa"/>
            <w:shd w:val="clear" w:color="auto" w:fill="C0C0C0"/>
          </w:tcPr>
          <w:p w14:paraId="2D9511D3" w14:textId="77777777" w:rsidR="00D22CE3" w:rsidRPr="00F10391" w:rsidRDefault="00D22CE3" w:rsidP="0063065F">
            <w:pPr>
              <w:jc w:val="left"/>
            </w:pPr>
            <w:r w:rsidRPr="00F10391">
              <w:t>0.17</w:t>
            </w:r>
          </w:p>
        </w:tc>
      </w:tr>
      <w:tr w:rsidR="00D22CE3" w:rsidRPr="00F10391" w14:paraId="3E4B47B5" w14:textId="77777777" w:rsidTr="00D22CE3">
        <w:trPr>
          <w:trHeight w:hRule="exact" w:val="284"/>
        </w:trPr>
        <w:tc>
          <w:tcPr>
            <w:tcW w:w="2376" w:type="dxa"/>
            <w:shd w:val="clear" w:color="auto" w:fill="auto"/>
          </w:tcPr>
          <w:p w14:paraId="163697EB" w14:textId="77777777" w:rsidR="00D22CE3" w:rsidRPr="00F10391" w:rsidRDefault="00D22CE3" w:rsidP="0063065F">
            <w:pPr>
              <w:jc w:val="left"/>
            </w:pPr>
            <w:r w:rsidRPr="00F10391">
              <w:t>Avoid side effects</w:t>
            </w:r>
          </w:p>
        </w:tc>
        <w:tc>
          <w:tcPr>
            <w:tcW w:w="1985" w:type="dxa"/>
            <w:shd w:val="clear" w:color="auto" w:fill="auto"/>
          </w:tcPr>
          <w:p w14:paraId="476EE252" w14:textId="77777777" w:rsidR="00D22CE3" w:rsidRPr="00F10391" w:rsidRDefault="00D22CE3" w:rsidP="0063065F">
            <w:pPr>
              <w:jc w:val="left"/>
            </w:pPr>
            <w:r w:rsidRPr="00F10391">
              <w:t>0.8</w:t>
            </w:r>
          </w:p>
        </w:tc>
        <w:tc>
          <w:tcPr>
            <w:tcW w:w="1985" w:type="dxa"/>
            <w:shd w:val="clear" w:color="auto" w:fill="auto"/>
          </w:tcPr>
          <w:p w14:paraId="03ED365D" w14:textId="77777777" w:rsidR="00D22CE3" w:rsidRPr="00F10391" w:rsidRDefault="00D22CE3" w:rsidP="0063065F">
            <w:pPr>
              <w:jc w:val="left"/>
            </w:pPr>
            <w:r w:rsidRPr="00F10391">
              <w:t>0.28</w:t>
            </w:r>
          </w:p>
        </w:tc>
      </w:tr>
      <w:tr w:rsidR="00D22CE3" w:rsidRPr="00F10391" w14:paraId="0EEEE522" w14:textId="77777777" w:rsidTr="00D22CE3">
        <w:trPr>
          <w:trHeight w:hRule="exact" w:val="284"/>
        </w:trPr>
        <w:tc>
          <w:tcPr>
            <w:tcW w:w="2376" w:type="dxa"/>
            <w:shd w:val="clear" w:color="auto" w:fill="C0C0C0"/>
          </w:tcPr>
          <w:p w14:paraId="690AADE3" w14:textId="77777777" w:rsidR="00D22CE3" w:rsidRPr="00F10391" w:rsidRDefault="00D22CE3" w:rsidP="0063065F">
            <w:pPr>
              <w:jc w:val="left"/>
            </w:pPr>
            <w:r w:rsidRPr="00F10391">
              <w:t>Avoid false positives</w:t>
            </w:r>
          </w:p>
        </w:tc>
        <w:tc>
          <w:tcPr>
            <w:tcW w:w="1985" w:type="dxa"/>
            <w:tcBorders>
              <w:left w:val="nil"/>
              <w:right w:val="nil"/>
            </w:tcBorders>
            <w:shd w:val="clear" w:color="auto" w:fill="C0C0C0"/>
          </w:tcPr>
          <w:p w14:paraId="59BDD413" w14:textId="77777777" w:rsidR="00D22CE3" w:rsidRPr="00F10391" w:rsidRDefault="00D22CE3" w:rsidP="0063065F">
            <w:pPr>
              <w:jc w:val="left"/>
            </w:pPr>
            <w:r w:rsidRPr="00F10391">
              <w:t>1</w:t>
            </w:r>
          </w:p>
        </w:tc>
        <w:tc>
          <w:tcPr>
            <w:tcW w:w="1985" w:type="dxa"/>
            <w:shd w:val="clear" w:color="auto" w:fill="C0C0C0"/>
          </w:tcPr>
          <w:p w14:paraId="627DCB58" w14:textId="77777777" w:rsidR="00D22CE3" w:rsidRPr="00F10391" w:rsidRDefault="00D22CE3" w:rsidP="0063065F">
            <w:pPr>
              <w:jc w:val="left"/>
            </w:pPr>
            <w:r w:rsidRPr="00F10391">
              <w:t>0.34</w:t>
            </w:r>
          </w:p>
        </w:tc>
      </w:tr>
      <w:tr w:rsidR="00D22CE3" w:rsidRPr="00F10391" w14:paraId="16F26A0C" w14:textId="77777777" w:rsidTr="00D22CE3">
        <w:trPr>
          <w:trHeight w:hRule="exact" w:val="284"/>
        </w:trPr>
        <w:tc>
          <w:tcPr>
            <w:tcW w:w="2376" w:type="dxa"/>
            <w:shd w:val="clear" w:color="auto" w:fill="auto"/>
          </w:tcPr>
          <w:p w14:paraId="7DD90DFC" w14:textId="77777777" w:rsidR="00D22CE3" w:rsidRPr="00F10391" w:rsidRDefault="00D22CE3" w:rsidP="0063065F">
            <w:pPr>
              <w:jc w:val="left"/>
            </w:pPr>
            <w:r w:rsidRPr="00F10391">
              <w:t>Frequency</w:t>
            </w:r>
          </w:p>
        </w:tc>
        <w:tc>
          <w:tcPr>
            <w:tcW w:w="1985" w:type="dxa"/>
            <w:shd w:val="clear" w:color="auto" w:fill="auto"/>
          </w:tcPr>
          <w:p w14:paraId="0AFA6513" w14:textId="77777777" w:rsidR="00D22CE3" w:rsidRPr="00F10391" w:rsidRDefault="00D22CE3" w:rsidP="0063065F">
            <w:pPr>
              <w:jc w:val="left"/>
            </w:pPr>
            <w:r w:rsidRPr="00F10391">
              <w:t>0.3</w:t>
            </w:r>
          </w:p>
        </w:tc>
        <w:tc>
          <w:tcPr>
            <w:tcW w:w="1985" w:type="dxa"/>
            <w:shd w:val="clear" w:color="auto" w:fill="auto"/>
          </w:tcPr>
          <w:p w14:paraId="43044C5D" w14:textId="77777777" w:rsidR="00D22CE3" w:rsidRPr="00F10391" w:rsidRDefault="00D22CE3" w:rsidP="0063065F">
            <w:pPr>
              <w:jc w:val="left"/>
            </w:pPr>
            <w:r w:rsidRPr="00F10391">
              <w:t>0.1</w:t>
            </w:r>
          </w:p>
        </w:tc>
      </w:tr>
      <w:tr w:rsidR="00D22CE3" w:rsidRPr="00F10391" w14:paraId="6E2E4917" w14:textId="77777777" w:rsidTr="00D22CE3">
        <w:trPr>
          <w:trHeight w:hRule="exact" w:val="284"/>
        </w:trPr>
        <w:tc>
          <w:tcPr>
            <w:tcW w:w="2376" w:type="dxa"/>
            <w:shd w:val="clear" w:color="auto" w:fill="C0C0C0"/>
          </w:tcPr>
          <w:p w14:paraId="6CDB152A" w14:textId="77777777" w:rsidR="00D22CE3" w:rsidRPr="00F10391" w:rsidRDefault="00D22CE3" w:rsidP="0063065F">
            <w:pPr>
              <w:jc w:val="left"/>
            </w:pPr>
            <w:r w:rsidRPr="00F10391">
              <w:t>Test preparation</w:t>
            </w:r>
          </w:p>
        </w:tc>
        <w:tc>
          <w:tcPr>
            <w:tcW w:w="1985" w:type="dxa"/>
            <w:tcBorders>
              <w:left w:val="nil"/>
              <w:right w:val="nil"/>
            </w:tcBorders>
            <w:shd w:val="clear" w:color="auto" w:fill="C0C0C0"/>
          </w:tcPr>
          <w:p w14:paraId="2BC7DF0D" w14:textId="77777777" w:rsidR="00D22CE3" w:rsidRPr="00F10391" w:rsidRDefault="00D22CE3" w:rsidP="0063065F">
            <w:pPr>
              <w:jc w:val="left"/>
            </w:pPr>
            <w:r w:rsidRPr="00F10391">
              <w:t>0.1</w:t>
            </w:r>
          </w:p>
        </w:tc>
        <w:tc>
          <w:tcPr>
            <w:tcW w:w="1985" w:type="dxa"/>
            <w:shd w:val="clear" w:color="auto" w:fill="C0C0C0"/>
          </w:tcPr>
          <w:p w14:paraId="2DC4B3B1" w14:textId="77777777" w:rsidR="00D22CE3" w:rsidRPr="00F10391" w:rsidRDefault="00D22CE3" w:rsidP="0063065F">
            <w:pPr>
              <w:jc w:val="left"/>
            </w:pPr>
            <w:r w:rsidRPr="00F10391">
              <w:t>0.03</w:t>
            </w:r>
          </w:p>
        </w:tc>
      </w:tr>
      <w:tr w:rsidR="00D22CE3" w:rsidRPr="00F10391" w14:paraId="228B1983" w14:textId="77777777" w:rsidTr="00D22CE3">
        <w:trPr>
          <w:trHeight w:hRule="exact" w:val="284"/>
        </w:trPr>
        <w:tc>
          <w:tcPr>
            <w:tcW w:w="2376" w:type="dxa"/>
            <w:tcBorders>
              <w:bottom w:val="single" w:sz="4" w:space="0" w:color="auto"/>
            </w:tcBorders>
            <w:shd w:val="clear" w:color="auto" w:fill="auto"/>
          </w:tcPr>
          <w:p w14:paraId="00B6F59D" w14:textId="77777777" w:rsidR="00D22CE3" w:rsidRPr="00F10391" w:rsidRDefault="00D22CE3" w:rsidP="0063065F">
            <w:pPr>
              <w:jc w:val="left"/>
            </w:pPr>
            <w:r w:rsidRPr="00F10391">
              <w:t>Procedure</w:t>
            </w:r>
          </w:p>
        </w:tc>
        <w:tc>
          <w:tcPr>
            <w:tcW w:w="1985" w:type="dxa"/>
            <w:tcBorders>
              <w:bottom w:val="single" w:sz="4" w:space="0" w:color="auto"/>
            </w:tcBorders>
            <w:shd w:val="clear" w:color="auto" w:fill="auto"/>
          </w:tcPr>
          <w:p w14:paraId="05F93E10" w14:textId="77777777" w:rsidR="00D22CE3" w:rsidRPr="00F10391" w:rsidRDefault="00D22CE3" w:rsidP="0063065F">
            <w:pPr>
              <w:jc w:val="left"/>
            </w:pPr>
            <w:r w:rsidRPr="00F10391">
              <w:t>0.2</w:t>
            </w:r>
          </w:p>
        </w:tc>
        <w:tc>
          <w:tcPr>
            <w:tcW w:w="1985" w:type="dxa"/>
            <w:tcBorders>
              <w:bottom w:val="single" w:sz="4" w:space="0" w:color="auto"/>
            </w:tcBorders>
            <w:shd w:val="clear" w:color="auto" w:fill="auto"/>
          </w:tcPr>
          <w:p w14:paraId="45CE9DDE" w14:textId="77777777" w:rsidR="00D22CE3" w:rsidRPr="00F10391" w:rsidRDefault="00D22CE3" w:rsidP="0063065F">
            <w:pPr>
              <w:jc w:val="left"/>
            </w:pPr>
            <w:r w:rsidRPr="00F10391">
              <w:t>0.07</w:t>
            </w:r>
          </w:p>
        </w:tc>
      </w:tr>
      <w:tr w:rsidR="00D22CE3" w:rsidRPr="00F10391" w14:paraId="3B63BC09" w14:textId="77777777" w:rsidTr="00D22CE3">
        <w:trPr>
          <w:trHeight w:val="340"/>
        </w:trPr>
        <w:tc>
          <w:tcPr>
            <w:tcW w:w="2376" w:type="dxa"/>
            <w:tcBorders>
              <w:top w:val="single" w:sz="4" w:space="0" w:color="auto"/>
            </w:tcBorders>
            <w:shd w:val="clear" w:color="auto" w:fill="C0C0C0"/>
          </w:tcPr>
          <w:p w14:paraId="4D5E723B" w14:textId="77777777" w:rsidR="00D22CE3" w:rsidRPr="00F10391" w:rsidRDefault="00D22CE3" w:rsidP="0063065F">
            <w:pPr>
              <w:jc w:val="left"/>
            </w:pPr>
            <w:r w:rsidRPr="00F10391">
              <w:t>Total</w:t>
            </w:r>
          </w:p>
        </w:tc>
        <w:tc>
          <w:tcPr>
            <w:tcW w:w="1985" w:type="dxa"/>
            <w:tcBorders>
              <w:top w:val="single" w:sz="4" w:space="0" w:color="auto"/>
              <w:left w:val="nil"/>
              <w:right w:val="nil"/>
            </w:tcBorders>
            <w:shd w:val="clear" w:color="auto" w:fill="C0C0C0"/>
          </w:tcPr>
          <w:p w14:paraId="3B5131C0" w14:textId="77777777" w:rsidR="00D22CE3" w:rsidRPr="00F10391" w:rsidRDefault="00D22CE3" w:rsidP="0063065F">
            <w:pPr>
              <w:jc w:val="left"/>
            </w:pPr>
            <w:r w:rsidRPr="00F10391">
              <w:t>2.9</w:t>
            </w:r>
          </w:p>
        </w:tc>
        <w:tc>
          <w:tcPr>
            <w:tcW w:w="1985" w:type="dxa"/>
            <w:tcBorders>
              <w:top w:val="single" w:sz="4" w:space="0" w:color="auto"/>
            </w:tcBorders>
            <w:shd w:val="clear" w:color="auto" w:fill="C0C0C0"/>
          </w:tcPr>
          <w:p w14:paraId="34EE774E" w14:textId="77777777" w:rsidR="00D22CE3" w:rsidRPr="00F10391" w:rsidRDefault="00D22CE3" w:rsidP="0063065F">
            <w:pPr>
              <w:jc w:val="left"/>
            </w:pPr>
            <w:r w:rsidRPr="00F10391">
              <w:t>1</w:t>
            </w:r>
          </w:p>
        </w:tc>
      </w:tr>
    </w:tbl>
    <w:p w14:paraId="7C3170CB" w14:textId="77777777" w:rsidR="00D22CE3" w:rsidRPr="00F10391" w:rsidRDefault="00D22CE3" w:rsidP="00494A9A"/>
    <w:p w14:paraId="0FC11F8C" w14:textId="77777777" w:rsidR="00D22CE3" w:rsidRPr="00F10391" w:rsidRDefault="00D22CE3" w:rsidP="00494A9A">
      <w:pPr>
        <w:rPr>
          <w:i/>
          <w:iCs/>
          <w:u w:val="single"/>
        </w:rPr>
      </w:pPr>
      <w:r w:rsidRPr="00F10391">
        <w:t xml:space="preserve">Using the colorectal screening decision problem, for example, a patient (let’s call him Arnold) may initially feel that preventing cancer seems the most important consideration. However, if the chances of developing cancer are very similar regardless of the intervention chosen, then avoiding the worry associated with a false positive diagnosis of cancer from the various screening tests may become the most important criterion for him. This criterion is given an importance of 1.0. Arnold decides that the difference in rates of cancer avoidance is about half as important as the differences between the false positive rates. Thus the cancer avoidance criterion is given an importance weight of 0.5 relative to the avoiding false positives criterion. </w:t>
      </w:r>
      <w:r w:rsidRPr="00F10391">
        <w:lastRenderedPageBreak/>
        <w:t>This is carried out for each criterion, and weights are then normalised so that they add to 1 for ease of interpretation. Table 2.2 shows the final weightings.</w:t>
      </w:r>
    </w:p>
    <w:p w14:paraId="7EE404D0" w14:textId="77777777" w:rsidR="00D22CE3" w:rsidRPr="00F10391" w:rsidRDefault="00D22CE3" w:rsidP="00494A9A">
      <w:r w:rsidRPr="00F10391">
        <w:t xml:space="preserve">Each of the weights is multiplied by each alternative’s score for each criterion, which are summed to give its total score. The highest total score represents a suggested course of action. Table 2.3 shows Arnold’s scores for each alternative programme and criterion. The best alternative according to Arnold’s expressed preferences is </w:t>
      </w:r>
      <w:r w:rsidRPr="00F10391">
        <w:rPr>
          <w:i/>
          <w:iCs/>
        </w:rPr>
        <w:t xml:space="preserve">no screening, </w:t>
      </w:r>
      <w:r w:rsidRPr="00F10391">
        <w:rPr>
          <w:iCs/>
        </w:rPr>
        <w:t>with a total score of 0.84</w:t>
      </w:r>
      <w:r w:rsidRPr="00F10391">
        <w:t xml:space="preserve">. However, MCDA approaches are not intended to give the ‘correct answer’ per se; if Arnold is uncomfortable without a screening programme he can still see that annual </w:t>
      </w:r>
      <w:r w:rsidRPr="00F10391">
        <w:rPr>
          <w:rFonts w:eastAsia="Times New Roman"/>
          <w:color w:val="000000"/>
        </w:rPr>
        <w:t>faecal occult blood tests also reflect his preferences relatively well. Further analysis or reappraisal can be carried out if he is still not sufficiently comfortable with the findings.</w:t>
      </w:r>
      <w:r w:rsidRPr="00F10391">
        <w:t xml:space="preserve"> </w:t>
      </w:r>
    </w:p>
    <w:p w14:paraId="0C99A04B" w14:textId="77777777" w:rsidR="00D22CE3" w:rsidRPr="00F10391" w:rsidRDefault="00D22CE3" w:rsidP="00490B5D">
      <w:r w:rsidRPr="00F10391">
        <w:t>Sensitivity analyses can be used to indicate the relative importance of each criterion upon the result, which can subsequently be represented visually using techniques such as tornado diagrams. The findings, whether built based on the preferences of one patient’s preferences or the consensus of multiple stakeholders, can offer important insights helping to ensure that these preferences are reflected.</w:t>
      </w:r>
    </w:p>
    <w:p w14:paraId="7CA7131E" w14:textId="5D561E13" w:rsidR="00D22CE3" w:rsidRPr="00F10391" w:rsidRDefault="00D22CE3" w:rsidP="00490B5D">
      <w:pPr>
        <w:pStyle w:val="Caption"/>
      </w:pPr>
      <w:bookmarkStart w:id="131" w:name="_Toc444180786"/>
      <w:bookmarkStart w:id="132" w:name="_Toc476241421"/>
      <w:r w:rsidRPr="00F10391">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3</w:t>
      </w:r>
      <w:r w:rsidR="000F1034">
        <w:rPr>
          <w:noProof/>
        </w:rPr>
        <w:fldChar w:fldCharType="end"/>
      </w:r>
      <w:r w:rsidRPr="00F10391">
        <w:t xml:space="preserve"> – Combined weights and scores for Arnold, using the linear additive method</w:t>
      </w:r>
      <w:bookmarkEnd w:id="131"/>
      <w:bookmarkEnd w:id="132"/>
    </w:p>
    <w:tbl>
      <w:tblPr>
        <w:tblW w:w="9367" w:type="dxa"/>
        <w:tblBorders>
          <w:top w:val="single" w:sz="8" w:space="0" w:color="000000"/>
          <w:bottom w:val="single" w:sz="8" w:space="0" w:color="000000"/>
        </w:tblBorders>
        <w:tblLayout w:type="fixed"/>
        <w:tblLook w:val="04A0" w:firstRow="1" w:lastRow="0" w:firstColumn="1" w:lastColumn="0" w:noHBand="0" w:noVBand="1"/>
      </w:tblPr>
      <w:tblGrid>
        <w:gridCol w:w="1833"/>
        <w:gridCol w:w="1078"/>
        <w:gridCol w:w="1077"/>
        <w:gridCol w:w="1076"/>
        <w:gridCol w:w="1076"/>
        <w:gridCol w:w="1090"/>
        <w:gridCol w:w="1275"/>
        <w:gridCol w:w="862"/>
      </w:tblGrid>
      <w:tr w:rsidR="00D22CE3" w:rsidRPr="00F10391" w14:paraId="53B7C5E1" w14:textId="77777777" w:rsidTr="0063065F">
        <w:trPr>
          <w:trHeight w:val="794"/>
        </w:trPr>
        <w:tc>
          <w:tcPr>
            <w:tcW w:w="1833" w:type="dxa"/>
            <w:tcBorders>
              <w:top w:val="single" w:sz="8" w:space="0" w:color="000000"/>
              <w:bottom w:val="single" w:sz="8" w:space="0" w:color="000000"/>
            </w:tcBorders>
            <w:shd w:val="clear" w:color="auto" w:fill="auto"/>
            <w:noWrap/>
            <w:hideMark/>
          </w:tcPr>
          <w:p w14:paraId="309556BE" w14:textId="77777777" w:rsidR="00D22CE3" w:rsidRPr="00F10391" w:rsidRDefault="00D22CE3">
            <w:pPr>
              <w:jc w:val="left"/>
            </w:pPr>
            <w:r w:rsidRPr="00F10391">
              <w:t> </w:t>
            </w:r>
          </w:p>
        </w:tc>
        <w:tc>
          <w:tcPr>
            <w:tcW w:w="1078" w:type="dxa"/>
            <w:tcBorders>
              <w:top w:val="single" w:sz="8" w:space="0" w:color="000000"/>
              <w:bottom w:val="single" w:sz="8" w:space="0" w:color="000000"/>
            </w:tcBorders>
            <w:shd w:val="clear" w:color="auto" w:fill="auto"/>
            <w:hideMark/>
          </w:tcPr>
          <w:p w14:paraId="6C2D7FC7" w14:textId="77777777" w:rsidR="00D22CE3" w:rsidRPr="00F10391" w:rsidRDefault="00D22CE3" w:rsidP="0063065F">
            <w:pPr>
              <w:jc w:val="left"/>
            </w:pPr>
            <w:r w:rsidRPr="00F10391">
              <w:t>Avoid Cancer</w:t>
            </w:r>
          </w:p>
        </w:tc>
        <w:tc>
          <w:tcPr>
            <w:tcW w:w="1077" w:type="dxa"/>
            <w:tcBorders>
              <w:top w:val="single" w:sz="8" w:space="0" w:color="000000"/>
              <w:bottom w:val="single" w:sz="8" w:space="0" w:color="000000"/>
            </w:tcBorders>
            <w:shd w:val="clear" w:color="auto" w:fill="auto"/>
            <w:hideMark/>
          </w:tcPr>
          <w:p w14:paraId="288BDD72" w14:textId="77777777" w:rsidR="00D22CE3" w:rsidRPr="00F10391" w:rsidRDefault="00D22CE3" w:rsidP="0063065F">
            <w:pPr>
              <w:jc w:val="left"/>
            </w:pPr>
            <w:r w:rsidRPr="00F10391">
              <w:t>Avoid side effects</w:t>
            </w:r>
          </w:p>
        </w:tc>
        <w:tc>
          <w:tcPr>
            <w:tcW w:w="1076" w:type="dxa"/>
            <w:tcBorders>
              <w:top w:val="single" w:sz="8" w:space="0" w:color="000000"/>
              <w:bottom w:val="single" w:sz="8" w:space="0" w:color="000000"/>
            </w:tcBorders>
            <w:shd w:val="clear" w:color="auto" w:fill="auto"/>
            <w:hideMark/>
          </w:tcPr>
          <w:p w14:paraId="18BB247A" w14:textId="77777777" w:rsidR="00D22CE3" w:rsidRPr="00F10391" w:rsidRDefault="00D22CE3" w:rsidP="0063065F">
            <w:pPr>
              <w:jc w:val="left"/>
            </w:pPr>
            <w:r w:rsidRPr="00F10391">
              <w:t>Avoid false positives</w:t>
            </w:r>
          </w:p>
        </w:tc>
        <w:tc>
          <w:tcPr>
            <w:tcW w:w="1076" w:type="dxa"/>
            <w:tcBorders>
              <w:top w:val="single" w:sz="8" w:space="0" w:color="000000"/>
              <w:bottom w:val="single" w:sz="8" w:space="0" w:color="000000"/>
            </w:tcBorders>
            <w:shd w:val="clear" w:color="auto" w:fill="auto"/>
            <w:hideMark/>
          </w:tcPr>
          <w:p w14:paraId="5E73096D" w14:textId="022973DF" w:rsidR="00D22CE3" w:rsidRPr="00F10391" w:rsidRDefault="00D22CE3" w:rsidP="0063065F">
            <w:pPr>
              <w:jc w:val="left"/>
            </w:pPr>
            <w:r w:rsidRPr="00F10391">
              <w:t>Fre</w:t>
            </w:r>
            <w:r w:rsidR="00582388">
              <w:t>q.</w:t>
            </w:r>
          </w:p>
        </w:tc>
        <w:tc>
          <w:tcPr>
            <w:tcW w:w="1090" w:type="dxa"/>
            <w:tcBorders>
              <w:top w:val="single" w:sz="8" w:space="0" w:color="000000"/>
              <w:bottom w:val="single" w:sz="8" w:space="0" w:color="000000"/>
            </w:tcBorders>
            <w:shd w:val="clear" w:color="auto" w:fill="auto"/>
            <w:hideMark/>
          </w:tcPr>
          <w:p w14:paraId="7E3D81C5" w14:textId="0B4EE352" w:rsidR="00D22CE3" w:rsidRPr="00F10391" w:rsidRDefault="00D22CE3" w:rsidP="0063065F">
            <w:pPr>
              <w:jc w:val="left"/>
            </w:pPr>
            <w:r w:rsidRPr="00F10391">
              <w:t>Test prep</w:t>
            </w:r>
            <w:r w:rsidR="00582388">
              <w:t>.</w:t>
            </w:r>
          </w:p>
        </w:tc>
        <w:tc>
          <w:tcPr>
            <w:tcW w:w="1275" w:type="dxa"/>
            <w:tcBorders>
              <w:top w:val="single" w:sz="8" w:space="0" w:color="000000"/>
              <w:bottom w:val="single" w:sz="8" w:space="0" w:color="000000"/>
            </w:tcBorders>
            <w:shd w:val="clear" w:color="auto" w:fill="auto"/>
            <w:hideMark/>
          </w:tcPr>
          <w:p w14:paraId="18A86758" w14:textId="6C736D54" w:rsidR="00D22CE3" w:rsidRPr="00F10391" w:rsidRDefault="00D22CE3" w:rsidP="0063065F">
            <w:pPr>
              <w:jc w:val="left"/>
            </w:pPr>
            <w:r w:rsidRPr="00F10391">
              <w:t>Proc</w:t>
            </w:r>
            <w:r w:rsidR="00582388">
              <w:t>edure.</w:t>
            </w:r>
          </w:p>
        </w:tc>
        <w:tc>
          <w:tcPr>
            <w:tcW w:w="862" w:type="dxa"/>
            <w:tcBorders>
              <w:top w:val="single" w:sz="8" w:space="0" w:color="000000"/>
              <w:bottom w:val="single" w:sz="8" w:space="0" w:color="000000"/>
            </w:tcBorders>
            <w:shd w:val="clear" w:color="auto" w:fill="auto"/>
            <w:noWrap/>
            <w:hideMark/>
          </w:tcPr>
          <w:p w14:paraId="0F91495A" w14:textId="77777777" w:rsidR="00D22CE3" w:rsidRPr="00F10391" w:rsidRDefault="00D22CE3" w:rsidP="0063065F">
            <w:pPr>
              <w:jc w:val="left"/>
            </w:pPr>
            <w:r w:rsidRPr="00F10391">
              <w:t>Total Score</w:t>
            </w:r>
          </w:p>
        </w:tc>
      </w:tr>
      <w:tr w:rsidR="00D22CE3" w:rsidRPr="00F10391" w14:paraId="54BF2041" w14:textId="77777777" w:rsidTr="0063065F">
        <w:trPr>
          <w:trHeight w:val="505"/>
        </w:trPr>
        <w:tc>
          <w:tcPr>
            <w:tcW w:w="1833" w:type="dxa"/>
            <w:shd w:val="clear" w:color="auto" w:fill="C0C0C0"/>
            <w:noWrap/>
            <w:hideMark/>
          </w:tcPr>
          <w:p w14:paraId="4C2F2DD1" w14:textId="77777777" w:rsidR="00D22CE3" w:rsidRPr="00F10391" w:rsidRDefault="00D22CE3">
            <w:pPr>
              <w:jc w:val="left"/>
            </w:pPr>
            <w:r w:rsidRPr="00F10391">
              <w:t>Weight</w:t>
            </w:r>
          </w:p>
        </w:tc>
        <w:tc>
          <w:tcPr>
            <w:tcW w:w="1078" w:type="dxa"/>
            <w:tcBorders>
              <w:left w:val="nil"/>
              <w:right w:val="nil"/>
            </w:tcBorders>
            <w:shd w:val="clear" w:color="auto" w:fill="C0C0C0"/>
            <w:noWrap/>
            <w:hideMark/>
          </w:tcPr>
          <w:p w14:paraId="48FD860A" w14:textId="77777777" w:rsidR="00D22CE3" w:rsidRPr="00F10391" w:rsidRDefault="00D22CE3" w:rsidP="0063065F">
            <w:pPr>
              <w:jc w:val="left"/>
            </w:pPr>
            <w:r w:rsidRPr="00F10391">
              <w:t>0.17</w:t>
            </w:r>
          </w:p>
        </w:tc>
        <w:tc>
          <w:tcPr>
            <w:tcW w:w="1077" w:type="dxa"/>
            <w:shd w:val="clear" w:color="auto" w:fill="C0C0C0"/>
            <w:noWrap/>
            <w:hideMark/>
          </w:tcPr>
          <w:p w14:paraId="410C02AD" w14:textId="77777777" w:rsidR="00D22CE3" w:rsidRPr="00F10391" w:rsidRDefault="00D22CE3" w:rsidP="0063065F">
            <w:pPr>
              <w:jc w:val="left"/>
            </w:pPr>
            <w:r w:rsidRPr="00F10391">
              <w:t>0.28</w:t>
            </w:r>
          </w:p>
        </w:tc>
        <w:tc>
          <w:tcPr>
            <w:tcW w:w="1076" w:type="dxa"/>
            <w:tcBorders>
              <w:left w:val="nil"/>
              <w:right w:val="nil"/>
            </w:tcBorders>
            <w:shd w:val="clear" w:color="auto" w:fill="C0C0C0"/>
            <w:noWrap/>
            <w:hideMark/>
          </w:tcPr>
          <w:p w14:paraId="04CF86E9" w14:textId="77777777" w:rsidR="00D22CE3" w:rsidRPr="00F10391" w:rsidRDefault="00D22CE3" w:rsidP="0063065F">
            <w:pPr>
              <w:jc w:val="left"/>
            </w:pPr>
            <w:r w:rsidRPr="00F10391">
              <w:t>0.34</w:t>
            </w:r>
          </w:p>
        </w:tc>
        <w:tc>
          <w:tcPr>
            <w:tcW w:w="1076" w:type="dxa"/>
            <w:shd w:val="clear" w:color="auto" w:fill="C0C0C0"/>
            <w:noWrap/>
            <w:hideMark/>
          </w:tcPr>
          <w:p w14:paraId="287746E1" w14:textId="77777777" w:rsidR="00D22CE3" w:rsidRPr="00F10391" w:rsidRDefault="00D22CE3" w:rsidP="0063065F">
            <w:pPr>
              <w:jc w:val="left"/>
            </w:pPr>
            <w:r w:rsidRPr="00F10391">
              <w:t>0.1</w:t>
            </w:r>
          </w:p>
        </w:tc>
        <w:tc>
          <w:tcPr>
            <w:tcW w:w="1090" w:type="dxa"/>
            <w:tcBorders>
              <w:left w:val="nil"/>
              <w:right w:val="nil"/>
            </w:tcBorders>
            <w:shd w:val="clear" w:color="auto" w:fill="C0C0C0"/>
            <w:noWrap/>
            <w:hideMark/>
          </w:tcPr>
          <w:p w14:paraId="02E6DBFE" w14:textId="77777777" w:rsidR="00D22CE3" w:rsidRPr="00F10391" w:rsidRDefault="00D22CE3" w:rsidP="0063065F">
            <w:pPr>
              <w:jc w:val="left"/>
            </w:pPr>
            <w:r w:rsidRPr="00F10391">
              <w:t>0.03</w:t>
            </w:r>
          </w:p>
        </w:tc>
        <w:tc>
          <w:tcPr>
            <w:tcW w:w="1275" w:type="dxa"/>
            <w:shd w:val="clear" w:color="auto" w:fill="C0C0C0"/>
            <w:noWrap/>
            <w:hideMark/>
          </w:tcPr>
          <w:p w14:paraId="6D923FDD" w14:textId="77777777" w:rsidR="00D22CE3" w:rsidRPr="00F10391" w:rsidRDefault="00D22CE3" w:rsidP="0063065F">
            <w:pPr>
              <w:jc w:val="left"/>
            </w:pPr>
            <w:r w:rsidRPr="00F10391">
              <w:t>0.07</w:t>
            </w:r>
          </w:p>
        </w:tc>
        <w:tc>
          <w:tcPr>
            <w:tcW w:w="862" w:type="dxa"/>
            <w:tcBorders>
              <w:left w:val="nil"/>
              <w:right w:val="nil"/>
            </w:tcBorders>
            <w:shd w:val="clear" w:color="auto" w:fill="C0C0C0"/>
            <w:noWrap/>
            <w:hideMark/>
          </w:tcPr>
          <w:p w14:paraId="1EA90204" w14:textId="77777777" w:rsidR="00D22CE3" w:rsidRPr="00F10391" w:rsidRDefault="00D22CE3" w:rsidP="0063065F">
            <w:pPr>
              <w:jc w:val="left"/>
            </w:pPr>
            <w:r w:rsidRPr="00F10391">
              <w:t> </w:t>
            </w:r>
          </w:p>
        </w:tc>
      </w:tr>
      <w:tr w:rsidR="00D22CE3" w:rsidRPr="00F10391" w14:paraId="5713B6D0" w14:textId="77777777" w:rsidTr="0063065F">
        <w:trPr>
          <w:trHeight w:val="481"/>
        </w:trPr>
        <w:tc>
          <w:tcPr>
            <w:tcW w:w="1833" w:type="dxa"/>
            <w:shd w:val="clear" w:color="auto" w:fill="auto"/>
            <w:hideMark/>
          </w:tcPr>
          <w:p w14:paraId="43453E6C" w14:textId="77777777" w:rsidR="00D22CE3" w:rsidRPr="00F10391" w:rsidRDefault="00D22CE3">
            <w:pPr>
              <w:jc w:val="left"/>
            </w:pPr>
            <w:r w:rsidRPr="00F10391">
              <w:t>No screening</w:t>
            </w:r>
          </w:p>
        </w:tc>
        <w:tc>
          <w:tcPr>
            <w:tcW w:w="1078" w:type="dxa"/>
            <w:shd w:val="clear" w:color="auto" w:fill="auto"/>
            <w:noWrap/>
            <w:hideMark/>
          </w:tcPr>
          <w:p w14:paraId="527882C9" w14:textId="77777777" w:rsidR="00D22CE3" w:rsidRPr="00F10391" w:rsidRDefault="00D22CE3" w:rsidP="0063065F">
            <w:pPr>
              <w:jc w:val="left"/>
            </w:pPr>
            <w:r w:rsidRPr="00F10391">
              <w:t>0.1</w:t>
            </w:r>
          </w:p>
        </w:tc>
        <w:tc>
          <w:tcPr>
            <w:tcW w:w="1077" w:type="dxa"/>
            <w:shd w:val="clear" w:color="auto" w:fill="auto"/>
            <w:noWrap/>
            <w:hideMark/>
          </w:tcPr>
          <w:p w14:paraId="743E32C8" w14:textId="77777777" w:rsidR="00D22CE3" w:rsidRPr="00F10391" w:rsidRDefault="00D22CE3" w:rsidP="0063065F">
            <w:pPr>
              <w:jc w:val="left"/>
            </w:pPr>
            <w:r w:rsidRPr="00F10391">
              <w:t>1</w:t>
            </w:r>
          </w:p>
        </w:tc>
        <w:tc>
          <w:tcPr>
            <w:tcW w:w="1076" w:type="dxa"/>
            <w:shd w:val="clear" w:color="auto" w:fill="auto"/>
            <w:noWrap/>
            <w:hideMark/>
          </w:tcPr>
          <w:p w14:paraId="112F13BA" w14:textId="77777777" w:rsidR="00D22CE3" w:rsidRPr="00F10391" w:rsidRDefault="00D22CE3" w:rsidP="0063065F">
            <w:pPr>
              <w:jc w:val="left"/>
            </w:pPr>
            <w:r w:rsidRPr="00F10391">
              <w:t>1</w:t>
            </w:r>
          </w:p>
        </w:tc>
        <w:tc>
          <w:tcPr>
            <w:tcW w:w="1076" w:type="dxa"/>
            <w:shd w:val="clear" w:color="auto" w:fill="auto"/>
            <w:noWrap/>
            <w:hideMark/>
          </w:tcPr>
          <w:p w14:paraId="56147DCB" w14:textId="77777777" w:rsidR="00D22CE3" w:rsidRPr="00F10391" w:rsidRDefault="00D22CE3" w:rsidP="0063065F">
            <w:pPr>
              <w:jc w:val="left"/>
            </w:pPr>
            <w:r w:rsidRPr="00F10391">
              <w:t>1</w:t>
            </w:r>
          </w:p>
        </w:tc>
        <w:tc>
          <w:tcPr>
            <w:tcW w:w="1090" w:type="dxa"/>
            <w:shd w:val="clear" w:color="auto" w:fill="auto"/>
            <w:noWrap/>
            <w:hideMark/>
          </w:tcPr>
          <w:p w14:paraId="6B2AA990" w14:textId="77777777" w:rsidR="00D22CE3" w:rsidRPr="00F10391" w:rsidRDefault="00D22CE3" w:rsidP="0063065F">
            <w:pPr>
              <w:jc w:val="left"/>
            </w:pPr>
            <w:r w:rsidRPr="00F10391">
              <w:t>1</w:t>
            </w:r>
          </w:p>
        </w:tc>
        <w:tc>
          <w:tcPr>
            <w:tcW w:w="1275" w:type="dxa"/>
            <w:shd w:val="clear" w:color="auto" w:fill="auto"/>
            <w:noWrap/>
            <w:hideMark/>
          </w:tcPr>
          <w:p w14:paraId="5EB7EAD4" w14:textId="77777777" w:rsidR="00D22CE3" w:rsidRPr="00F10391" w:rsidRDefault="00D22CE3" w:rsidP="0063065F">
            <w:pPr>
              <w:jc w:val="left"/>
            </w:pPr>
            <w:r w:rsidRPr="00F10391">
              <w:t>1</w:t>
            </w:r>
          </w:p>
        </w:tc>
        <w:tc>
          <w:tcPr>
            <w:tcW w:w="862" w:type="dxa"/>
            <w:shd w:val="clear" w:color="auto" w:fill="auto"/>
            <w:noWrap/>
            <w:hideMark/>
          </w:tcPr>
          <w:p w14:paraId="50B8A80C" w14:textId="77777777" w:rsidR="00D22CE3" w:rsidRPr="00F10391" w:rsidRDefault="00D22CE3" w:rsidP="0063065F">
            <w:pPr>
              <w:jc w:val="left"/>
            </w:pPr>
            <w:r w:rsidRPr="00F10391">
              <w:t>0.84</w:t>
            </w:r>
          </w:p>
        </w:tc>
      </w:tr>
      <w:tr w:rsidR="00D22CE3" w:rsidRPr="00F10391" w14:paraId="7B56863F" w14:textId="77777777" w:rsidTr="0063065F">
        <w:trPr>
          <w:trHeight w:val="481"/>
        </w:trPr>
        <w:tc>
          <w:tcPr>
            <w:tcW w:w="1833" w:type="dxa"/>
            <w:shd w:val="clear" w:color="auto" w:fill="C0C0C0"/>
            <w:hideMark/>
          </w:tcPr>
          <w:p w14:paraId="2A593D54" w14:textId="77777777" w:rsidR="00D22CE3" w:rsidRPr="00F10391" w:rsidRDefault="00D22CE3">
            <w:pPr>
              <w:jc w:val="left"/>
            </w:pPr>
            <w:r w:rsidRPr="00F10391">
              <w:t>Faecal occult blood tests/year</w:t>
            </w:r>
          </w:p>
        </w:tc>
        <w:tc>
          <w:tcPr>
            <w:tcW w:w="1078" w:type="dxa"/>
            <w:tcBorders>
              <w:left w:val="nil"/>
              <w:right w:val="nil"/>
            </w:tcBorders>
            <w:shd w:val="clear" w:color="auto" w:fill="C0C0C0"/>
            <w:noWrap/>
            <w:hideMark/>
          </w:tcPr>
          <w:p w14:paraId="3C928B58" w14:textId="77777777" w:rsidR="00D22CE3" w:rsidRPr="00F10391" w:rsidRDefault="00D22CE3" w:rsidP="0063065F">
            <w:pPr>
              <w:jc w:val="left"/>
            </w:pPr>
            <w:r w:rsidRPr="00F10391">
              <w:t>0.9</w:t>
            </w:r>
          </w:p>
        </w:tc>
        <w:tc>
          <w:tcPr>
            <w:tcW w:w="1077" w:type="dxa"/>
            <w:shd w:val="clear" w:color="auto" w:fill="C0C0C0"/>
            <w:noWrap/>
            <w:hideMark/>
          </w:tcPr>
          <w:p w14:paraId="5CF881EA" w14:textId="77777777" w:rsidR="00D22CE3" w:rsidRPr="00F10391" w:rsidRDefault="00D22CE3" w:rsidP="0063065F">
            <w:pPr>
              <w:jc w:val="left"/>
            </w:pPr>
            <w:r w:rsidRPr="00F10391">
              <w:t>1</w:t>
            </w:r>
          </w:p>
        </w:tc>
        <w:tc>
          <w:tcPr>
            <w:tcW w:w="1076" w:type="dxa"/>
            <w:tcBorders>
              <w:left w:val="nil"/>
              <w:right w:val="nil"/>
            </w:tcBorders>
            <w:shd w:val="clear" w:color="auto" w:fill="C0C0C0"/>
            <w:noWrap/>
            <w:hideMark/>
          </w:tcPr>
          <w:p w14:paraId="449CCAC5" w14:textId="77777777" w:rsidR="00D22CE3" w:rsidRPr="00F10391" w:rsidRDefault="00D22CE3" w:rsidP="0063065F">
            <w:pPr>
              <w:jc w:val="left"/>
            </w:pPr>
            <w:r w:rsidRPr="00F10391">
              <w:t>0.8</w:t>
            </w:r>
          </w:p>
        </w:tc>
        <w:tc>
          <w:tcPr>
            <w:tcW w:w="1076" w:type="dxa"/>
            <w:shd w:val="clear" w:color="auto" w:fill="C0C0C0"/>
            <w:noWrap/>
            <w:hideMark/>
          </w:tcPr>
          <w:p w14:paraId="4E1BBC76" w14:textId="77777777" w:rsidR="00D22CE3" w:rsidRPr="00F10391" w:rsidRDefault="00D22CE3" w:rsidP="0063065F">
            <w:pPr>
              <w:jc w:val="left"/>
            </w:pPr>
            <w:r w:rsidRPr="00F10391">
              <w:t>0.1</w:t>
            </w:r>
          </w:p>
        </w:tc>
        <w:tc>
          <w:tcPr>
            <w:tcW w:w="1090" w:type="dxa"/>
            <w:tcBorders>
              <w:left w:val="nil"/>
              <w:right w:val="nil"/>
            </w:tcBorders>
            <w:shd w:val="clear" w:color="auto" w:fill="C0C0C0"/>
            <w:noWrap/>
            <w:hideMark/>
          </w:tcPr>
          <w:p w14:paraId="1919CCFE" w14:textId="77777777" w:rsidR="00D22CE3" w:rsidRPr="00F10391" w:rsidRDefault="00D22CE3" w:rsidP="0063065F">
            <w:pPr>
              <w:jc w:val="left"/>
            </w:pPr>
            <w:r w:rsidRPr="00F10391">
              <w:t>0.9</w:t>
            </w:r>
          </w:p>
        </w:tc>
        <w:tc>
          <w:tcPr>
            <w:tcW w:w="1275" w:type="dxa"/>
            <w:shd w:val="clear" w:color="auto" w:fill="C0C0C0"/>
            <w:noWrap/>
            <w:hideMark/>
          </w:tcPr>
          <w:p w14:paraId="0DD9E2C0" w14:textId="77777777" w:rsidR="00D22CE3" w:rsidRPr="00F10391" w:rsidRDefault="00D22CE3" w:rsidP="0063065F">
            <w:pPr>
              <w:jc w:val="left"/>
            </w:pPr>
            <w:r w:rsidRPr="00F10391">
              <w:t>0.95</w:t>
            </w:r>
          </w:p>
        </w:tc>
        <w:tc>
          <w:tcPr>
            <w:tcW w:w="862" w:type="dxa"/>
            <w:tcBorders>
              <w:left w:val="nil"/>
              <w:right w:val="nil"/>
            </w:tcBorders>
            <w:shd w:val="clear" w:color="auto" w:fill="C0C0C0"/>
            <w:noWrap/>
            <w:hideMark/>
          </w:tcPr>
          <w:p w14:paraId="7ADC953F" w14:textId="77777777" w:rsidR="00D22CE3" w:rsidRPr="00F10391" w:rsidRDefault="00D22CE3" w:rsidP="0063065F">
            <w:pPr>
              <w:jc w:val="left"/>
            </w:pPr>
            <w:r w:rsidRPr="00F10391">
              <w:t>0.81</w:t>
            </w:r>
          </w:p>
        </w:tc>
      </w:tr>
      <w:tr w:rsidR="00D22CE3" w:rsidRPr="00F10391" w14:paraId="0DBB51EC" w14:textId="77777777" w:rsidTr="0063065F">
        <w:trPr>
          <w:trHeight w:val="481"/>
        </w:trPr>
        <w:tc>
          <w:tcPr>
            <w:tcW w:w="1833" w:type="dxa"/>
            <w:shd w:val="clear" w:color="auto" w:fill="auto"/>
            <w:hideMark/>
          </w:tcPr>
          <w:p w14:paraId="41692289" w14:textId="77777777" w:rsidR="00D22CE3" w:rsidRPr="00F10391" w:rsidRDefault="00D22CE3">
            <w:pPr>
              <w:jc w:val="left"/>
            </w:pPr>
            <w:r w:rsidRPr="00F10391">
              <w:t>Flexible sigmoidoscopy/ 5 years</w:t>
            </w:r>
          </w:p>
        </w:tc>
        <w:tc>
          <w:tcPr>
            <w:tcW w:w="1078" w:type="dxa"/>
            <w:shd w:val="clear" w:color="auto" w:fill="auto"/>
            <w:noWrap/>
            <w:hideMark/>
          </w:tcPr>
          <w:p w14:paraId="795EC126" w14:textId="77777777" w:rsidR="00D22CE3" w:rsidRPr="00F10391" w:rsidRDefault="00D22CE3" w:rsidP="0063065F">
            <w:pPr>
              <w:jc w:val="left"/>
            </w:pPr>
            <w:r w:rsidRPr="00F10391">
              <w:t>0.95</w:t>
            </w:r>
          </w:p>
        </w:tc>
        <w:tc>
          <w:tcPr>
            <w:tcW w:w="1077" w:type="dxa"/>
            <w:shd w:val="clear" w:color="auto" w:fill="auto"/>
            <w:noWrap/>
            <w:hideMark/>
          </w:tcPr>
          <w:p w14:paraId="4324D7C6" w14:textId="77777777" w:rsidR="00D22CE3" w:rsidRPr="00F10391" w:rsidRDefault="00D22CE3" w:rsidP="0063065F">
            <w:pPr>
              <w:jc w:val="left"/>
            </w:pPr>
            <w:r w:rsidRPr="00F10391">
              <w:t>0.8</w:t>
            </w:r>
          </w:p>
        </w:tc>
        <w:tc>
          <w:tcPr>
            <w:tcW w:w="1076" w:type="dxa"/>
            <w:shd w:val="clear" w:color="auto" w:fill="auto"/>
            <w:noWrap/>
            <w:hideMark/>
          </w:tcPr>
          <w:p w14:paraId="7776A244" w14:textId="77777777" w:rsidR="00D22CE3" w:rsidRPr="00F10391" w:rsidRDefault="00D22CE3" w:rsidP="0063065F">
            <w:pPr>
              <w:jc w:val="left"/>
            </w:pPr>
            <w:r w:rsidRPr="00F10391">
              <w:t>0.7</w:t>
            </w:r>
          </w:p>
        </w:tc>
        <w:tc>
          <w:tcPr>
            <w:tcW w:w="1076" w:type="dxa"/>
            <w:shd w:val="clear" w:color="auto" w:fill="auto"/>
            <w:noWrap/>
            <w:hideMark/>
          </w:tcPr>
          <w:p w14:paraId="1D3BF4A7" w14:textId="77777777" w:rsidR="00D22CE3" w:rsidRPr="00F10391" w:rsidRDefault="00D22CE3" w:rsidP="0063065F">
            <w:pPr>
              <w:jc w:val="left"/>
            </w:pPr>
            <w:r w:rsidRPr="00F10391">
              <w:t>0.5</w:t>
            </w:r>
          </w:p>
        </w:tc>
        <w:tc>
          <w:tcPr>
            <w:tcW w:w="1090" w:type="dxa"/>
            <w:shd w:val="clear" w:color="auto" w:fill="auto"/>
            <w:noWrap/>
            <w:hideMark/>
          </w:tcPr>
          <w:p w14:paraId="20257E84" w14:textId="77777777" w:rsidR="00D22CE3" w:rsidRPr="00F10391" w:rsidRDefault="00D22CE3" w:rsidP="0063065F">
            <w:pPr>
              <w:jc w:val="left"/>
            </w:pPr>
            <w:r w:rsidRPr="00F10391">
              <w:t>0.8</w:t>
            </w:r>
          </w:p>
        </w:tc>
        <w:tc>
          <w:tcPr>
            <w:tcW w:w="1275" w:type="dxa"/>
            <w:shd w:val="clear" w:color="auto" w:fill="auto"/>
            <w:noWrap/>
            <w:hideMark/>
          </w:tcPr>
          <w:p w14:paraId="59734B3E" w14:textId="77777777" w:rsidR="00D22CE3" w:rsidRPr="00F10391" w:rsidRDefault="00D22CE3" w:rsidP="0063065F">
            <w:pPr>
              <w:jc w:val="left"/>
            </w:pPr>
            <w:r w:rsidRPr="00F10391">
              <w:t>0.7</w:t>
            </w:r>
          </w:p>
        </w:tc>
        <w:tc>
          <w:tcPr>
            <w:tcW w:w="862" w:type="dxa"/>
            <w:shd w:val="clear" w:color="auto" w:fill="auto"/>
            <w:noWrap/>
            <w:hideMark/>
          </w:tcPr>
          <w:p w14:paraId="371A79B1" w14:textId="77777777" w:rsidR="00D22CE3" w:rsidRPr="00F10391" w:rsidRDefault="00D22CE3" w:rsidP="0063065F">
            <w:pPr>
              <w:jc w:val="left"/>
            </w:pPr>
            <w:r w:rsidRPr="00F10391">
              <w:t>0.75</w:t>
            </w:r>
          </w:p>
        </w:tc>
      </w:tr>
      <w:tr w:rsidR="00D22CE3" w:rsidRPr="00F10391" w14:paraId="7B54A276" w14:textId="77777777" w:rsidTr="0063065F">
        <w:trPr>
          <w:trHeight w:val="794"/>
        </w:trPr>
        <w:tc>
          <w:tcPr>
            <w:tcW w:w="1833" w:type="dxa"/>
            <w:shd w:val="clear" w:color="auto" w:fill="C0C0C0"/>
            <w:hideMark/>
          </w:tcPr>
          <w:p w14:paraId="66427D4F" w14:textId="77777777" w:rsidR="00D22CE3" w:rsidRPr="00F10391" w:rsidRDefault="00D22CE3">
            <w:pPr>
              <w:jc w:val="left"/>
            </w:pPr>
            <w:r w:rsidRPr="00F10391">
              <w:t>Faecal occult blood tests/ year &amp; flexible sigmoidoscopy/ 5 years</w:t>
            </w:r>
          </w:p>
        </w:tc>
        <w:tc>
          <w:tcPr>
            <w:tcW w:w="1078" w:type="dxa"/>
            <w:tcBorders>
              <w:left w:val="nil"/>
              <w:right w:val="nil"/>
            </w:tcBorders>
            <w:shd w:val="clear" w:color="auto" w:fill="C0C0C0"/>
            <w:noWrap/>
            <w:hideMark/>
          </w:tcPr>
          <w:p w14:paraId="1FCE30D8" w14:textId="77777777" w:rsidR="00D22CE3" w:rsidRPr="00F10391" w:rsidRDefault="00D22CE3" w:rsidP="0063065F">
            <w:pPr>
              <w:jc w:val="left"/>
            </w:pPr>
            <w:r w:rsidRPr="00F10391">
              <w:t>1</w:t>
            </w:r>
          </w:p>
        </w:tc>
        <w:tc>
          <w:tcPr>
            <w:tcW w:w="1077" w:type="dxa"/>
            <w:shd w:val="clear" w:color="auto" w:fill="C0C0C0"/>
            <w:noWrap/>
            <w:hideMark/>
          </w:tcPr>
          <w:p w14:paraId="44348C96" w14:textId="77777777" w:rsidR="00D22CE3" w:rsidRPr="00F10391" w:rsidRDefault="00D22CE3" w:rsidP="0063065F">
            <w:pPr>
              <w:jc w:val="left"/>
            </w:pPr>
            <w:r w:rsidRPr="00F10391">
              <w:t>0.8</w:t>
            </w:r>
          </w:p>
        </w:tc>
        <w:tc>
          <w:tcPr>
            <w:tcW w:w="1076" w:type="dxa"/>
            <w:tcBorders>
              <w:left w:val="nil"/>
              <w:right w:val="nil"/>
            </w:tcBorders>
            <w:shd w:val="clear" w:color="auto" w:fill="C0C0C0"/>
            <w:noWrap/>
            <w:hideMark/>
          </w:tcPr>
          <w:p w14:paraId="2F022039" w14:textId="77777777" w:rsidR="00D22CE3" w:rsidRPr="00F10391" w:rsidRDefault="00D22CE3" w:rsidP="0063065F">
            <w:pPr>
              <w:jc w:val="left"/>
            </w:pPr>
            <w:r w:rsidRPr="00F10391">
              <w:t>0.85</w:t>
            </w:r>
          </w:p>
        </w:tc>
        <w:tc>
          <w:tcPr>
            <w:tcW w:w="1076" w:type="dxa"/>
            <w:shd w:val="clear" w:color="auto" w:fill="C0C0C0"/>
            <w:noWrap/>
            <w:hideMark/>
          </w:tcPr>
          <w:p w14:paraId="7F9AFA5A" w14:textId="77777777" w:rsidR="00D22CE3" w:rsidRPr="00F10391" w:rsidRDefault="00D22CE3" w:rsidP="0063065F">
            <w:pPr>
              <w:jc w:val="left"/>
            </w:pPr>
            <w:r w:rsidRPr="00F10391">
              <w:t>0.1</w:t>
            </w:r>
          </w:p>
        </w:tc>
        <w:tc>
          <w:tcPr>
            <w:tcW w:w="1090" w:type="dxa"/>
            <w:tcBorders>
              <w:left w:val="nil"/>
              <w:right w:val="nil"/>
            </w:tcBorders>
            <w:shd w:val="clear" w:color="auto" w:fill="C0C0C0"/>
            <w:noWrap/>
            <w:hideMark/>
          </w:tcPr>
          <w:p w14:paraId="7783521E" w14:textId="77777777" w:rsidR="00D22CE3" w:rsidRPr="00F10391" w:rsidRDefault="00D22CE3" w:rsidP="0063065F">
            <w:pPr>
              <w:jc w:val="left"/>
            </w:pPr>
            <w:r w:rsidRPr="00F10391">
              <w:t>0.7</w:t>
            </w:r>
          </w:p>
        </w:tc>
        <w:tc>
          <w:tcPr>
            <w:tcW w:w="1275" w:type="dxa"/>
            <w:shd w:val="clear" w:color="auto" w:fill="C0C0C0"/>
            <w:noWrap/>
            <w:hideMark/>
          </w:tcPr>
          <w:p w14:paraId="03F239D2" w14:textId="77777777" w:rsidR="00D22CE3" w:rsidRPr="00F10391" w:rsidRDefault="00D22CE3" w:rsidP="0063065F">
            <w:pPr>
              <w:jc w:val="left"/>
            </w:pPr>
            <w:r w:rsidRPr="00F10391">
              <w:t>0.65</w:t>
            </w:r>
          </w:p>
        </w:tc>
        <w:tc>
          <w:tcPr>
            <w:tcW w:w="862" w:type="dxa"/>
            <w:tcBorders>
              <w:left w:val="nil"/>
              <w:right w:val="nil"/>
            </w:tcBorders>
            <w:shd w:val="clear" w:color="auto" w:fill="C0C0C0"/>
            <w:noWrap/>
            <w:hideMark/>
          </w:tcPr>
          <w:p w14:paraId="7EA0D692" w14:textId="77777777" w:rsidR="00D22CE3" w:rsidRPr="00F10391" w:rsidRDefault="00D22CE3" w:rsidP="0063065F">
            <w:pPr>
              <w:jc w:val="left"/>
            </w:pPr>
            <w:r w:rsidRPr="00F10391">
              <w:t>0.77</w:t>
            </w:r>
          </w:p>
        </w:tc>
      </w:tr>
      <w:tr w:rsidR="00D22CE3" w:rsidRPr="00F10391" w14:paraId="433225CE" w14:textId="77777777" w:rsidTr="0063065F">
        <w:trPr>
          <w:trHeight w:val="794"/>
        </w:trPr>
        <w:tc>
          <w:tcPr>
            <w:tcW w:w="1833" w:type="dxa"/>
            <w:shd w:val="clear" w:color="auto" w:fill="auto"/>
            <w:hideMark/>
          </w:tcPr>
          <w:p w14:paraId="78E979C8" w14:textId="77777777" w:rsidR="00D22CE3" w:rsidRPr="00F10391" w:rsidRDefault="00D22CE3">
            <w:pPr>
              <w:jc w:val="left"/>
            </w:pPr>
            <w:r w:rsidRPr="00F10391">
              <w:t xml:space="preserve">Double contrast barium enema/ 5 years </w:t>
            </w:r>
          </w:p>
        </w:tc>
        <w:tc>
          <w:tcPr>
            <w:tcW w:w="1078" w:type="dxa"/>
            <w:shd w:val="clear" w:color="auto" w:fill="auto"/>
            <w:noWrap/>
            <w:hideMark/>
          </w:tcPr>
          <w:p w14:paraId="2FF1E3AB" w14:textId="77777777" w:rsidR="00D22CE3" w:rsidRPr="00F10391" w:rsidRDefault="00D22CE3" w:rsidP="0063065F">
            <w:pPr>
              <w:jc w:val="left"/>
            </w:pPr>
            <w:r w:rsidRPr="00F10391">
              <w:t>0.9</w:t>
            </w:r>
          </w:p>
        </w:tc>
        <w:tc>
          <w:tcPr>
            <w:tcW w:w="1077" w:type="dxa"/>
            <w:shd w:val="clear" w:color="auto" w:fill="auto"/>
            <w:noWrap/>
            <w:hideMark/>
          </w:tcPr>
          <w:p w14:paraId="6DB7F441" w14:textId="77777777" w:rsidR="00D22CE3" w:rsidRPr="00F10391" w:rsidRDefault="00D22CE3" w:rsidP="0063065F">
            <w:pPr>
              <w:jc w:val="left"/>
            </w:pPr>
            <w:r w:rsidRPr="00F10391">
              <w:t>0.1</w:t>
            </w:r>
          </w:p>
        </w:tc>
        <w:tc>
          <w:tcPr>
            <w:tcW w:w="1076" w:type="dxa"/>
            <w:shd w:val="clear" w:color="auto" w:fill="auto"/>
            <w:noWrap/>
            <w:hideMark/>
          </w:tcPr>
          <w:p w14:paraId="45225959" w14:textId="77777777" w:rsidR="00D22CE3" w:rsidRPr="00F10391" w:rsidRDefault="00D22CE3" w:rsidP="0063065F">
            <w:pPr>
              <w:jc w:val="left"/>
            </w:pPr>
            <w:r w:rsidRPr="00F10391">
              <w:t>0.7</w:t>
            </w:r>
          </w:p>
        </w:tc>
        <w:tc>
          <w:tcPr>
            <w:tcW w:w="1076" w:type="dxa"/>
            <w:shd w:val="clear" w:color="auto" w:fill="auto"/>
            <w:noWrap/>
            <w:hideMark/>
          </w:tcPr>
          <w:p w14:paraId="51CA8F5C" w14:textId="77777777" w:rsidR="00D22CE3" w:rsidRPr="00F10391" w:rsidRDefault="00D22CE3" w:rsidP="0063065F">
            <w:pPr>
              <w:jc w:val="left"/>
            </w:pPr>
            <w:r w:rsidRPr="00F10391">
              <w:t>0.5</w:t>
            </w:r>
          </w:p>
        </w:tc>
        <w:tc>
          <w:tcPr>
            <w:tcW w:w="1090" w:type="dxa"/>
            <w:shd w:val="clear" w:color="auto" w:fill="auto"/>
            <w:noWrap/>
            <w:hideMark/>
          </w:tcPr>
          <w:p w14:paraId="62EAA911" w14:textId="77777777" w:rsidR="00D22CE3" w:rsidRPr="00F10391" w:rsidRDefault="00D22CE3" w:rsidP="0063065F">
            <w:pPr>
              <w:jc w:val="left"/>
            </w:pPr>
            <w:r w:rsidRPr="00F10391">
              <w:t>0.1</w:t>
            </w:r>
          </w:p>
        </w:tc>
        <w:tc>
          <w:tcPr>
            <w:tcW w:w="1275" w:type="dxa"/>
            <w:shd w:val="clear" w:color="auto" w:fill="auto"/>
            <w:noWrap/>
            <w:hideMark/>
          </w:tcPr>
          <w:p w14:paraId="5F64D98D" w14:textId="77777777" w:rsidR="00D22CE3" w:rsidRPr="00F10391" w:rsidRDefault="00D22CE3" w:rsidP="0063065F">
            <w:pPr>
              <w:jc w:val="left"/>
            </w:pPr>
            <w:r w:rsidRPr="00F10391">
              <w:t>0.2</w:t>
            </w:r>
          </w:p>
        </w:tc>
        <w:tc>
          <w:tcPr>
            <w:tcW w:w="862" w:type="dxa"/>
            <w:shd w:val="clear" w:color="auto" w:fill="auto"/>
            <w:noWrap/>
            <w:hideMark/>
          </w:tcPr>
          <w:p w14:paraId="3AFAD109" w14:textId="77777777" w:rsidR="00D22CE3" w:rsidRPr="00F10391" w:rsidRDefault="00D22CE3" w:rsidP="0063065F">
            <w:pPr>
              <w:jc w:val="left"/>
            </w:pPr>
            <w:r w:rsidRPr="00F10391">
              <w:t>0.49</w:t>
            </w:r>
          </w:p>
        </w:tc>
      </w:tr>
      <w:tr w:rsidR="00D22CE3" w:rsidRPr="00F10391" w14:paraId="13322DA4" w14:textId="77777777" w:rsidTr="0063065F">
        <w:trPr>
          <w:trHeight w:val="505"/>
        </w:trPr>
        <w:tc>
          <w:tcPr>
            <w:tcW w:w="1833" w:type="dxa"/>
            <w:shd w:val="clear" w:color="auto" w:fill="C0C0C0"/>
            <w:hideMark/>
          </w:tcPr>
          <w:p w14:paraId="75E11A03" w14:textId="77777777" w:rsidR="00D22CE3" w:rsidRPr="00F10391" w:rsidRDefault="00D22CE3">
            <w:pPr>
              <w:jc w:val="left"/>
            </w:pPr>
            <w:r w:rsidRPr="00F10391">
              <w:t>Colonoscopy/10 years</w:t>
            </w:r>
          </w:p>
        </w:tc>
        <w:tc>
          <w:tcPr>
            <w:tcW w:w="1078" w:type="dxa"/>
            <w:tcBorders>
              <w:left w:val="nil"/>
              <w:right w:val="nil"/>
            </w:tcBorders>
            <w:shd w:val="clear" w:color="auto" w:fill="C0C0C0"/>
            <w:noWrap/>
            <w:hideMark/>
          </w:tcPr>
          <w:p w14:paraId="57AFDE8C" w14:textId="77777777" w:rsidR="00D22CE3" w:rsidRPr="00F10391" w:rsidRDefault="00D22CE3" w:rsidP="0063065F">
            <w:pPr>
              <w:jc w:val="left"/>
            </w:pPr>
            <w:r w:rsidRPr="00F10391">
              <w:t>0.5</w:t>
            </w:r>
          </w:p>
        </w:tc>
        <w:tc>
          <w:tcPr>
            <w:tcW w:w="1077" w:type="dxa"/>
            <w:shd w:val="clear" w:color="auto" w:fill="C0C0C0"/>
            <w:noWrap/>
            <w:hideMark/>
          </w:tcPr>
          <w:p w14:paraId="10F98BA3" w14:textId="77777777" w:rsidR="00D22CE3" w:rsidRPr="00F10391" w:rsidRDefault="00D22CE3" w:rsidP="0063065F">
            <w:pPr>
              <w:jc w:val="left"/>
            </w:pPr>
            <w:r w:rsidRPr="00F10391">
              <w:t>0.6</w:t>
            </w:r>
          </w:p>
        </w:tc>
        <w:tc>
          <w:tcPr>
            <w:tcW w:w="1076" w:type="dxa"/>
            <w:tcBorders>
              <w:left w:val="nil"/>
              <w:right w:val="nil"/>
            </w:tcBorders>
            <w:shd w:val="clear" w:color="auto" w:fill="C0C0C0"/>
            <w:noWrap/>
            <w:hideMark/>
          </w:tcPr>
          <w:p w14:paraId="506E9979" w14:textId="77777777" w:rsidR="00D22CE3" w:rsidRPr="00F10391" w:rsidRDefault="00D22CE3" w:rsidP="0063065F">
            <w:pPr>
              <w:jc w:val="left"/>
            </w:pPr>
            <w:r w:rsidRPr="00F10391">
              <w:t>0.1</w:t>
            </w:r>
          </w:p>
        </w:tc>
        <w:tc>
          <w:tcPr>
            <w:tcW w:w="1076" w:type="dxa"/>
            <w:shd w:val="clear" w:color="auto" w:fill="C0C0C0"/>
            <w:noWrap/>
            <w:hideMark/>
          </w:tcPr>
          <w:p w14:paraId="3E0285B5" w14:textId="77777777" w:rsidR="00D22CE3" w:rsidRPr="00F10391" w:rsidRDefault="00D22CE3" w:rsidP="0063065F">
            <w:pPr>
              <w:jc w:val="left"/>
            </w:pPr>
            <w:r w:rsidRPr="00F10391">
              <w:t>0.8</w:t>
            </w:r>
          </w:p>
        </w:tc>
        <w:tc>
          <w:tcPr>
            <w:tcW w:w="1090" w:type="dxa"/>
            <w:tcBorders>
              <w:left w:val="nil"/>
              <w:right w:val="nil"/>
            </w:tcBorders>
            <w:shd w:val="clear" w:color="auto" w:fill="C0C0C0"/>
            <w:noWrap/>
            <w:hideMark/>
          </w:tcPr>
          <w:p w14:paraId="01D046ED" w14:textId="77777777" w:rsidR="00D22CE3" w:rsidRPr="00F10391" w:rsidRDefault="00D22CE3" w:rsidP="0063065F">
            <w:pPr>
              <w:jc w:val="left"/>
            </w:pPr>
            <w:r w:rsidRPr="00F10391">
              <w:t>0.1</w:t>
            </w:r>
          </w:p>
        </w:tc>
        <w:tc>
          <w:tcPr>
            <w:tcW w:w="1275" w:type="dxa"/>
            <w:shd w:val="clear" w:color="auto" w:fill="C0C0C0"/>
            <w:noWrap/>
            <w:hideMark/>
          </w:tcPr>
          <w:p w14:paraId="2E3DA13B" w14:textId="77777777" w:rsidR="00D22CE3" w:rsidRPr="00F10391" w:rsidRDefault="00D22CE3" w:rsidP="0063065F">
            <w:pPr>
              <w:jc w:val="left"/>
            </w:pPr>
            <w:r w:rsidRPr="00F10391">
              <w:t>0.1</w:t>
            </w:r>
          </w:p>
        </w:tc>
        <w:tc>
          <w:tcPr>
            <w:tcW w:w="862" w:type="dxa"/>
            <w:tcBorders>
              <w:left w:val="nil"/>
              <w:right w:val="nil"/>
            </w:tcBorders>
            <w:shd w:val="clear" w:color="auto" w:fill="C0C0C0"/>
            <w:noWrap/>
            <w:hideMark/>
          </w:tcPr>
          <w:p w14:paraId="0D5F1195" w14:textId="77777777" w:rsidR="00D22CE3" w:rsidRPr="00F10391" w:rsidRDefault="00D22CE3" w:rsidP="0063065F">
            <w:pPr>
              <w:jc w:val="left"/>
            </w:pPr>
            <w:r w:rsidRPr="00F10391">
              <w:t>0.38</w:t>
            </w:r>
          </w:p>
        </w:tc>
      </w:tr>
    </w:tbl>
    <w:p w14:paraId="070D9C03" w14:textId="77777777" w:rsidR="00D22CE3" w:rsidRPr="00F10391" w:rsidRDefault="00D22CE3" w:rsidP="00494A9A">
      <w:pPr>
        <w:rPr>
          <w:rStyle w:val="Heading6Char"/>
        </w:rPr>
      </w:pPr>
    </w:p>
    <w:p w14:paraId="3026D1BE" w14:textId="77777777" w:rsidR="00D22CE3" w:rsidRPr="00F10391" w:rsidRDefault="00D22CE3" w:rsidP="00494A9A"/>
    <w:p w14:paraId="5C4937C5" w14:textId="77777777" w:rsidR="00D22CE3" w:rsidRPr="00F10391" w:rsidRDefault="00D22CE3" w:rsidP="00490B5D">
      <w:pPr>
        <w:pStyle w:val="Heading4"/>
        <w:rPr>
          <w:iCs/>
        </w:rPr>
      </w:pPr>
      <w:bookmarkStart w:id="133" w:name="_Toc441508928"/>
      <w:bookmarkStart w:id="134" w:name="_Toc453235366"/>
      <w:bookmarkStart w:id="135" w:name="_Toc453595439"/>
      <w:bookmarkStart w:id="136" w:name="_Toc476241536"/>
      <w:r w:rsidRPr="00F10391">
        <w:lastRenderedPageBreak/>
        <w:t>2.5.3.2</w:t>
      </w:r>
      <w:r w:rsidRPr="00F10391">
        <w:tab/>
      </w:r>
      <w:r w:rsidRPr="00F10391">
        <w:tab/>
        <w:t>Analytic Hierarchy Process (AHP)</w:t>
      </w:r>
      <w:bookmarkEnd w:id="133"/>
      <w:bookmarkEnd w:id="134"/>
      <w:bookmarkEnd w:id="135"/>
      <w:bookmarkEnd w:id="136"/>
      <w:r w:rsidRPr="00F10391">
        <w:rPr>
          <w:iCs/>
        </w:rPr>
        <w:t xml:space="preserve"> </w:t>
      </w:r>
    </w:p>
    <w:p w14:paraId="7FED60EC" w14:textId="77777777" w:rsidR="00D22CE3" w:rsidRPr="00F10391" w:rsidRDefault="00D22CE3" w:rsidP="00490B5D">
      <w:r w:rsidRPr="00F10391">
        <w:rPr>
          <w:iCs/>
        </w:rPr>
        <w:t>AHP</w:t>
      </w:r>
      <w:r w:rsidRPr="00F10391">
        <w:rPr>
          <w:i/>
        </w:rPr>
        <w:t xml:space="preserve"> </w:t>
      </w:r>
      <w:r w:rsidRPr="00F10391">
        <w:t xml:space="preserve">follows a similar model to the linear additive model in both the early and final stages, but the preferences are elicited differently. The patient’s preferences between criteria are indicated using pair-wise comparisons on a qualitative scale, represented by a number from 1 to 9, using the list shown in Table 2.4. </w:t>
      </w:r>
    </w:p>
    <w:p w14:paraId="50AC2E33" w14:textId="5BE0691E" w:rsidR="00D22CE3" w:rsidRPr="00F10391" w:rsidRDefault="00D22CE3" w:rsidP="00490B5D">
      <w:pPr>
        <w:pStyle w:val="Caption"/>
      </w:pPr>
      <w:bookmarkStart w:id="137" w:name="_Toc444180787"/>
      <w:bookmarkStart w:id="138" w:name="_Toc476241422"/>
      <w:r w:rsidRPr="00F10391">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4</w:t>
      </w:r>
      <w:r w:rsidR="000F1034">
        <w:rPr>
          <w:noProof/>
        </w:rPr>
        <w:fldChar w:fldCharType="end"/>
      </w:r>
      <w:r w:rsidRPr="00F10391">
        <w:t xml:space="preserve"> – Saaty's </w:t>
      </w:r>
      <w:r w:rsidRPr="00F10391">
        <w:fldChar w:fldCharType="begin"/>
      </w:r>
      <w:r w:rsidR="00700267">
        <w:instrText xml:space="preserve"> ADDIN EN.CITE &lt;EndNote&gt;&lt;Cite&gt;&lt;Author&gt;Saaty&lt;/Author&gt;&lt;Year&gt;2008&lt;/Year&gt;&lt;RecNum&gt;124&lt;/RecNum&gt;&lt;DisplayText&gt;[129]&lt;/DisplayText&gt;&lt;record&gt;&lt;rec-number&gt;124&lt;/rec-number&gt;&lt;foreign-keys&gt;&lt;key app="EN" db-id="sz9092dv2s5fpze9wpgx0zxgv5ar00aezrvf" timestamp="0"&gt;124&lt;/key&gt;&lt;/foreign-keys&gt;&lt;ref-type name="Journal Article"&gt;17&lt;/ref-type&gt;&lt;contributors&gt;&lt;authors&gt;&lt;author&gt;Saaty, Thomas L&lt;/author&gt;&lt;/authors&gt;&lt;/contributors&gt;&lt;titles&gt;&lt;title&gt;Decision making with the analytic hierarchy process&lt;/title&gt;&lt;secondary-title&gt;International journal of services sciences&lt;/secondary-title&gt;&lt;/titles&gt;&lt;pages&gt;83-98&lt;/pages&gt;&lt;volume&gt;1&lt;/volume&gt;&lt;number&gt;1&lt;/number&gt;&lt;dates&gt;&lt;year&gt;2008&lt;/year&gt;&lt;/dates&gt;&lt;isbn&gt;1753-1446&lt;/isbn&gt;&lt;urls&gt;&lt;/urls&gt;&lt;/record&gt;&lt;/Cite&gt;&lt;/EndNote&gt;</w:instrText>
      </w:r>
      <w:r w:rsidRPr="00F10391">
        <w:fldChar w:fldCharType="separate"/>
      </w:r>
      <w:r w:rsidR="00700267">
        <w:rPr>
          <w:noProof/>
        </w:rPr>
        <w:t>[129]</w:t>
      </w:r>
      <w:r w:rsidRPr="00F10391">
        <w:fldChar w:fldCharType="end"/>
      </w:r>
      <w:r w:rsidRPr="00F10391">
        <w:t xml:space="preserve"> 'fundamental scale of absolute numbers' which can be used to show the importance of the difference between the weights of two criteria or the performance of two alternatives in AHP</w:t>
      </w:r>
      <w:bookmarkEnd w:id="137"/>
      <w:bookmarkEnd w:id="138"/>
    </w:p>
    <w:tbl>
      <w:tblPr>
        <w:tblW w:w="9356" w:type="dxa"/>
        <w:tblBorders>
          <w:top w:val="single" w:sz="8" w:space="0" w:color="000000"/>
          <w:bottom w:val="single" w:sz="8" w:space="0" w:color="000000"/>
        </w:tblBorders>
        <w:tblLook w:val="04A0" w:firstRow="1" w:lastRow="0" w:firstColumn="1" w:lastColumn="0" w:noHBand="0" w:noVBand="1"/>
      </w:tblPr>
      <w:tblGrid>
        <w:gridCol w:w="1317"/>
        <w:gridCol w:w="2607"/>
        <w:gridCol w:w="5432"/>
      </w:tblGrid>
      <w:tr w:rsidR="00D22CE3" w:rsidRPr="00F10391" w14:paraId="133A145A" w14:textId="77777777" w:rsidTr="00D22CE3">
        <w:trPr>
          <w:trHeight w:val="300"/>
        </w:trPr>
        <w:tc>
          <w:tcPr>
            <w:tcW w:w="1313" w:type="dxa"/>
            <w:tcBorders>
              <w:top w:val="single" w:sz="8" w:space="0" w:color="000000"/>
              <w:bottom w:val="single" w:sz="8" w:space="0" w:color="000000"/>
            </w:tcBorders>
            <w:shd w:val="clear" w:color="auto" w:fill="auto"/>
            <w:hideMark/>
          </w:tcPr>
          <w:p w14:paraId="78754D17" w14:textId="77777777" w:rsidR="00D22CE3" w:rsidRPr="00F10391" w:rsidRDefault="00D22CE3" w:rsidP="0063065F">
            <w:r w:rsidRPr="00F10391">
              <w:t>Importance</w:t>
            </w:r>
          </w:p>
        </w:tc>
        <w:tc>
          <w:tcPr>
            <w:tcW w:w="2770" w:type="dxa"/>
            <w:tcBorders>
              <w:top w:val="single" w:sz="8" w:space="0" w:color="000000"/>
              <w:bottom w:val="single" w:sz="8" w:space="0" w:color="000000"/>
            </w:tcBorders>
            <w:shd w:val="clear" w:color="auto" w:fill="auto"/>
            <w:hideMark/>
          </w:tcPr>
          <w:p w14:paraId="471B6125" w14:textId="77777777" w:rsidR="00D22CE3" w:rsidRPr="00F10391" w:rsidRDefault="00D22CE3" w:rsidP="0063065F">
            <w:r w:rsidRPr="00F10391">
              <w:t>Definition</w:t>
            </w:r>
          </w:p>
        </w:tc>
        <w:tc>
          <w:tcPr>
            <w:tcW w:w="5993" w:type="dxa"/>
            <w:tcBorders>
              <w:top w:val="single" w:sz="8" w:space="0" w:color="000000"/>
              <w:bottom w:val="single" w:sz="8" w:space="0" w:color="000000"/>
            </w:tcBorders>
            <w:shd w:val="clear" w:color="auto" w:fill="auto"/>
            <w:hideMark/>
          </w:tcPr>
          <w:p w14:paraId="006A909A" w14:textId="77777777" w:rsidR="00D22CE3" w:rsidRPr="00F10391" w:rsidRDefault="00D22CE3" w:rsidP="0063065F">
            <w:r w:rsidRPr="00F10391">
              <w:t>Explanation</w:t>
            </w:r>
          </w:p>
        </w:tc>
      </w:tr>
      <w:tr w:rsidR="00D22CE3" w:rsidRPr="00F10391" w14:paraId="05227207" w14:textId="77777777" w:rsidTr="00D22CE3">
        <w:trPr>
          <w:trHeight w:val="454"/>
        </w:trPr>
        <w:tc>
          <w:tcPr>
            <w:tcW w:w="1313" w:type="dxa"/>
            <w:shd w:val="clear" w:color="auto" w:fill="C0C0C0"/>
            <w:hideMark/>
          </w:tcPr>
          <w:p w14:paraId="362B8136" w14:textId="77777777" w:rsidR="00D22CE3" w:rsidRPr="00F10391" w:rsidRDefault="00D22CE3">
            <w:pPr>
              <w:jc w:val="left"/>
            </w:pPr>
            <w:r w:rsidRPr="00F10391">
              <w:t>1</w:t>
            </w:r>
          </w:p>
        </w:tc>
        <w:tc>
          <w:tcPr>
            <w:tcW w:w="2770" w:type="dxa"/>
            <w:tcBorders>
              <w:left w:val="nil"/>
              <w:right w:val="nil"/>
            </w:tcBorders>
            <w:shd w:val="clear" w:color="auto" w:fill="C0C0C0"/>
            <w:hideMark/>
          </w:tcPr>
          <w:p w14:paraId="3E08C2A8" w14:textId="77777777" w:rsidR="00D22CE3" w:rsidRPr="00F10391" w:rsidRDefault="00D22CE3">
            <w:pPr>
              <w:jc w:val="left"/>
            </w:pPr>
            <w:r w:rsidRPr="00F10391">
              <w:t>Equal importance</w:t>
            </w:r>
          </w:p>
        </w:tc>
        <w:tc>
          <w:tcPr>
            <w:tcW w:w="5993" w:type="dxa"/>
            <w:shd w:val="clear" w:color="auto" w:fill="C0C0C0"/>
            <w:hideMark/>
          </w:tcPr>
          <w:p w14:paraId="71207481" w14:textId="77777777" w:rsidR="00D22CE3" w:rsidRPr="00F10391" w:rsidRDefault="00D22CE3">
            <w:pPr>
              <w:jc w:val="left"/>
            </w:pPr>
            <w:r w:rsidRPr="00F10391">
              <w:t>Two factors contribute equally to the objective</w:t>
            </w:r>
          </w:p>
        </w:tc>
      </w:tr>
      <w:tr w:rsidR="00D22CE3" w:rsidRPr="00F10391" w14:paraId="070C382C" w14:textId="77777777" w:rsidTr="00D22CE3">
        <w:trPr>
          <w:trHeight w:val="454"/>
        </w:trPr>
        <w:tc>
          <w:tcPr>
            <w:tcW w:w="1313" w:type="dxa"/>
            <w:shd w:val="clear" w:color="auto" w:fill="auto"/>
            <w:hideMark/>
          </w:tcPr>
          <w:p w14:paraId="157D1F15" w14:textId="77777777" w:rsidR="00D22CE3" w:rsidRPr="00F10391" w:rsidRDefault="00D22CE3">
            <w:pPr>
              <w:jc w:val="left"/>
            </w:pPr>
            <w:r w:rsidRPr="00F10391">
              <w:t>3</w:t>
            </w:r>
          </w:p>
        </w:tc>
        <w:tc>
          <w:tcPr>
            <w:tcW w:w="2770" w:type="dxa"/>
            <w:shd w:val="clear" w:color="auto" w:fill="auto"/>
            <w:hideMark/>
          </w:tcPr>
          <w:p w14:paraId="7C1E265E" w14:textId="77777777" w:rsidR="00D22CE3" w:rsidRPr="00F10391" w:rsidRDefault="00D22CE3">
            <w:pPr>
              <w:jc w:val="left"/>
            </w:pPr>
            <w:r w:rsidRPr="00F10391">
              <w:t>Somewhat more important</w:t>
            </w:r>
          </w:p>
        </w:tc>
        <w:tc>
          <w:tcPr>
            <w:tcW w:w="5993" w:type="dxa"/>
            <w:shd w:val="clear" w:color="auto" w:fill="auto"/>
            <w:hideMark/>
          </w:tcPr>
          <w:p w14:paraId="2BB2D7C4" w14:textId="5F0CD5ED" w:rsidR="00D22CE3" w:rsidRPr="00F10391" w:rsidRDefault="00D22CE3">
            <w:pPr>
              <w:jc w:val="left"/>
            </w:pPr>
            <w:r w:rsidRPr="00F10391">
              <w:t xml:space="preserve">Experience and </w:t>
            </w:r>
            <w:r w:rsidR="001B7ADD">
              <w:t>judgment</w:t>
            </w:r>
            <w:r w:rsidRPr="00F10391">
              <w:t xml:space="preserve"> slightly favour one over another</w:t>
            </w:r>
          </w:p>
        </w:tc>
      </w:tr>
      <w:tr w:rsidR="00D22CE3" w:rsidRPr="00F10391" w14:paraId="445F4348" w14:textId="77777777" w:rsidTr="00D22CE3">
        <w:trPr>
          <w:trHeight w:val="454"/>
        </w:trPr>
        <w:tc>
          <w:tcPr>
            <w:tcW w:w="1313" w:type="dxa"/>
            <w:shd w:val="clear" w:color="auto" w:fill="C0C0C0"/>
            <w:hideMark/>
          </w:tcPr>
          <w:p w14:paraId="7AD3ABC6" w14:textId="77777777" w:rsidR="00D22CE3" w:rsidRPr="00F10391" w:rsidRDefault="00D22CE3">
            <w:pPr>
              <w:jc w:val="left"/>
            </w:pPr>
            <w:r w:rsidRPr="00F10391">
              <w:t>5</w:t>
            </w:r>
          </w:p>
        </w:tc>
        <w:tc>
          <w:tcPr>
            <w:tcW w:w="2770" w:type="dxa"/>
            <w:tcBorders>
              <w:left w:val="nil"/>
              <w:right w:val="nil"/>
            </w:tcBorders>
            <w:shd w:val="clear" w:color="auto" w:fill="C0C0C0"/>
            <w:hideMark/>
          </w:tcPr>
          <w:p w14:paraId="2571C930" w14:textId="77777777" w:rsidR="00D22CE3" w:rsidRPr="00F10391" w:rsidRDefault="00D22CE3">
            <w:pPr>
              <w:jc w:val="left"/>
            </w:pPr>
            <w:r w:rsidRPr="00F10391">
              <w:t>Much more important</w:t>
            </w:r>
          </w:p>
        </w:tc>
        <w:tc>
          <w:tcPr>
            <w:tcW w:w="5993" w:type="dxa"/>
            <w:shd w:val="clear" w:color="auto" w:fill="C0C0C0"/>
            <w:hideMark/>
          </w:tcPr>
          <w:p w14:paraId="193FEC77" w14:textId="0B3E052E" w:rsidR="00D22CE3" w:rsidRPr="00F10391" w:rsidRDefault="00D22CE3">
            <w:pPr>
              <w:jc w:val="left"/>
            </w:pPr>
            <w:r w:rsidRPr="00F10391">
              <w:t xml:space="preserve">Experience and </w:t>
            </w:r>
            <w:r w:rsidR="001B7ADD">
              <w:t>judgment</w:t>
            </w:r>
            <w:r w:rsidRPr="00F10391">
              <w:t xml:space="preserve"> strongly favour one over another</w:t>
            </w:r>
          </w:p>
        </w:tc>
      </w:tr>
      <w:tr w:rsidR="00D22CE3" w:rsidRPr="00F10391" w14:paraId="31F03D88" w14:textId="77777777" w:rsidTr="00D22CE3">
        <w:trPr>
          <w:trHeight w:val="454"/>
        </w:trPr>
        <w:tc>
          <w:tcPr>
            <w:tcW w:w="1313" w:type="dxa"/>
            <w:shd w:val="clear" w:color="auto" w:fill="auto"/>
            <w:hideMark/>
          </w:tcPr>
          <w:p w14:paraId="15A507E3" w14:textId="77777777" w:rsidR="00D22CE3" w:rsidRPr="00F10391" w:rsidRDefault="00D22CE3">
            <w:pPr>
              <w:jc w:val="left"/>
            </w:pPr>
            <w:r w:rsidRPr="00F10391">
              <w:t>7</w:t>
            </w:r>
          </w:p>
        </w:tc>
        <w:tc>
          <w:tcPr>
            <w:tcW w:w="2770" w:type="dxa"/>
            <w:shd w:val="clear" w:color="auto" w:fill="auto"/>
            <w:hideMark/>
          </w:tcPr>
          <w:p w14:paraId="772C4410" w14:textId="77777777" w:rsidR="00D22CE3" w:rsidRPr="00F10391" w:rsidRDefault="00D22CE3">
            <w:pPr>
              <w:jc w:val="left"/>
            </w:pPr>
            <w:r w:rsidRPr="00F10391">
              <w:t>Very much more important</w:t>
            </w:r>
          </w:p>
        </w:tc>
        <w:tc>
          <w:tcPr>
            <w:tcW w:w="5993" w:type="dxa"/>
            <w:shd w:val="clear" w:color="auto" w:fill="auto"/>
            <w:hideMark/>
          </w:tcPr>
          <w:p w14:paraId="783C0748" w14:textId="6E2668E3" w:rsidR="00D22CE3" w:rsidRPr="00F10391" w:rsidRDefault="00D22CE3">
            <w:pPr>
              <w:jc w:val="left"/>
            </w:pPr>
            <w:r w:rsidRPr="00F10391">
              <w:t xml:space="preserve">Experience and </w:t>
            </w:r>
            <w:r w:rsidR="001B7ADD">
              <w:t>judgment</w:t>
            </w:r>
            <w:r w:rsidRPr="00F10391">
              <w:t xml:space="preserve"> very strongly favour one over another</w:t>
            </w:r>
          </w:p>
        </w:tc>
      </w:tr>
      <w:tr w:rsidR="00D22CE3" w:rsidRPr="00F10391" w14:paraId="58E2CBBE" w14:textId="77777777" w:rsidTr="00D22CE3">
        <w:trPr>
          <w:trHeight w:val="600"/>
        </w:trPr>
        <w:tc>
          <w:tcPr>
            <w:tcW w:w="1313" w:type="dxa"/>
            <w:shd w:val="clear" w:color="auto" w:fill="C0C0C0"/>
            <w:hideMark/>
          </w:tcPr>
          <w:p w14:paraId="6875654B" w14:textId="77777777" w:rsidR="00D22CE3" w:rsidRPr="00F10391" w:rsidRDefault="00D22CE3">
            <w:pPr>
              <w:jc w:val="left"/>
            </w:pPr>
            <w:r w:rsidRPr="00F10391">
              <w:t>9</w:t>
            </w:r>
          </w:p>
        </w:tc>
        <w:tc>
          <w:tcPr>
            <w:tcW w:w="2770" w:type="dxa"/>
            <w:tcBorders>
              <w:left w:val="nil"/>
              <w:right w:val="nil"/>
            </w:tcBorders>
            <w:shd w:val="clear" w:color="auto" w:fill="C0C0C0"/>
            <w:hideMark/>
          </w:tcPr>
          <w:p w14:paraId="7ABBD4BF" w14:textId="77777777" w:rsidR="00D22CE3" w:rsidRPr="00F10391" w:rsidRDefault="00D22CE3">
            <w:pPr>
              <w:jc w:val="left"/>
            </w:pPr>
            <w:r w:rsidRPr="00F10391">
              <w:t>Absolutely more important</w:t>
            </w:r>
          </w:p>
        </w:tc>
        <w:tc>
          <w:tcPr>
            <w:tcW w:w="5993" w:type="dxa"/>
            <w:shd w:val="clear" w:color="auto" w:fill="C0C0C0"/>
            <w:hideMark/>
          </w:tcPr>
          <w:p w14:paraId="12DD8FD0" w14:textId="77777777" w:rsidR="00D22CE3" w:rsidRPr="00F10391" w:rsidRDefault="00D22CE3">
            <w:pPr>
              <w:jc w:val="left"/>
            </w:pPr>
            <w:r w:rsidRPr="00F10391">
              <w:t>The evidence favouring one over the other is of the highest possible validity</w:t>
            </w:r>
          </w:p>
        </w:tc>
      </w:tr>
      <w:tr w:rsidR="00D22CE3" w:rsidRPr="00F10391" w14:paraId="7D7D23DD" w14:textId="77777777" w:rsidTr="00D22CE3">
        <w:trPr>
          <w:trHeight w:val="300"/>
        </w:trPr>
        <w:tc>
          <w:tcPr>
            <w:tcW w:w="1313" w:type="dxa"/>
            <w:shd w:val="clear" w:color="auto" w:fill="auto"/>
            <w:hideMark/>
          </w:tcPr>
          <w:p w14:paraId="0FAF262C" w14:textId="77777777" w:rsidR="00D22CE3" w:rsidRPr="00F10391" w:rsidRDefault="00D22CE3">
            <w:pPr>
              <w:jc w:val="left"/>
            </w:pPr>
            <w:r w:rsidRPr="00F10391">
              <w:t>2,4,6,8</w:t>
            </w:r>
          </w:p>
        </w:tc>
        <w:tc>
          <w:tcPr>
            <w:tcW w:w="2770" w:type="dxa"/>
            <w:shd w:val="clear" w:color="auto" w:fill="auto"/>
            <w:hideMark/>
          </w:tcPr>
          <w:p w14:paraId="4D5819E9" w14:textId="77777777" w:rsidR="00D22CE3" w:rsidRPr="00F10391" w:rsidRDefault="00D22CE3">
            <w:pPr>
              <w:jc w:val="left"/>
            </w:pPr>
            <w:r w:rsidRPr="00F10391">
              <w:t>Intermediate values</w:t>
            </w:r>
          </w:p>
        </w:tc>
        <w:tc>
          <w:tcPr>
            <w:tcW w:w="5993" w:type="dxa"/>
            <w:shd w:val="clear" w:color="auto" w:fill="auto"/>
            <w:hideMark/>
          </w:tcPr>
          <w:p w14:paraId="47E6D4C3" w14:textId="77777777" w:rsidR="00D22CE3" w:rsidRPr="00F10391" w:rsidRDefault="00D22CE3">
            <w:pPr>
              <w:jc w:val="left"/>
            </w:pPr>
            <w:r w:rsidRPr="00F10391">
              <w:t>When compromise is needed</w:t>
            </w:r>
          </w:p>
        </w:tc>
      </w:tr>
    </w:tbl>
    <w:p w14:paraId="44D5CC1F" w14:textId="77777777" w:rsidR="00D22CE3" w:rsidRPr="00F10391" w:rsidRDefault="00D22CE3" w:rsidP="00494A9A"/>
    <w:p w14:paraId="59049E65" w14:textId="77777777" w:rsidR="00D22CE3" w:rsidRPr="00F10391" w:rsidRDefault="00D22CE3" w:rsidP="00494A9A">
      <w:r w:rsidRPr="00F10391">
        <w:t xml:space="preserve">If, for example, the patient decides that </w:t>
      </w:r>
      <w:r w:rsidRPr="00F10391">
        <w:rPr>
          <w:i/>
        </w:rPr>
        <w:t>avoiding cancer</w:t>
      </w:r>
      <w:r w:rsidRPr="00F10391">
        <w:t xml:space="preserve"> is slightly more important than </w:t>
      </w:r>
      <w:r w:rsidRPr="00F10391">
        <w:rPr>
          <w:i/>
        </w:rPr>
        <w:t xml:space="preserve">the nature of the procedure, </w:t>
      </w:r>
      <w:r w:rsidRPr="00F10391">
        <w:t>then this relationship is represented by a 3. Similarly</w:t>
      </w:r>
      <w:r w:rsidR="00CB2E60">
        <w:t>,</w:t>
      </w:r>
      <w:r w:rsidRPr="00F10391">
        <w:t xml:space="preserve"> the relationship between </w:t>
      </w:r>
      <w:r w:rsidRPr="00F10391">
        <w:rPr>
          <w:i/>
        </w:rPr>
        <w:t>nature of the procedure</w:t>
      </w:r>
      <w:r w:rsidRPr="00F10391">
        <w:t xml:space="preserve"> and </w:t>
      </w:r>
      <w:r w:rsidRPr="00F10391">
        <w:rPr>
          <w:i/>
        </w:rPr>
        <w:t>avoiding cancer</w:t>
      </w:r>
      <w:r w:rsidRPr="00F10391">
        <w:t xml:space="preserve"> (the opposite of the previous example) will be represented by its reciprocal, </w:t>
      </w:r>
      <m:oMath>
        <m:f>
          <m:fPr>
            <m:type m:val="skw"/>
            <m:ctrlPr>
              <w:rPr>
                <w:rFonts w:ascii="Cambria Math" w:hAnsi="Cambria Math"/>
                <w:i/>
              </w:rPr>
            </m:ctrlPr>
          </m:fPr>
          <m:num>
            <m:r>
              <w:rPr>
                <w:rFonts w:ascii="Cambria Math" w:hAnsi="Cambria Math"/>
              </w:rPr>
              <m:t>1</m:t>
            </m:r>
          </m:num>
          <m:den>
            <m:r>
              <w:rPr>
                <w:rFonts w:ascii="Cambria Math" w:hAnsi="Cambria Math"/>
              </w:rPr>
              <m:t>3</m:t>
            </m:r>
          </m:den>
        </m:f>
      </m:oMath>
      <w:r w:rsidRPr="00F10391">
        <w:t>. Avoiding cancer is then compared with the next criterion and so on, until a complete picture of the relationships between each of the criteria has been indicated. These figures and their relationships can be represented in a matrix; an example</w:t>
      </w:r>
      <w:r w:rsidRPr="00F10391">
        <w:rPr>
          <w:b/>
          <w:bCs/>
        </w:rPr>
        <w:t xml:space="preserve"> </w:t>
      </w:r>
      <w:r w:rsidRPr="00F10391">
        <w:t>is shown below in Table 2.5</w:t>
      </w:r>
      <w:r w:rsidRPr="00F10391">
        <w:rPr>
          <w:b/>
          <w:bCs/>
        </w:rPr>
        <w:t xml:space="preserve">. </w:t>
      </w:r>
      <w:r w:rsidRPr="00F10391">
        <w:t>Note that along the diagonal, all relationships are given a score of 1 (i.e. avoiding cancer is equally important to avoiding cancer, etc.) and that figures on one side of the diagonal are the reciprocal of their mirrored opposites.</w:t>
      </w:r>
    </w:p>
    <w:p w14:paraId="213D806E" w14:textId="77777777" w:rsidR="00D22CE3" w:rsidRPr="00F10391" w:rsidRDefault="00D22CE3" w:rsidP="00490B5D">
      <w:r w:rsidRPr="00F10391">
        <w:t>The weights of each criterion can be derived by calculating the maximal eigenvector for this matrix and normalising. These weights are shown in the right-hand-most column of Table 2.5. A similar approach and scale are used to indicate how each alternative under investigation performs on each criterion using the same scale, and again the normalised eigenvalue is found. The performance of each alternative on each criterion is combined with their associated weights using a weighted score approach (as with the linear additive method) to calculate a total score for each intervention.</w:t>
      </w:r>
    </w:p>
    <w:p w14:paraId="4F74B97A" w14:textId="4769B168" w:rsidR="000127DD" w:rsidRPr="00F10391" w:rsidRDefault="000127DD" w:rsidP="00490B5D">
      <w:pPr>
        <w:pStyle w:val="Caption"/>
      </w:pPr>
      <w:bookmarkStart w:id="139" w:name="_Toc444180788"/>
      <w:bookmarkStart w:id="140" w:name="_Toc476241423"/>
      <w:r w:rsidRPr="00F10391">
        <w:lastRenderedPageBreak/>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Pr="00F10391">
        <w:t>.</w:t>
      </w:r>
      <w:r w:rsidR="000F1034">
        <w:fldChar w:fldCharType="begin"/>
      </w:r>
      <w:r w:rsidR="000F1034">
        <w:instrText xml:space="preserve"> SEQ Table \* ARABIC \s 1 </w:instrText>
      </w:r>
      <w:r w:rsidR="000F1034">
        <w:fldChar w:fldCharType="separate"/>
      </w:r>
      <w:r w:rsidR="00B37229">
        <w:rPr>
          <w:noProof/>
        </w:rPr>
        <w:t>5</w:t>
      </w:r>
      <w:r w:rsidR="000F1034">
        <w:rPr>
          <w:noProof/>
        </w:rPr>
        <w:fldChar w:fldCharType="end"/>
      </w:r>
      <w:r w:rsidRPr="00F10391">
        <w:t xml:space="preserve"> – Example AHP matrix showing the weights derived for each criterion</w:t>
      </w:r>
      <w:bookmarkEnd w:id="139"/>
      <w:bookmarkEnd w:id="140"/>
    </w:p>
    <w:tbl>
      <w:tblPr>
        <w:tblW w:w="9356" w:type="dxa"/>
        <w:tblBorders>
          <w:top w:val="single" w:sz="8" w:space="0" w:color="000000"/>
          <w:bottom w:val="single" w:sz="8" w:space="0" w:color="000000"/>
        </w:tblBorders>
        <w:tblLayout w:type="fixed"/>
        <w:tblLook w:val="04A0" w:firstRow="1" w:lastRow="0" w:firstColumn="1" w:lastColumn="0" w:noHBand="0" w:noVBand="1"/>
      </w:tblPr>
      <w:tblGrid>
        <w:gridCol w:w="2666"/>
        <w:gridCol w:w="1073"/>
        <w:gridCol w:w="1315"/>
        <w:gridCol w:w="1315"/>
        <w:gridCol w:w="1327"/>
        <w:gridCol w:w="1660"/>
      </w:tblGrid>
      <w:tr w:rsidR="000127DD" w:rsidRPr="00F10391" w14:paraId="52DAA54A" w14:textId="77777777" w:rsidTr="000127DD">
        <w:trPr>
          <w:trHeight w:val="288"/>
        </w:trPr>
        <w:tc>
          <w:tcPr>
            <w:tcW w:w="2586" w:type="dxa"/>
            <w:tcBorders>
              <w:top w:val="single" w:sz="8" w:space="0" w:color="000000"/>
              <w:bottom w:val="single" w:sz="8" w:space="0" w:color="000000"/>
            </w:tcBorders>
            <w:shd w:val="clear" w:color="auto" w:fill="auto"/>
            <w:noWrap/>
            <w:hideMark/>
          </w:tcPr>
          <w:p w14:paraId="4BFC5C07" w14:textId="77777777" w:rsidR="000127DD" w:rsidRPr="00F10391" w:rsidRDefault="000127DD" w:rsidP="0063065F">
            <w:pPr>
              <w:jc w:val="left"/>
            </w:pPr>
            <w:r w:rsidRPr="00F10391">
              <w:t> </w:t>
            </w:r>
          </w:p>
        </w:tc>
        <w:tc>
          <w:tcPr>
            <w:tcW w:w="1041" w:type="dxa"/>
            <w:tcBorders>
              <w:top w:val="single" w:sz="8" w:space="0" w:color="000000"/>
              <w:bottom w:val="single" w:sz="8" w:space="0" w:color="000000"/>
            </w:tcBorders>
            <w:shd w:val="clear" w:color="auto" w:fill="auto"/>
            <w:noWrap/>
            <w:hideMark/>
          </w:tcPr>
          <w:p w14:paraId="2B636929" w14:textId="77777777" w:rsidR="000127DD" w:rsidRPr="00F10391" w:rsidRDefault="000127DD" w:rsidP="0063065F">
            <w:pPr>
              <w:jc w:val="left"/>
            </w:pPr>
            <w:r w:rsidRPr="00F10391">
              <w:t>Avoid cancer</w:t>
            </w:r>
          </w:p>
        </w:tc>
        <w:tc>
          <w:tcPr>
            <w:tcW w:w="1276" w:type="dxa"/>
            <w:tcBorders>
              <w:top w:val="single" w:sz="8" w:space="0" w:color="000000"/>
              <w:bottom w:val="single" w:sz="8" w:space="0" w:color="000000"/>
            </w:tcBorders>
            <w:shd w:val="clear" w:color="auto" w:fill="auto"/>
            <w:noWrap/>
            <w:hideMark/>
          </w:tcPr>
          <w:p w14:paraId="1FC623F6" w14:textId="77777777" w:rsidR="000127DD" w:rsidRPr="00F10391" w:rsidRDefault="000127DD" w:rsidP="0063065F">
            <w:pPr>
              <w:jc w:val="left"/>
            </w:pPr>
            <w:r w:rsidRPr="00F10391">
              <w:t>Avoid side effects</w:t>
            </w:r>
          </w:p>
        </w:tc>
        <w:tc>
          <w:tcPr>
            <w:tcW w:w="1276" w:type="dxa"/>
            <w:tcBorders>
              <w:top w:val="single" w:sz="8" w:space="0" w:color="000000"/>
              <w:bottom w:val="single" w:sz="8" w:space="0" w:color="000000"/>
            </w:tcBorders>
            <w:shd w:val="clear" w:color="auto" w:fill="auto"/>
            <w:noWrap/>
            <w:hideMark/>
          </w:tcPr>
          <w:p w14:paraId="0F5E5496" w14:textId="77777777" w:rsidR="000127DD" w:rsidRPr="00F10391" w:rsidRDefault="000127DD" w:rsidP="0063065F">
            <w:pPr>
              <w:jc w:val="left"/>
            </w:pPr>
            <w:r w:rsidRPr="00F10391">
              <w:t>Avoid false positives</w:t>
            </w:r>
          </w:p>
        </w:tc>
        <w:tc>
          <w:tcPr>
            <w:tcW w:w="1287" w:type="dxa"/>
            <w:tcBorders>
              <w:top w:val="single" w:sz="8" w:space="0" w:color="000000"/>
              <w:bottom w:val="single" w:sz="8" w:space="0" w:color="000000"/>
            </w:tcBorders>
            <w:shd w:val="clear" w:color="auto" w:fill="auto"/>
            <w:noWrap/>
            <w:hideMark/>
          </w:tcPr>
          <w:p w14:paraId="30DFA528" w14:textId="77777777" w:rsidR="000127DD" w:rsidRPr="00F10391" w:rsidRDefault="000127DD" w:rsidP="0063065F">
            <w:pPr>
              <w:jc w:val="left"/>
            </w:pPr>
            <w:r w:rsidRPr="00F10391">
              <w:t>Procedure</w:t>
            </w:r>
          </w:p>
        </w:tc>
        <w:tc>
          <w:tcPr>
            <w:tcW w:w="1610" w:type="dxa"/>
            <w:tcBorders>
              <w:top w:val="single" w:sz="8" w:space="0" w:color="000000"/>
              <w:bottom w:val="single" w:sz="8" w:space="0" w:color="000000"/>
            </w:tcBorders>
            <w:shd w:val="clear" w:color="auto" w:fill="auto"/>
            <w:noWrap/>
            <w:hideMark/>
          </w:tcPr>
          <w:p w14:paraId="0ECFBEE2" w14:textId="77777777" w:rsidR="000127DD" w:rsidRPr="00F10391" w:rsidRDefault="000127DD" w:rsidP="0063065F">
            <w:pPr>
              <w:jc w:val="left"/>
            </w:pPr>
            <w:r w:rsidRPr="00F10391">
              <w:t>Derived weights</w:t>
            </w:r>
          </w:p>
        </w:tc>
      </w:tr>
      <w:tr w:rsidR="000127DD" w:rsidRPr="00F10391" w14:paraId="1D66B968" w14:textId="77777777" w:rsidTr="000127DD">
        <w:trPr>
          <w:trHeight w:val="288"/>
        </w:trPr>
        <w:tc>
          <w:tcPr>
            <w:tcW w:w="2586" w:type="dxa"/>
            <w:shd w:val="clear" w:color="auto" w:fill="C0C0C0"/>
            <w:noWrap/>
            <w:hideMark/>
          </w:tcPr>
          <w:p w14:paraId="2903E2C6" w14:textId="77777777" w:rsidR="000127DD" w:rsidRPr="00F10391" w:rsidRDefault="000127DD" w:rsidP="0063065F">
            <w:pPr>
              <w:jc w:val="left"/>
            </w:pPr>
            <w:r w:rsidRPr="00F10391">
              <w:t>Avoid cancer</w:t>
            </w:r>
          </w:p>
        </w:tc>
        <w:tc>
          <w:tcPr>
            <w:tcW w:w="1041" w:type="dxa"/>
            <w:tcBorders>
              <w:left w:val="nil"/>
              <w:right w:val="nil"/>
            </w:tcBorders>
            <w:shd w:val="clear" w:color="auto" w:fill="C0C0C0"/>
            <w:noWrap/>
            <w:hideMark/>
          </w:tcPr>
          <w:p w14:paraId="151F8612" w14:textId="77777777" w:rsidR="000127DD" w:rsidRPr="00F10391" w:rsidRDefault="000127DD" w:rsidP="0063065F">
            <w:pPr>
              <w:jc w:val="left"/>
            </w:pPr>
            <w:r w:rsidRPr="00F10391">
              <w:t>1</w:t>
            </w:r>
          </w:p>
        </w:tc>
        <w:tc>
          <w:tcPr>
            <w:tcW w:w="1276" w:type="dxa"/>
            <w:shd w:val="clear" w:color="auto" w:fill="C0C0C0"/>
            <w:noWrap/>
            <w:hideMark/>
          </w:tcPr>
          <w:p w14:paraId="75672698" w14:textId="77777777" w:rsidR="000127DD" w:rsidRPr="00F10391" w:rsidRDefault="000127DD" w:rsidP="0063065F">
            <w:pPr>
              <w:jc w:val="left"/>
            </w:pPr>
            <w:r w:rsidRPr="00F10391">
              <w:t>2</w:t>
            </w:r>
          </w:p>
        </w:tc>
        <w:tc>
          <w:tcPr>
            <w:tcW w:w="1276" w:type="dxa"/>
            <w:tcBorders>
              <w:left w:val="nil"/>
              <w:right w:val="nil"/>
            </w:tcBorders>
            <w:shd w:val="clear" w:color="auto" w:fill="C0C0C0"/>
            <w:noWrap/>
            <w:hideMark/>
          </w:tcPr>
          <w:p w14:paraId="11408F0E" w14:textId="77777777" w:rsidR="000127DD" w:rsidRPr="00F10391" w:rsidRDefault="000127DD" w:rsidP="0063065F">
            <w:pPr>
              <w:jc w:val="left"/>
            </w:pPr>
            <w:r w:rsidRPr="00F10391">
              <w:t>1</w:t>
            </w:r>
          </w:p>
        </w:tc>
        <w:tc>
          <w:tcPr>
            <w:tcW w:w="1287" w:type="dxa"/>
            <w:shd w:val="clear" w:color="auto" w:fill="C0C0C0"/>
            <w:noWrap/>
            <w:hideMark/>
          </w:tcPr>
          <w:p w14:paraId="74BCCD0C" w14:textId="77777777" w:rsidR="000127DD" w:rsidRPr="00F10391" w:rsidRDefault="000127DD" w:rsidP="0063065F">
            <w:pPr>
              <w:jc w:val="left"/>
            </w:pPr>
            <w:r w:rsidRPr="00F10391">
              <w:t>3</w:t>
            </w:r>
          </w:p>
        </w:tc>
        <w:tc>
          <w:tcPr>
            <w:tcW w:w="1610" w:type="dxa"/>
            <w:tcBorders>
              <w:left w:val="nil"/>
              <w:right w:val="nil"/>
            </w:tcBorders>
            <w:shd w:val="clear" w:color="auto" w:fill="C0C0C0"/>
            <w:noWrap/>
            <w:hideMark/>
          </w:tcPr>
          <w:p w14:paraId="0A1331B6" w14:textId="77777777" w:rsidR="000127DD" w:rsidRPr="00F10391" w:rsidRDefault="000127DD" w:rsidP="0063065F">
            <w:pPr>
              <w:jc w:val="left"/>
            </w:pPr>
            <w:r w:rsidRPr="00F10391">
              <w:t>0.365</w:t>
            </w:r>
          </w:p>
        </w:tc>
      </w:tr>
      <w:tr w:rsidR="000127DD" w:rsidRPr="00F10391" w14:paraId="03E07D6A" w14:textId="77777777" w:rsidTr="000127DD">
        <w:trPr>
          <w:trHeight w:val="288"/>
        </w:trPr>
        <w:tc>
          <w:tcPr>
            <w:tcW w:w="2586" w:type="dxa"/>
            <w:shd w:val="clear" w:color="auto" w:fill="auto"/>
            <w:noWrap/>
            <w:hideMark/>
          </w:tcPr>
          <w:p w14:paraId="08E39DA8" w14:textId="77777777" w:rsidR="000127DD" w:rsidRPr="00F10391" w:rsidRDefault="000127DD" w:rsidP="0063065F">
            <w:pPr>
              <w:jc w:val="left"/>
            </w:pPr>
            <w:r w:rsidRPr="00F10391">
              <w:t>Avoid side effects</w:t>
            </w:r>
          </w:p>
        </w:tc>
        <w:tc>
          <w:tcPr>
            <w:tcW w:w="1041" w:type="dxa"/>
            <w:shd w:val="clear" w:color="auto" w:fill="auto"/>
            <w:noWrap/>
            <w:hideMark/>
          </w:tcPr>
          <w:p w14:paraId="1F23E577" w14:textId="77777777" w:rsidR="000127DD" w:rsidRPr="00F10391" w:rsidRDefault="000127DD" w:rsidP="0063065F">
            <w:pPr>
              <w:jc w:val="left"/>
            </w:pPr>
            <w:r w:rsidRPr="00F10391">
              <w:t>0.5</w:t>
            </w:r>
          </w:p>
        </w:tc>
        <w:tc>
          <w:tcPr>
            <w:tcW w:w="1276" w:type="dxa"/>
            <w:shd w:val="clear" w:color="auto" w:fill="auto"/>
            <w:noWrap/>
            <w:hideMark/>
          </w:tcPr>
          <w:p w14:paraId="3F26B8E2" w14:textId="77777777" w:rsidR="000127DD" w:rsidRPr="00F10391" w:rsidRDefault="000127DD" w:rsidP="0063065F">
            <w:pPr>
              <w:jc w:val="left"/>
            </w:pPr>
            <w:r w:rsidRPr="00F10391">
              <w:t>1</w:t>
            </w:r>
          </w:p>
        </w:tc>
        <w:tc>
          <w:tcPr>
            <w:tcW w:w="1276" w:type="dxa"/>
            <w:shd w:val="clear" w:color="auto" w:fill="auto"/>
            <w:noWrap/>
            <w:hideMark/>
          </w:tcPr>
          <w:p w14:paraId="4B8F87D9" w14:textId="77777777" w:rsidR="000127DD" w:rsidRPr="00F10391" w:rsidRDefault="000127DD" w:rsidP="0063065F">
            <w:pPr>
              <w:jc w:val="left"/>
            </w:pPr>
            <w:r w:rsidRPr="00F10391">
              <w:t>1</w:t>
            </w:r>
          </w:p>
        </w:tc>
        <w:tc>
          <w:tcPr>
            <w:tcW w:w="1287" w:type="dxa"/>
            <w:shd w:val="clear" w:color="auto" w:fill="auto"/>
            <w:noWrap/>
            <w:hideMark/>
          </w:tcPr>
          <w:p w14:paraId="5C5B7030" w14:textId="77777777" w:rsidR="000127DD" w:rsidRPr="00F10391" w:rsidRDefault="000127DD" w:rsidP="0063065F">
            <w:pPr>
              <w:jc w:val="left"/>
            </w:pPr>
            <w:r w:rsidRPr="00F10391">
              <w:t>2</w:t>
            </w:r>
          </w:p>
        </w:tc>
        <w:tc>
          <w:tcPr>
            <w:tcW w:w="1610" w:type="dxa"/>
            <w:shd w:val="clear" w:color="auto" w:fill="auto"/>
            <w:noWrap/>
            <w:hideMark/>
          </w:tcPr>
          <w:p w14:paraId="3AEBD1E8" w14:textId="77777777" w:rsidR="000127DD" w:rsidRPr="00F10391" w:rsidRDefault="000127DD" w:rsidP="0063065F">
            <w:pPr>
              <w:jc w:val="left"/>
            </w:pPr>
            <w:r w:rsidRPr="00F10391">
              <w:t>0.233</w:t>
            </w:r>
          </w:p>
        </w:tc>
      </w:tr>
      <w:tr w:rsidR="000127DD" w:rsidRPr="00F10391" w14:paraId="54958B05" w14:textId="77777777" w:rsidTr="000127DD">
        <w:trPr>
          <w:trHeight w:val="288"/>
        </w:trPr>
        <w:tc>
          <w:tcPr>
            <w:tcW w:w="2586" w:type="dxa"/>
            <w:shd w:val="clear" w:color="auto" w:fill="C0C0C0"/>
            <w:noWrap/>
            <w:hideMark/>
          </w:tcPr>
          <w:p w14:paraId="5637ED99" w14:textId="77777777" w:rsidR="000127DD" w:rsidRPr="00F10391" w:rsidRDefault="000127DD" w:rsidP="0063065F">
            <w:pPr>
              <w:jc w:val="left"/>
            </w:pPr>
            <w:r w:rsidRPr="00F10391">
              <w:t>Avoid false positives</w:t>
            </w:r>
          </w:p>
        </w:tc>
        <w:tc>
          <w:tcPr>
            <w:tcW w:w="1041" w:type="dxa"/>
            <w:tcBorders>
              <w:left w:val="nil"/>
              <w:right w:val="nil"/>
            </w:tcBorders>
            <w:shd w:val="clear" w:color="auto" w:fill="C0C0C0"/>
            <w:noWrap/>
            <w:hideMark/>
          </w:tcPr>
          <w:p w14:paraId="3AA2F939" w14:textId="77777777" w:rsidR="000127DD" w:rsidRPr="00F10391" w:rsidRDefault="000127DD" w:rsidP="0063065F">
            <w:pPr>
              <w:jc w:val="left"/>
            </w:pPr>
            <w:r w:rsidRPr="00F10391">
              <w:t>1</w:t>
            </w:r>
          </w:p>
        </w:tc>
        <w:tc>
          <w:tcPr>
            <w:tcW w:w="1276" w:type="dxa"/>
            <w:shd w:val="clear" w:color="auto" w:fill="C0C0C0"/>
            <w:noWrap/>
            <w:hideMark/>
          </w:tcPr>
          <w:p w14:paraId="193FD61A" w14:textId="77777777" w:rsidR="000127DD" w:rsidRPr="00F10391" w:rsidRDefault="000127DD" w:rsidP="0063065F">
            <w:pPr>
              <w:jc w:val="left"/>
            </w:pPr>
            <w:r w:rsidRPr="00F10391">
              <w:t>1</w:t>
            </w:r>
          </w:p>
        </w:tc>
        <w:tc>
          <w:tcPr>
            <w:tcW w:w="1276" w:type="dxa"/>
            <w:tcBorders>
              <w:left w:val="nil"/>
              <w:right w:val="nil"/>
            </w:tcBorders>
            <w:shd w:val="clear" w:color="auto" w:fill="C0C0C0"/>
            <w:noWrap/>
            <w:hideMark/>
          </w:tcPr>
          <w:p w14:paraId="4105677B" w14:textId="77777777" w:rsidR="000127DD" w:rsidRPr="00F10391" w:rsidRDefault="000127DD" w:rsidP="0063065F">
            <w:pPr>
              <w:jc w:val="left"/>
            </w:pPr>
            <w:r w:rsidRPr="00F10391">
              <w:t>1</w:t>
            </w:r>
          </w:p>
        </w:tc>
        <w:tc>
          <w:tcPr>
            <w:tcW w:w="1287" w:type="dxa"/>
            <w:shd w:val="clear" w:color="auto" w:fill="C0C0C0"/>
            <w:noWrap/>
            <w:hideMark/>
          </w:tcPr>
          <w:p w14:paraId="075FB0D4" w14:textId="77777777" w:rsidR="000127DD" w:rsidRPr="00F10391" w:rsidRDefault="000127DD" w:rsidP="0063065F">
            <w:pPr>
              <w:jc w:val="left"/>
            </w:pPr>
            <w:r w:rsidRPr="00F10391">
              <w:t>2</w:t>
            </w:r>
          </w:p>
        </w:tc>
        <w:tc>
          <w:tcPr>
            <w:tcW w:w="1610" w:type="dxa"/>
            <w:tcBorders>
              <w:left w:val="nil"/>
              <w:right w:val="nil"/>
            </w:tcBorders>
            <w:shd w:val="clear" w:color="auto" w:fill="C0C0C0"/>
            <w:noWrap/>
            <w:hideMark/>
          </w:tcPr>
          <w:p w14:paraId="7D0F7201" w14:textId="77777777" w:rsidR="000127DD" w:rsidRPr="00F10391" w:rsidRDefault="000127DD" w:rsidP="0063065F">
            <w:pPr>
              <w:jc w:val="left"/>
            </w:pPr>
            <w:r w:rsidRPr="00F10391">
              <w:t>0.277</w:t>
            </w:r>
          </w:p>
        </w:tc>
      </w:tr>
      <w:tr w:rsidR="000127DD" w:rsidRPr="00F10391" w14:paraId="3F2ADC59" w14:textId="77777777" w:rsidTr="000127DD">
        <w:trPr>
          <w:trHeight w:val="288"/>
        </w:trPr>
        <w:tc>
          <w:tcPr>
            <w:tcW w:w="2586" w:type="dxa"/>
            <w:shd w:val="clear" w:color="auto" w:fill="auto"/>
            <w:noWrap/>
            <w:hideMark/>
          </w:tcPr>
          <w:p w14:paraId="080325FF" w14:textId="77777777" w:rsidR="000127DD" w:rsidRPr="00F10391" w:rsidRDefault="000127DD" w:rsidP="0063065F">
            <w:pPr>
              <w:jc w:val="left"/>
            </w:pPr>
            <w:r w:rsidRPr="00F10391">
              <w:t>Procedure</w:t>
            </w:r>
          </w:p>
        </w:tc>
        <w:tc>
          <w:tcPr>
            <w:tcW w:w="1041" w:type="dxa"/>
            <w:shd w:val="clear" w:color="auto" w:fill="auto"/>
            <w:noWrap/>
            <w:hideMark/>
          </w:tcPr>
          <w:p w14:paraId="7BD55FAE" w14:textId="77777777" w:rsidR="000127DD" w:rsidRPr="00F10391" w:rsidRDefault="000127DD" w:rsidP="0063065F">
            <w:pPr>
              <w:jc w:val="left"/>
            </w:pPr>
            <w:r w:rsidRPr="00F10391">
              <w:t>0.33</w:t>
            </w:r>
          </w:p>
        </w:tc>
        <w:tc>
          <w:tcPr>
            <w:tcW w:w="1276" w:type="dxa"/>
            <w:shd w:val="clear" w:color="auto" w:fill="auto"/>
            <w:noWrap/>
            <w:hideMark/>
          </w:tcPr>
          <w:p w14:paraId="43C49151" w14:textId="77777777" w:rsidR="000127DD" w:rsidRPr="00F10391" w:rsidRDefault="000127DD" w:rsidP="0063065F">
            <w:pPr>
              <w:jc w:val="left"/>
            </w:pPr>
            <w:r w:rsidRPr="00F10391">
              <w:t>0.5</w:t>
            </w:r>
          </w:p>
        </w:tc>
        <w:tc>
          <w:tcPr>
            <w:tcW w:w="1276" w:type="dxa"/>
            <w:shd w:val="clear" w:color="auto" w:fill="auto"/>
            <w:noWrap/>
            <w:hideMark/>
          </w:tcPr>
          <w:p w14:paraId="6707BB0C" w14:textId="77777777" w:rsidR="000127DD" w:rsidRPr="00F10391" w:rsidRDefault="000127DD" w:rsidP="0063065F">
            <w:pPr>
              <w:jc w:val="left"/>
            </w:pPr>
            <w:r w:rsidRPr="00F10391">
              <w:t>0.5</w:t>
            </w:r>
          </w:p>
        </w:tc>
        <w:tc>
          <w:tcPr>
            <w:tcW w:w="1287" w:type="dxa"/>
            <w:shd w:val="clear" w:color="auto" w:fill="auto"/>
            <w:noWrap/>
            <w:hideMark/>
          </w:tcPr>
          <w:p w14:paraId="2E9FA768" w14:textId="77777777" w:rsidR="000127DD" w:rsidRPr="00F10391" w:rsidRDefault="000127DD" w:rsidP="0063065F">
            <w:pPr>
              <w:jc w:val="left"/>
            </w:pPr>
            <w:r w:rsidRPr="00F10391">
              <w:t>1</w:t>
            </w:r>
          </w:p>
        </w:tc>
        <w:tc>
          <w:tcPr>
            <w:tcW w:w="1610" w:type="dxa"/>
            <w:shd w:val="clear" w:color="auto" w:fill="auto"/>
            <w:noWrap/>
            <w:hideMark/>
          </w:tcPr>
          <w:p w14:paraId="3DE617C6" w14:textId="77777777" w:rsidR="000127DD" w:rsidRPr="00F10391" w:rsidRDefault="000127DD" w:rsidP="0063065F">
            <w:pPr>
              <w:jc w:val="left"/>
            </w:pPr>
            <w:r w:rsidRPr="00F10391">
              <w:t>0.125</w:t>
            </w:r>
          </w:p>
        </w:tc>
      </w:tr>
    </w:tbl>
    <w:p w14:paraId="6A541EDE" w14:textId="77777777" w:rsidR="000127DD" w:rsidRPr="00F10391" w:rsidRDefault="000127DD" w:rsidP="00494A9A"/>
    <w:p w14:paraId="38311100" w14:textId="77777777" w:rsidR="00D22CE3" w:rsidRPr="00F10391" w:rsidRDefault="00D22CE3" w:rsidP="00494A9A">
      <w:r w:rsidRPr="00F10391">
        <w:t xml:space="preserve">An inconsistency index is also calculated to ensure that relationships between pairs do not conflict with each other. This ensures that the weightings are rational – if, for example, false positives were deemed more important than colorectal cancer, which was in turn more important than avoiding side effects, which was more important than avoiding false positives, then the weightings would be unworkable and results likely to be flawed. The rule of thumb is that if the inconsistency index is below 0.1, then this is deemed acceptable. </w:t>
      </w:r>
    </w:p>
    <w:p w14:paraId="4D660B7C" w14:textId="77777777" w:rsidR="00D22CE3" w:rsidRPr="00F10391" w:rsidRDefault="00D22CE3" w:rsidP="00490B5D">
      <w:r w:rsidRPr="00F10391">
        <w:t>A clear advantage of the AHP approach is its use of intuitive, verbal reasoning that can be easily understood by non-experts and those uncomfortable working explicitly with numbers. This approach may therefore prove useful in healthcare scenarios, where important stakeholders may not have significant numerical experience.</w:t>
      </w:r>
    </w:p>
    <w:p w14:paraId="5ED36FC2" w14:textId="77777777" w:rsidR="00D22CE3" w:rsidRPr="00F10391" w:rsidRDefault="00D22CE3" w:rsidP="00490B5D">
      <w:pPr>
        <w:rPr>
          <w:color w:val="FF0000"/>
        </w:rPr>
      </w:pPr>
      <w:r w:rsidRPr="00F10391">
        <w:t>Fuzzy AHP follows similar procedures but incorporates the concept of ‘fuzzy sets’ which allow for ‘degrees of membership’. This can be used to signify uncertainty, in contrast with the deterministic result of the standard AHP technique.</w:t>
      </w:r>
      <w:r w:rsidRPr="00F10391">
        <w:rPr>
          <w:color w:val="FF0000"/>
        </w:rPr>
        <w:t xml:space="preserve"> </w:t>
      </w:r>
    </w:p>
    <w:p w14:paraId="70734BE7" w14:textId="77777777" w:rsidR="00D22CE3" w:rsidRPr="00F10391" w:rsidRDefault="00D22CE3" w:rsidP="00D24504">
      <w:pPr>
        <w:rPr>
          <w:rStyle w:val="Heading6Char"/>
        </w:rPr>
      </w:pPr>
      <w:bookmarkStart w:id="141" w:name="_Toc303953394"/>
    </w:p>
    <w:p w14:paraId="1233C260" w14:textId="77777777" w:rsidR="00D22CE3" w:rsidRPr="00F10391" w:rsidRDefault="00D22CE3" w:rsidP="00D24504">
      <w:pPr>
        <w:pStyle w:val="Heading4"/>
      </w:pPr>
      <w:bookmarkStart w:id="142" w:name="_Toc441508929"/>
      <w:bookmarkStart w:id="143" w:name="_Toc453235367"/>
      <w:bookmarkStart w:id="144" w:name="_Toc453595440"/>
      <w:bookmarkStart w:id="145" w:name="_Toc476241537"/>
      <w:r w:rsidRPr="00F10391">
        <w:t>2.5.3.3</w:t>
      </w:r>
      <w:r w:rsidRPr="00F10391">
        <w:tab/>
      </w:r>
      <w:r w:rsidRPr="00F10391">
        <w:tab/>
        <w:t>Discrete-choice experiments (DCEs)</w:t>
      </w:r>
      <w:bookmarkEnd w:id="142"/>
      <w:bookmarkEnd w:id="143"/>
      <w:bookmarkEnd w:id="144"/>
      <w:bookmarkEnd w:id="145"/>
    </w:p>
    <w:p w14:paraId="66B48E40" w14:textId="77777777" w:rsidR="00D22CE3" w:rsidRPr="00F10391" w:rsidRDefault="00D22CE3" w:rsidP="006A5AA3">
      <w:pPr>
        <w:rPr>
          <w:highlight w:val="magenta"/>
        </w:rPr>
      </w:pPr>
      <w:r w:rsidRPr="00F10391">
        <w:t xml:space="preserve">DCEs are a stated preference method, which are used for studying the preferences of patients and other stakeholders </w:t>
      </w:r>
      <w:r w:rsidRPr="00F10391">
        <w:fldChar w:fldCharType="begin"/>
      </w:r>
      <w:r w:rsidR="00700267">
        <w:instrText xml:space="preserve"> ADDIN EN.CITE &lt;EndNote&gt;&lt;Cite&gt;&lt;Author&gt;Bridges&lt;/Author&gt;&lt;Year&gt;2003&lt;/Year&gt;&lt;RecNum&gt;18&lt;/RecNum&gt;&lt;DisplayText&gt;[130]&lt;/DisplayText&gt;&lt;record&gt;&lt;rec-number&gt;18&lt;/rec-number&gt;&lt;foreign-keys&gt;&lt;key app="EN" db-id="sz9092dv2s5fpze9wpgx0zxgv5ar00aezrvf" timestamp="0"&gt;18&lt;/key&gt;&lt;/foreign-keys&gt;&lt;ref-type name="Journal Article"&gt;17&lt;/ref-type&gt;&lt;contributors&gt;&lt;authors&gt;&lt;author&gt;Bridges, JF&lt;/author&gt;&lt;/authors&gt;&lt;/contributors&gt;&lt;titles&gt;&lt;title&gt;Stated preference methods in health care evaluation: an emerging methodological paradigm in health economics&lt;/title&gt;&lt;secondary-title&gt;Applied health economics and health policy&lt;/secondary-title&gt;&lt;/titles&gt;&lt;pages&gt;213-224&lt;/pages&gt;&lt;volume&gt;2&lt;/volume&gt;&lt;number&gt;4&lt;/number&gt;&lt;dates&gt;&lt;year&gt;2003&lt;/year&gt;&lt;/dates&gt;&lt;isbn&gt;1175-5652&lt;/isbn&gt;&lt;urls&gt;&lt;/urls&gt;&lt;/record&gt;&lt;/Cite&gt;&lt;/EndNote&gt;</w:instrText>
      </w:r>
      <w:r w:rsidRPr="00F10391">
        <w:fldChar w:fldCharType="separate"/>
      </w:r>
      <w:r w:rsidR="00700267">
        <w:rPr>
          <w:noProof/>
        </w:rPr>
        <w:t>[130]</w:t>
      </w:r>
      <w:r w:rsidRPr="00F10391">
        <w:fldChar w:fldCharType="end"/>
      </w:r>
      <w:r w:rsidRPr="00F10391">
        <w:t xml:space="preserve">. DCE participants are offered a series of vignettes, each containing two (or sometimes more) options scored on multiple criteria, and asked to choose which one they would prefer, an example of which is shown in table 2.6 below (using fewer criteria than previous examples for simplicity). </w:t>
      </w:r>
    </w:p>
    <w:p w14:paraId="37C221FD" w14:textId="77777777" w:rsidR="00D22CE3" w:rsidRPr="00F10391" w:rsidRDefault="00D22CE3" w:rsidP="006942ED">
      <w:r w:rsidRPr="00F10391">
        <w:t xml:space="preserve">Based upon sufficient numbers of such decisions for multiple such questions, the implied weightings of each criterion can be deduced using multinomial regression </w:t>
      </w:r>
      <w:r w:rsidRPr="00F10391">
        <w:fldChar w:fldCharType="begin"/>
      </w:r>
      <w:r w:rsidR="00700267">
        <w:instrText xml:space="preserve"> ADDIN EN.CITE &lt;EndNote&gt;&lt;Cite&gt;&lt;Author&gt;Rowen&lt;/Author&gt;&lt;Year&gt;2014&lt;/Year&gt;&lt;RecNum&gt;394&lt;/RecNum&gt;&lt;DisplayText&gt;[131]&lt;/DisplayText&gt;&lt;record&gt;&lt;rec-number&gt;394&lt;/rec-number&gt;&lt;foreign-keys&gt;&lt;key app="EN" db-id="sz9092dv2s5fpze9wpgx0zxgv5ar00aezrvf" timestamp="1458053048"&gt;394&lt;/key&gt;&lt;/foreign-keys&gt;&lt;ref-type name="Journal Article"&gt;17&lt;/ref-type&gt;&lt;contributors&gt;&lt;authors&gt;&lt;author&gt;Rowen, Donna&lt;/author&gt;&lt;author&gt;Brazier, John&lt;/author&gt;&lt;author&gt;Van Hout, Ben&lt;/author&gt;&lt;/authors&gt;&lt;/contributors&gt;&lt;titles&gt;&lt;title&gt;A comparison of methods for converting DCE values onto the full health-dead QALY scale&lt;/title&gt;&lt;secondary-title&gt;Medical Decision Making&lt;/secondary-title&gt;&lt;/titles&gt;&lt;periodical&gt;&lt;full-title&gt;Medical Decision Making&lt;/full-title&gt;&lt;/periodical&gt;&lt;pages&gt;0272989X14559542&lt;/pages&gt;&lt;dates&gt;&lt;year&gt;2014&lt;/year&gt;&lt;/dates&gt;&lt;isbn&gt;0272-989X&lt;/isbn&gt;&lt;urls&gt;&lt;/urls&gt;&lt;/record&gt;&lt;/Cite&gt;&lt;/EndNote&gt;</w:instrText>
      </w:r>
      <w:r w:rsidRPr="00F10391">
        <w:fldChar w:fldCharType="separate"/>
      </w:r>
      <w:r w:rsidR="00700267">
        <w:rPr>
          <w:noProof/>
        </w:rPr>
        <w:t>[131]</w:t>
      </w:r>
      <w:r w:rsidRPr="00F10391">
        <w:fldChar w:fldCharType="end"/>
      </w:r>
      <w:r w:rsidRPr="00F10391">
        <w:t xml:space="preserve">. While in practice, choosing between 6 screening options may be easier to do ‘by hand’ or through deliberation than by the use of such an approach, DCE would be appropriate where there were too many options to realistically expect decision-makers to be able to rank the options in this way, but where importance of the criteria needs to be deduced somehow, providing an example of importance of choosing a model appropriate to the decision context. Similarly, this approach can be used for where large numbers of respondents are required, to ascertain a general picture of population preferences using a relatively user-friendly format </w:t>
      </w:r>
      <w:r w:rsidRPr="00F10391">
        <w:fldChar w:fldCharType="begin"/>
      </w:r>
      <w:r w:rsidR="00700267">
        <w:instrText xml:space="preserve"> ADDIN EN.CITE &lt;EndNote&gt;&lt;Cite&gt;&lt;Author&gt;Malhotra&lt;/Author&gt;&lt;Year&gt;2015&lt;/Year&gt;&lt;RecNum&gt;392&lt;/RecNum&gt;&lt;DisplayText&gt;[132, 133]&lt;/DisplayText&gt;&lt;record&gt;&lt;rec-number&gt;392&lt;/rec-number&gt;&lt;foreign-keys&gt;&lt;key app="EN" db-id="sz9092dv2s5fpze9wpgx0zxgv5ar00aezrvf" timestamp="1458052770"&gt;392&lt;/key&gt;&lt;/foreign-keys&gt;&lt;ref-type name="Journal Article"&gt;17&lt;/ref-type&gt;&lt;contributors&gt;&lt;authors&gt;&lt;author&gt;Malhotra, Chetna&lt;/author&gt;&lt;author&gt;Farooqui, Muhammad Assad&lt;/author&gt;&lt;author&gt;Kanesvaran, Ravindran&lt;/author&gt;&lt;author&gt;Bilger, Marcel&lt;/author&gt;&lt;author&gt;Finkelstein, Eric&lt;/author&gt;&lt;/authors&gt;&lt;/contributors&gt;&lt;titles&gt;&lt;title&gt;Comparison of preferences for end-of-life care among patients with advanced cancer and their caregivers: A discrete choice experiment&lt;/title&gt;&lt;secondary-title&gt;Palliative medicine&lt;/secondary-title&gt;&lt;/titles&gt;&lt;periodical&gt;&lt;full-title&gt;Palliative medicine&lt;/full-title&gt;&lt;/periodical&gt;&lt;pages&gt;842-850&lt;/pages&gt;&lt;volume&gt;29&lt;/volume&gt;&lt;number&gt;9&lt;/number&gt;&lt;dates&gt;&lt;year&gt;2015&lt;/year&gt;&lt;/dates&gt;&lt;isbn&gt;0269-2163&lt;/isbn&gt;&lt;urls&gt;&lt;/urls&gt;&lt;/record&gt;&lt;/Cite&gt;&lt;Cite&gt;&lt;Author&gt;Finkelstein&lt;/Author&gt;&lt;Year&gt;2015&lt;/Year&gt;&lt;RecNum&gt;393&lt;/RecNum&gt;&lt;record&gt;&lt;rec-number&gt;393&lt;/rec-number&gt;&lt;foreign-keys&gt;&lt;key app="EN" db-id="sz9092dv2s5fpze9wpgx0zxgv5ar00aezrvf" timestamp="1458052773"&gt;393&lt;/key&gt;&lt;/foreign-keys&gt;&lt;ref-type name="Journal Article"&gt;17&lt;/ref-type&gt;&lt;contributors&gt;&lt;authors&gt;&lt;author&gt;Finkelstein, Eric A&lt;/author&gt;&lt;author&gt;Bilger, Marcel&lt;/author&gt;&lt;author&gt;Flynn, Terry N&lt;/author&gt;&lt;author&gt;Malhotra, Chetna&lt;/author&gt;&lt;/authors&gt;&lt;/contributors&gt;&lt;titles&gt;&lt;title&gt;Preferences for end-of-life care among community-dwelling older adults and patients with advanced cancer: A discrete choice experiment&lt;/title&gt;&lt;secondary-title&gt;Health Policy&lt;/secondary-title&gt;&lt;/titles&gt;&lt;periodical&gt;&lt;full-title&gt;Health Policy&lt;/full-title&gt;&lt;/periodical&gt;&lt;pages&gt;1482-1489&lt;/pages&gt;&lt;volume&gt;119&lt;/volume&gt;&lt;number&gt;11&lt;/number&gt;&lt;dates&gt;&lt;year&gt;2015&lt;/year&gt;&lt;/dates&gt;&lt;isbn&gt;0168-8510&lt;/isbn&gt;&lt;urls&gt;&lt;/urls&gt;&lt;/record&gt;&lt;/Cite&gt;&lt;/EndNote&gt;</w:instrText>
      </w:r>
      <w:r w:rsidRPr="00F10391">
        <w:fldChar w:fldCharType="separate"/>
      </w:r>
      <w:r w:rsidR="00700267">
        <w:rPr>
          <w:noProof/>
        </w:rPr>
        <w:t>[132, 133]</w:t>
      </w:r>
      <w:r w:rsidRPr="00F10391">
        <w:fldChar w:fldCharType="end"/>
      </w:r>
      <w:r w:rsidRPr="00F10391">
        <w:t xml:space="preserve">. The options available need not correspond to actual treatments options – in fact, with careful </w:t>
      </w:r>
      <w:r w:rsidRPr="00F10391">
        <w:lastRenderedPageBreak/>
        <w:t xml:space="preserve">experimental design, it may be possible to reduce the number of comparisons necessary to generate a statistically meaningful mode using hypothetical examples. DCE approaches have increasingly been used over recent years in healthcare settings </w:t>
      </w:r>
      <w:r w:rsidRPr="00F10391">
        <w:fldChar w:fldCharType="begin"/>
      </w:r>
      <w:r w:rsidR="00700267">
        <w:instrText xml:space="preserve"> ADDIN EN.CITE &lt;EndNote&gt;&lt;Cite&gt;&lt;Author&gt;Reed Johnson&lt;/Author&gt;&lt;Year&gt;2013&lt;/Year&gt;&lt;RecNum&gt;118&lt;/RecNum&gt;&lt;DisplayText&gt;[134]&lt;/DisplayText&gt;&lt;record&gt;&lt;rec-number&gt;118&lt;/rec-number&gt;&lt;foreign-keys&gt;&lt;key app="EN" db-id="sz9092dv2s5fpze9wpgx0zxgv5ar00aezrvf" timestamp="0"&gt;118&lt;/key&gt;&lt;/foreign-keys&gt;&lt;ref-type name="Journal Article"&gt;17&lt;/ref-type&gt;&lt;contributors&gt;&lt;authors&gt;&lt;author&gt;Reed Johnson, F&lt;/author&gt;&lt;author&gt;Lancsar, Emily&lt;/author&gt;&lt;author&gt;Marshall, Deborah&lt;/author&gt;&lt;author&gt;Kilambi, Vikram&lt;/author&gt;&lt;author&gt;Mühlbacher, Axel&lt;/author&gt;&lt;author&gt;Regier, Dean A&lt;/author&gt;&lt;author&gt;Bresnahan, Brian W&lt;/author&gt;&lt;author&gt;Kanninen, Barbara&lt;/author&gt;&lt;author&gt;Bridges, John FP&lt;/author&gt;&lt;/authors&gt;&lt;/contributors&gt;&lt;titles&gt;&lt;title&gt;Constructing experimental designs for discrete-choice experiments: report of the ISPOR conjoint analysis experimental design good research practices task force&lt;/title&gt;&lt;secondary-title&gt;Value in Health&lt;/secondary-title&gt;&lt;/titles&gt;&lt;periodical&gt;&lt;full-title&gt;Value in Health&lt;/full-title&gt;&lt;/periodical&gt;&lt;pages&gt;3-13&lt;/pages&gt;&lt;volume&gt;16&lt;/volume&gt;&lt;number&gt;1&lt;/number&gt;&lt;dates&gt;&lt;year&gt;2013&lt;/year&gt;&lt;/dates&gt;&lt;isbn&gt;1098-3015&lt;/isbn&gt;&lt;urls&gt;&lt;related-urls&gt;&lt;url&gt;http://www.valueinhealthjournal.com/article/S1098-3015(12)04162-9/pdf&lt;/url&gt;&lt;/related-urls&gt;&lt;/urls&gt;&lt;/record&gt;&lt;/Cite&gt;&lt;/EndNote&gt;</w:instrText>
      </w:r>
      <w:r w:rsidRPr="00F10391">
        <w:fldChar w:fldCharType="separate"/>
      </w:r>
      <w:r w:rsidR="00700267">
        <w:rPr>
          <w:noProof/>
        </w:rPr>
        <w:t>[134]</w:t>
      </w:r>
      <w:r w:rsidRPr="00F10391">
        <w:fldChar w:fldCharType="end"/>
      </w:r>
      <w:r w:rsidRPr="00F10391">
        <w:t>.</w:t>
      </w:r>
    </w:p>
    <w:p w14:paraId="2D9EC09A" w14:textId="77777777" w:rsidR="000127DD" w:rsidRPr="00F10391" w:rsidRDefault="000127DD" w:rsidP="006942ED">
      <w:pPr>
        <w:pStyle w:val="Caption"/>
      </w:pPr>
      <w:r w:rsidRPr="00F10391">
        <w:t>Table 2.6 – Example DCE vignette, where a participant has chosen the second of two hypothetical screening options. Subsequent vignettes would also be presented.</w:t>
      </w:r>
    </w:p>
    <w:tbl>
      <w:tblPr>
        <w:tblStyle w:val="PlainTable11"/>
        <w:tblW w:w="5103" w:type="dxa"/>
        <w:jc w:val="center"/>
        <w:tblLook w:val="04A0" w:firstRow="1" w:lastRow="0" w:firstColumn="1" w:lastColumn="0" w:noHBand="0" w:noVBand="1"/>
      </w:tblPr>
      <w:tblGrid>
        <w:gridCol w:w="1743"/>
        <w:gridCol w:w="1680"/>
        <w:gridCol w:w="1680"/>
      </w:tblGrid>
      <w:tr w:rsidR="000127DD" w:rsidRPr="00F10391" w14:paraId="293B3CB6" w14:textId="77777777" w:rsidTr="000127DD">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743" w:type="dxa"/>
            <w:noWrap/>
            <w:hideMark/>
          </w:tcPr>
          <w:p w14:paraId="3E4F97AE" w14:textId="77777777" w:rsidR="000127DD" w:rsidRPr="00F10391" w:rsidRDefault="000127DD">
            <w:pPr>
              <w:rPr>
                <w:lang w:eastAsia="en-IE"/>
              </w:rPr>
            </w:pPr>
          </w:p>
        </w:tc>
        <w:tc>
          <w:tcPr>
            <w:tcW w:w="1680" w:type="dxa"/>
            <w:noWrap/>
            <w:hideMark/>
          </w:tcPr>
          <w:p w14:paraId="0E7ACFD9" w14:textId="77777777" w:rsidR="000127DD" w:rsidRPr="00F10391" w:rsidRDefault="000127DD">
            <w:pPr>
              <w:cnfStyle w:val="100000000000" w:firstRow="1" w:lastRow="0" w:firstColumn="0" w:lastColumn="0" w:oddVBand="0" w:evenVBand="0" w:oddHBand="0" w:evenHBand="0" w:firstRowFirstColumn="0" w:firstRowLastColumn="0" w:lastRowFirstColumn="0" w:lastRowLastColumn="0"/>
              <w:rPr>
                <w:lang w:eastAsia="en-IE"/>
              </w:rPr>
            </w:pPr>
            <w:r w:rsidRPr="00F10391">
              <w:rPr>
                <w:lang w:eastAsia="en-IE"/>
              </w:rPr>
              <w:t>Screening option A</w:t>
            </w:r>
          </w:p>
        </w:tc>
        <w:tc>
          <w:tcPr>
            <w:tcW w:w="1680" w:type="dxa"/>
            <w:hideMark/>
          </w:tcPr>
          <w:p w14:paraId="18845EF3" w14:textId="77777777" w:rsidR="000127DD" w:rsidRPr="00F10391" w:rsidRDefault="000127DD">
            <w:pPr>
              <w:cnfStyle w:val="100000000000" w:firstRow="1" w:lastRow="0" w:firstColumn="0" w:lastColumn="0" w:oddVBand="0" w:evenVBand="0" w:oddHBand="0" w:evenHBand="0" w:firstRowFirstColumn="0" w:firstRowLastColumn="0" w:lastRowFirstColumn="0" w:lastRowLastColumn="0"/>
              <w:rPr>
                <w:lang w:eastAsia="en-IE"/>
              </w:rPr>
            </w:pPr>
            <w:r w:rsidRPr="00F10391">
              <w:rPr>
                <w:lang w:eastAsia="en-IE"/>
              </w:rPr>
              <w:t>Screening option B</w:t>
            </w:r>
          </w:p>
        </w:tc>
      </w:tr>
      <w:tr w:rsidR="000127DD" w:rsidRPr="00F10391" w14:paraId="238A3195" w14:textId="77777777" w:rsidTr="000127D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6094E0F1" w14:textId="77777777" w:rsidR="000127DD" w:rsidRPr="00F10391" w:rsidRDefault="000127DD" w:rsidP="00494A9A">
            <w:pPr>
              <w:rPr>
                <w:lang w:eastAsia="en-IE"/>
              </w:rPr>
            </w:pPr>
            <w:r w:rsidRPr="00F10391">
              <w:rPr>
                <w:lang w:eastAsia="en-IE"/>
              </w:rPr>
              <w:t>Avoid Cancer</w:t>
            </w:r>
          </w:p>
        </w:tc>
        <w:tc>
          <w:tcPr>
            <w:tcW w:w="1680" w:type="dxa"/>
            <w:noWrap/>
            <w:hideMark/>
          </w:tcPr>
          <w:p w14:paraId="4A865AB0" w14:textId="77777777" w:rsidR="000127DD" w:rsidRPr="00F10391" w:rsidRDefault="000127DD" w:rsidP="00494A9A">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Good</w:t>
            </w:r>
          </w:p>
        </w:tc>
        <w:tc>
          <w:tcPr>
            <w:tcW w:w="1680" w:type="dxa"/>
            <w:noWrap/>
            <w:hideMark/>
          </w:tcPr>
          <w:p w14:paraId="1F51E350" w14:textId="77777777" w:rsidR="000127DD" w:rsidRPr="00F10391" w:rsidRDefault="000127DD" w:rsidP="00490B5D">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V good</w:t>
            </w:r>
          </w:p>
        </w:tc>
      </w:tr>
      <w:tr w:rsidR="000127DD" w:rsidRPr="00F10391" w14:paraId="5877D7CE" w14:textId="77777777" w:rsidTr="000127DD">
        <w:trPr>
          <w:trHeight w:val="570"/>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079CD97B" w14:textId="77777777" w:rsidR="000127DD" w:rsidRPr="00F10391" w:rsidRDefault="000127DD" w:rsidP="00494A9A">
            <w:pPr>
              <w:rPr>
                <w:lang w:eastAsia="en-IE"/>
              </w:rPr>
            </w:pPr>
            <w:r w:rsidRPr="00F10391">
              <w:rPr>
                <w:lang w:eastAsia="en-IE"/>
              </w:rPr>
              <w:t>Avoid side effects</w:t>
            </w:r>
          </w:p>
        </w:tc>
        <w:tc>
          <w:tcPr>
            <w:tcW w:w="1680" w:type="dxa"/>
            <w:noWrap/>
            <w:hideMark/>
          </w:tcPr>
          <w:p w14:paraId="274FE793" w14:textId="77777777" w:rsidR="000127DD" w:rsidRPr="00F10391" w:rsidRDefault="000127DD" w:rsidP="00494A9A">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Excellent</w:t>
            </w:r>
          </w:p>
        </w:tc>
        <w:tc>
          <w:tcPr>
            <w:tcW w:w="1680" w:type="dxa"/>
            <w:noWrap/>
            <w:hideMark/>
          </w:tcPr>
          <w:p w14:paraId="3F73CC77" w14:textId="77777777" w:rsidR="000127DD" w:rsidRPr="00F10391" w:rsidRDefault="000127DD" w:rsidP="00490B5D">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Good</w:t>
            </w:r>
          </w:p>
        </w:tc>
      </w:tr>
      <w:tr w:rsidR="000127DD" w:rsidRPr="00F10391" w14:paraId="0EE45B20" w14:textId="77777777" w:rsidTr="000127DD">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089EED3B" w14:textId="77777777" w:rsidR="000127DD" w:rsidRPr="00F10391" w:rsidRDefault="000127DD" w:rsidP="00494A9A">
            <w:pPr>
              <w:rPr>
                <w:lang w:eastAsia="en-IE"/>
              </w:rPr>
            </w:pPr>
            <w:r w:rsidRPr="00F10391">
              <w:rPr>
                <w:lang w:eastAsia="en-IE"/>
              </w:rPr>
              <w:t>Avoid false positives</w:t>
            </w:r>
          </w:p>
        </w:tc>
        <w:tc>
          <w:tcPr>
            <w:tcW w:w="1680" w:type="dxa"/>
            <w:noWrap/>
            <w:hideMark/>
          </w:tcPr>
          <w:p w14:paraId="53FF996B" w14:textId="77777777" w:rsidR="000127DD" w:rsidRPr="00F10391" w:rsidRDefault="000127DD" w:rsidP="00494A9A">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Excellent</w:t>
            </w:r>
          </w:p>
        </w:tc>
        <w:tc>
          <w:tcPr>
            <w:tcW w:w="1680" w:type="dxa"/>
            <w:noWrap/>
            <w:hideMark/>
          </w:tcPr>
          <w:p w14:paraId="0FAD856D" w14:textId="77777777" w:rsidR="000127DD" w:rsidRPr="00F10391" w:rsidRDefault="000127DD" w:rsidP="00490B5D">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Good</w:t>
            </w:r>
          </w:p>
        </w:tc>
      </w:tr>
      <w:tr w:rsidR="000127DD" w:rsidRPr="00F10391" w14:paraId="19AB4461" w14:textId="77777777" w:rsidTr="000127DD">
        <w:trPr>
          <w:trHeight w:val="570"/>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69889AC3" w14:textId="77777777" w:rsidR="000127DD" w:rsidRPr="00F10391" w:rsidRDefault="000127DD" w:rsidP="00494A9A">
            <w:pPr>
              <w:rPr>
                <w:lang w:eastAsia="en-IE"/>
              </w:rPr>
            </w:pPr>
            <w:r w:rsidRPr="00F10391">
              <w:rPr>
                <w:lang w:eastAsia="en-IE"/>
              </w:rPr>
              <w:t>Frequency</w:t>
            </w:r>
          </w:p>
        </w:tc>
        <w:tc>
          <w:tcPr>
            <w:tcW w:w="1680" w:type="dxa"/>
            <w:noWrap/>
            <w:hideMark/>
          </w:tcPr>
          <w:p w14:paraId="38A61743" w14:textId="77777777" w:rsidR="000127DD" w:rsidRPr="00F10391" w:rsidRDefault="000127DD" w:rsidP="00494A9A">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Excellent</w:t>
            </w:r>
          </w:p>
        </w:tc>
        <w:tc>
          <w:tcPr>
            <w:tcW w:w="1680" w:type="dxa"/>
            <w:noWrap/>
            <w:hideMark/>
          </w:tcPr>
          <w:p w14:paraId="56D738CF" w14:textId="77777777" w:rsidR="000127DD" w:rsidRPr="00F10391" w:rsidRDefault="000127DD" w:rsidP="00490B5D">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Good</w:t>
            </w:r>
          </w:p>
        </w:tc>
      </w:tr>
      <w:tr w:rsidR="000127DD" w:rsidRPr="00F10391" w14:paraId="5450C643" w14:textId="77777777" w:rsidTr="000127DD">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5103" w:type="dxa"/>
            <w:gridSpan w:val="3"/>
          </w:tcPr>
          <w:p w14:paraId="5A6AF549" w14:textId="77777777" w:rsidR="000127DD" w:rsidRPr="00F10391" w:rsidRDefault="000127DD" w:rsidP="00494A9A">
            <w:pPr>
              <w:rPr>
                <w:lang w:eastAsia="en-IE"/>
              </w:rPr>
            </w:pPr>
            <w:r w:rsidRPr="00F10391">
              <w:rPr>
                <w:lang w:eastAsia="en-IE"/>
              </w:rPr>
              <w:t>Which option would you choose?</w:t>
            </w:r>
          </w:p>
        </w:tc>
      </w:tr>
      <w:tr w:rsidR="000127DD" w:rsidRPr="00F10391" w14:paraId="6EE323B7" w14:textId="77777777" w:rsidTr="000127DD">
        <w:trPr>
          <w:trHeight w:val="570"/>
          <w:jc w:val="center"/>
        </w:trPr>
        <w:tc>
          <w:tcPr>
            <w:cnfStyle w:val="001000000000" w:firstRow="0" w:lastRow="0" w:firstColumn="1" w:lastColumn="0" w:oddVBand="0" w:evenVBand="0" w:oddHBand="0" w:evenHBand="0" w:firstRowFirstColumn="0" w:firstRowLastColumn="0" w:lastRowFirstColumn="0" w:lastRowLastColumn="0"/>
            <w:tcW w:w="1743" w:type="dxa"/>
          </w:tcPr>
          <w:p w14:paraId="39D2E2E3" w14:textId="77777777" w:rsidR="000127DD" w:rsidRPr="00F10391" w:rsidRDefault="000127DD" w:rsidP="00494A9A">
            <w:pPr>
              <w:rPr>
                <w:lang w:eastAsia="en-IE"/>
              </w:rPr>
            </w:pPr>
          </w:p>
        </w:tc>
        <w:tc>
          <w:tcPr>
            <w:tcW w:w="1680" w:type="dxa"/>
            <w:noWrap/>
          </w:tcPr>
          <w:p w14:paraId="6A57038A" w14:textId="77777777" w:rsidR="000127DD" w:rsidRPr="00F10391" w:rsidRDefault="000127DD" w:rsidP="00494A9A">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IE"/>
              </w:rPr>
            </w:pPr>
            <w:r w:rsidRPr="00F10391">
              <w:rPr>
                <w:rStyle w:val="unicode"/>
                <w:rFonts w:ascii="Segoe UI Symbol" w:hAnsi="Segoe UI Symbol" w:cs="Segoe UI Symbol"/>
                <w:color w:val="252525"/>
                <w:sz w:val="26"/>
                <w:szCs w:val="26"/>
                <w:shd w:val="clear" w:color="auto" w:fill="FFFFFF"/>
              </w:rPr>
              <w:t>☐</w:t>
            </w:r>
          </w:p>
        </w:tc>
        <w:tc>
          <w:tcPr>
            <w:tcW w:w="1680" w:type="dxa"/>
            <w:noWrap/>
          </w:tcPr>
          <w:p w14:paraId="272FC69C" w14:textId="77777777" w:rsidR="000127DD" w:rsidRPr="00F10391" w:rsidRDefault="000127DD" w:rsidP="00490B5D">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IE"/>
              </w:rPr>
            </w:pPr>
            <w:r w:rsidRPr="00F10391">
              <w:rPr>
                <w:rFonts w:ascii="Segoe UI Symbol" w:hAnsi="Segoe UI Symbol" w:cs="Segoe UI Symbol"/>
                <w:shd w:val="clear" w:color="auto" w:fill="FFFFFF"/>
              </w:rPr>
              <w:t>☑</w:t>
            </w:r>
          </w:p>
        </w:tc>
      </w:tr>
    </w:tbl>
    <w:p w14:paraId="1ADE038B" w14:textId="77777777" w:rsidR="000127DD" w:rsidRPr="00F10391" w:rsidRDefault="000127DD" w:rsidP="00494A9A"/>
    <w:p w14:paraId="523A99E0" w14:textId="77777777" w:rsidR="00D22CE3" w:rsidRPr="00F10391" w:rsidRDefault="00D22CE3" w:rsidP="00494A9A"/>
    <w:p w14:paraId="2D2E10ED" w14:textId="77777777" w:rsidR="00D22CE3" w:rsidRPr="00F10391" w:rsidRDefault="00D22CE3" w:rsidP="00490B5D">
      <w:pPr>
        <w:pStyle w:val="Heading3"/>
      </w:pPr>
      <w:bookmarkStart w:id="146" w:name="_Toc313187830"/>
      <w:bookmarkStart w:id="147" w:name="_Toc441508930"/>
      <w:bookmarkStart w:id="148" w:name="_Toc453235368"/>
      <w:bookmarkStart w:id="149" w:name="_Toc453595441"/>
      <w:bookmarkStart w:id="150" w:name="_Toc476241538"/>
      <w:r w:rsidRPr="00F10391">
        <w:t>2.5.4</w:t>
      </w:r>
      <w:r w:rsidRPr="00F10391">
        <w:tab/>
      </w:r>
      <w:r w:rsidRPr="00F10391">
        <w:tab/>
        <w:t>Outranking models</w:t>
      </w:r>
      <w:bookmarkEnd w:id="141"/>
      <w:bookmarkEnd w:id="146"/>
      <w:bookmarkEnd w:id="147"/>
      <w:bookmarkEnd w:id="148"/>
      <w:bookmarkEnd w:id="149"/>
      <w:bookmarkEnd w:id="150"/>
    </w:p>
    <w:p w14:paraId="5B4C12D0" w14:textId="77777777" w:rsidR="00D22CE3" w:rsidRPr="00F10391" w:rsidRDefault="00D22CE3" w:rsidP="00490B5D">
      <w:r w:rsidRPr="00F10391">
        <w:t>As previously explained, where an Option A is at least as good on all criteria as Option B, and better on at least one criterion, then A is said to dominate B. In Figure 2.2, the option of</w:t>
      </w:r>
      <w:r w:rsidRPr="00F10391">
        <w:rPr>
          <w:rFonts w:eastAsia="Times New Roman"/>
          <w:color w:val="000000"/>
        </w:rPr>
        <w:t xml:space="preserve"> a flexible sigmoidoscopy</w:t>
      </w:r>
      <w:r w:rsidRPr="00F10391">
        <w:t xml:space="preserve"> dominates </w:t>
      </w:r>
      <w:r w:rsidRPr="00F10391">
        <w:rPr>
          <w:rFonts w:eastAsia="Times New Roman"/>
          <w:color w:val="000000"/>
        </w:rPr>
        <w:t>double contrast barium enema (DCBE). Regardless of the weights that Arnold had decided on for each criterion, given these scores it would have been impossible for DCBE</w:t>
      </w:r>
      <w:r w:rsidRPr="00F10391">
        <w:t xml:space="preserve"> to achieve a higher total score. As such there is no point including it as one of the alternatives, assuming that the criteria used are requisite and representative. </w:t>
      </w:r>
    </w:p>
    <w:p w14:paraId="107A90AE" w14:textId="77777777" w:rsidR="00D22CE3" w:rsidRPr="00F10391" w:rsidRDefault="00D22CE3" w:rsidP="00D24504">
      <w:r w:rsidRPr="00F10391">
        <w:t>As the number of options available to decision-makers and the number of criteria to be judged increases – as is likely to occur in many healthcare settings – it becomes unlikely that there could be a single option that strictly dominates all others in this sense. However, outranking methods of MCDA build upon this principle, carrying out pair-wise comparisons between alternatives for each criterion. These are used as the basis for calculating so-called concordance and discordance indices, which are used to indicate whether there is a strong argument that one option is better than the other</w:t>
      </w:r>
      <w:r w:rsidRPr="00F10391">
        <w:rPr>
          <w:i/>
        </w:rPr>
        <w:t xml:space="preserve"> and</w:t>
      </w:r>
      <w:r w:rsidRPr="00F10391">
        <w:t xml:space="preserve"> that there’s no strong argument that the opposite is true, in which case the first option is deemed to dominate (in a less strict sense) the second option. In doing so, alternatives that do particularly badly on a key criterion are very unlikely to be deemed acceptable by the algorithm.</w:t>
      </w:r>
    </w:p>
    <w:p w14:paraId="490D11E4" w14:textId="77777777" w:rsidR="00D22CE3" w:rsidRPr="00F10391" w:rsidRDefault="00D22CE3" w:rsidP="00D24504">
      <w:r w:rsidRPr="00F10391">
        <w:t xml:space="preserve">There are four potential outcomes between any comparison: either alternative may be deemed to dominate the other, they could be equivalent or they could be incomparable. Ultimately decision-makers are likely to end up with a shortlist of non-dominated alternatives as a starting </w:t>
      </w:r>
      <w:r w:rsidRPr="00F10391">
        <w:lastRenderedPageBreak/>
        <w:t xml:space="preserve">point for further discussion. Obviously where one alternative is particularly strong, this will at times end up as a shortlist of one. </w:t>
      </w:r>
    </w:p>
    <w:p w14:paraId="157437E4" w14:textId="1EC13B64" w:rsidR="00D22CE3" w:rsidRPr="00F10391" w:rsidRDefault="00D22CE3" w:rsidP="00D24504">
      <w:pPr>
        <w:pStyle w:val="Caption"/>
      </w:pPr>
      <w:bookmarkStart w:id="151" w:name="_Toc444180808"/>
      <w:bookmarkStart w:id="152" w:name="_Toc476241445"/>
      <w:r w:rsidRPr="00F10391">
        <w:t xml:space="preserve">Figure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2</w:t>
      </w:r>
      <w:r w:rsidR="000F1034">
        <w:rPr>
          <w:noProof/>
        </w:rPr>
        <w:fldChar w:fldCharType="end"/>
      </w:r>
      <w:r w:rsidRPr="00F10391">
        <w:t xml:space="preserve"> – Performance of three possible screening regimens, based on all criteria and the scores shown in Table 2.3. Flexible sigmoidoscopy /5 years dominates DCBE/ 5 years.</w:t>
      </w:r>
      <w:bookmarkEnd w:id="151"/>
      <w:bookmarkEnd w:id="152"/>
    </w:p>
    <w:p w14:paraId="2690D410" w14:textId="77777777" w:rsidR="00D22CE3" w:rsidRPr="00F10391" w:rsidRDefault="00D22CE3" w:rsidP="006A5AA3">
      <w:r w:rsidRPr="00F10391">
        <w:rPr>
          <w:noProof/>
          <w:lang w:val="en-IE" w:eastAsia="en-IE"/>
        </w:rPr>
        <w:drawing>
          <wp:inline distT="0" distB="0" distL="0" distR="0" wp14:anchorId="5BB54501" wp14:editId="54252DC0">
            <wp:extent cx="5417820" cy="2608580"/>
            <wp:effectExtent l="0" t="0" r="0" b="7620"/>
            <wp:docPr id="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242010" w14:textId="77777777" w:rsidR="00D22CE3" w:rsidRPr="00F10391" w:rsidRDefault="00D22CE3" w:rsidP="006942ED">
      <w:r w:rsidRPr="00F10391">
        <w:t xml:space="preserve">There are several outranking approaches, which may require only basic levels of mathematical knowledge at the stakeholder level. Once alternatives are scored and weighted, potentially in much the same way as in the value measurement approaches, the relevant algorithm will do the rest. The approaches include </w:t>
      </w:r>
      <w:r w:rsidRPr="00F10391">
        <w:rPr>
          <w:i/>
          <w:iCs/>
        </w:rPr>
        <w:t>ELECTRE</w:t>
      </w:r>
      <w:r w:rsidRPr="00F10391">
        <w:t xml:space="preserve"> (ELimination Et Choix Traduisant la REalité) – of which there are a number of versions, </w:t>
      </w:r>
      <w:r w:rsidRPr="00F10391">
        <w:rPr>
          <w:i/>
          <w:iCs/>
        </w:rPr>
        <w:t>PROMETHEE</w:t>
      </w:r>
      <w:r w:rsidRPr="00F10391">
        <w:t xml:space="preserve"> (Preference Ranking Organization Method for Enrichment Evaluations) and </w:t>
      </w:r>
      <w:r w:rsidRPr="00F10391">
        <w:rPr>
          <w:i/>
          <w:iCs/>
        </w:rPr>
        <w:t>TODIM</w:t>
      </w:r>
      <w:r w:rsidRPr="00F10391">
        <w:t xml:space="preserve"> (Tomada de Decisão Interativa Multicitério). Outranking methodologies are most often associated with use in continental Europe </w:t>
      </w:r>
      <w:r w:rsidRPr="00F10391">
        <w:fldChar w:fldCharType="begin"/>
      </w:r>
      <w:r w:rsidR="00700267">
        <w:instrText xml:space="preserve"> ADDIN EN.CITE &lt;EndNote&gt;&lt;Cite&gt;&lt;Author&gt;Roy&lt;/Author&gt;&lt;Year&gt;1996&lt;/Year&gt;&lt;RecNum&gt;379&lt;/RecNum&gt;&lt;DisplayText&gt;[53]&lt;/DisplayText&gt;&lt;record&gt;&lt;rec-number&gt;379&lt;/rec-number&gt;&lt;foreign-keys&gt;&lt;key app="EN" db-id="sz9092dv2s5fpze9wpgx0zxgv5ar00aezrvf" timestamp="1457377295"&gt;379&lt;/key&gt;&lt;/foreign-keys&gt;&lt;ref-type name="Journal Article"&gt;17&lt;/ref-type&gt;&lt;contributors&gt;&lt;authors&gt;&lt;author&gt;Roy, Bernard&lt;/author&gt;&lt;author&gt;Vanderpooten, Daniel&lt;/author&gt;&lt;/authors&gt;&lt;/contributors&gt;&lt;titles&gt;&lt;title&gt;The European school of MCDA: Emergence, basic features and cu</w:instrText>
      </w:r>
      <w:r w:rsidR="00700267">
        <w:rPr>
          <w:rFonts w:hint="eastAsia"/>
        </w:rPr>
        <w:instrText>rrent works&lt;/title&gt;&lt;secondary-title&gt;Journal of Multi</w:instrText>
      </w:r>
      <w:r w:rsidR="00700267">
        <w:rPr>
          <w:rFonts w:hint="eastAsia"/>
        </w:rPr>
        <w:instrText>‐</w:instrText>
      </w:r>
      <w:r w:rsidR="00700267">
        <w:rPr>
          <w:rFonts w:hint="eastAsia"/>
        </w:rPr>
        <w:instrText>Criteria Decision Analysis&lt;/secondary-title&gt;&lt;/titles&gt;&lt;periodical&gt;&lt;full-title&gt;Journal of Multi</w:instrText>
      </w:r>
      <w:r w:rsidR="00700267">
        <w:rPr>
          <w:rFonts w:hint="eastAsia"/>
        </w:rPr>
        <w:instrText>‐</w:instrText>
      </w:r>
      <w:r w:rsidR="00700267">
        <w:rPr>
          <w:rFonts w:hint="eastAsia"/>
        </w:rPr>
        <w:instrText>Criteria Decision Analysis&lt;/full-title&gt;&lt;/periodical&gt;&lt;pages&gt;22-38&lt;/pages&gt;&lt;volume&gt;5&lt;/volume&gt;&lt;number&gt;1&lt;/number&gt;</w:instrText>
      </w:r>
      <w:r w:rsidR="00700267">
        <w:instrText>&lt;dates&gt;&lt;year&gt;1996&lt;/year&gt;&lt;/dates&gt;&lt;isbn&gt;1099-1360&lt;/isbn&gt;&lt;urls&gt;&lt;/urls&gt;&lt;/record&gt;&lt;/Cite&gt;&lt;/EndNote&gt;</w:instrText>
      </w:r>
      <w:r w:rsidRPr="00F10391">
        <w:fldChar w:fldCharType="separate"/>
      </w:r>
      <w:r w:rsidR="00700267">
        <w:rPr>
          <w:noProof/>
        </w:rPr>
        <w:t>[53]</w:t>
      </w:r>
      <w:r w:rsidRPr="00F10391">
        <w:fldChar w:fldCharType="end"/>
      </w:r>
      <w:r w:rsidRPr="00F10391">
        <w:t xml:space="preserve">. </w:t>
      </w:r>
    </w:p>
    <w:p w14:paraId="0DEECCC6" w14:textId="77777777" w:rsidR="00D22CE3" w:rsidRPr="00F10391" w:rsidRDefault="00D22CE3"/>
    <w:p w14:paraId="1D327BEF" w14:textId="77777777" w:rsidR="00D22CE3" w:rsidRPr="00F10391" w:rsidRDefault="00D22CE3">
      <w:pPr>
        <w:pStyle w:val="Heading4"/>
      </w:pPr>
      <w:bookmarkStart w:id="153" w:name="_Toc441508931"/>
      <w:bookmarkStart w:id="154" w:name="_Toc453235369"/>
      <w:bookmarkStart w:id="155" w:name="_Toc453595442"/>
      <w:bookmarkStart w:id="156" w:name="_Toc476241539"/>
      <w:r w:rsidRPr="00F10391">
        <w:t>2.5.4.1</w:t>
      </w:r>
      <w:r w:rsidRPr="00F10391">
        <w:tab/>
      </w:r>
      <w:r w:rsidRPr="00F10391">
        <w:tab/>
        <w:t>Example using ELECTRE 1</w:t>
      </w:r>
      <w:bookmarkEnd w:id="153"/>
      <w:bookmarkEnd w:id="154"/>
      <w:bookmarkEnd w:id="155"/>
      <w:bookmarkEnd w:id="156"/>
    </w:p>
    <w:p w14:paraId="34C9358C" w14:textId="77777777" w:rsidR="00D22CE3" w:rsidRPr="00F10391" w:rsidRDefault="00D22CE3">
      <w:r w:rsidRPr="00F10391">
        <w:t>For the sake of simplicity, only three criteria and alternatives have been included and the weights are pre-defined. Again, there are numerous ways of eliciting these from the patient (in this case Caroline). The scores are based upon those given in Table 2.3, though they need not necessarily be normalised using this technique.</w:t>
      </w:r>
    </w:p>
    <w:p w14:paraId="26181EC4" w14:textId="0225ECEF" w:rsidR="00D22CE3" w:rsidRPr="00F10391" w:rsidRDefault="00D22CE3">
      <w:pPr>
        <w:pStyle w:val="Caption"/>
      </w:pPr>
      <w:bookmarkStart w:id="157" w:name="_Toc444180789"/>
      <w:bookmarkStart w:id="158" w:name="_Toc476241424"/>
      <w:r w:rsidRPr="00F10391">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6</w:t>
      </w:r>
      <w:r w:rsidR="000F1034">
        <w:rPr>
          <w:noProof/>
        </w:rPr>
        <w:fldChar w:fldCharType="end"/>
      </w:r>
      <w:r w:rsidRPr="00F10391">
        <w:t xml:space="preserve"> – Scores and weights for colorectal screening decision, using ELECTRE 1</w:t>
      </w:r>
      <w:bookmarkEnd w:id="157"/>
      <w:bookmarkEnd w:id="158"/>
    </w:p>
    <w:tbl>
      <w:tblPr>
        <w:tblW w:w="9356" w:type="dxa"/>
        <w:tblBorders>
          <w:top w:val="single" w:sz="8" w:space="0" w:color="000000"/>
          <w:bottom w:val="single" w:sz="8" w:space="0" w:color="000000"/>
        </w:tblBorders>
        <w:tblLayout w:type="fixed"/>
        <w:tblLook w:val="04A0" w:firstRow="1" w:lastRow="0" w:firstColumn="1" w:lastColumn="0" w:noHBand="0" w:noVBand="1"/>
      </w:tblPr>
      <w:tblGrid>
        <w:gridCol w:w="2424"/>
        <w:gridCol w:w="1292"/>
        <w:gridCol w:w="1652"/>
        <w:gridCol w:w="2200"/>
        <w:gridCol w:w="1788"/>
      </w:tblGrid>
      <w:tr w:rsidR="00D22CE3" w:rsidRPr="00F10391" w14:paraId="0C9C696B" w14:textId="77777777" w:rsidTr="00D22CE3">
        <w:trPr>
          <w:trHeight w:val="495"/>
        </w:trPr>
        <w:tc>
          <w:tcPr>
            <w:tcW w:w="2499" w:type="dxa"/>
            <w:tcBorders>
              <w:top w:val="single" w:sz="8" w:space="0" w:color="000000"/>
              <w:bottom w:val="single" w:sz="8" w:space="0" w:color="000000"/>
            </w:tcBorders>
            <w:shd w:val="clear" w:color="auto" w:fill="auto"/>
            <w:noWrap/>
            <w:hideMark/>
          </w:tcPr>
          <w:p w14:paraId="0661160E" w14:textId="77777777" w:rsidR="00D22CE3" w:rsidRPr="00F10391" w:rsidRDefault="00D22CE3">
            <w:pPr>
              <w:jc w:val="left"/>
            </w:pPr>
          </w:p>
        </w:tc>
        <w:tc>
          <w:tcPr>
            <w:tcW w:w="1329" w:type="dxa"/>
            <w:tcBorders>
              <w:top w:val="single" w:sz="8" w:space="0" w:color="000000"/>
              <w:bottom w:val="single" w:sz="8" w:space="0" w:color="000000"/>
            </w:tcBorders>
            <w:shd w:val="clear" w:color="auto" w:fill="auto"/>
            <w:noWrap/>
            <w:hideMark/>
          </w:tcPr>
          <w:p w14:paraId="5597CA30" w14:textId="77777777" w:rsidR="00D22CE3" w:rsidRPr="00F10391" w:rsidRDefault="00D22CE3">
            <w:pPr>
              <w:jc w:val="left"/>
            </w:pPr>
            <w:r w:rsidRPr="00F10391">
              <w:t>Weight</w:t>
            </w:r>
          </w:p>
        </w:tc>
        <w:tc>
          <w:tcPr>
            <w:tcW w:w="1701" w:type="dxa"/>
            <w:tcBorders>
              <w:top w:val="single" w:sz="8" w:space="0" w:color="000000"/>
              <w:bottom w:val="single" w:sz="8" w:space="0" w:color="000000"/>
            </w:tcBorders>
            <w:shd w:val="clear" w:color="auto" w:fill="auto"/>
            <w:hideMark/>
          </w:tcPr>
          <w:p w14:paraId="3B3468A2" w14:textId="77777777" w:rsidR="00D22CE3" w:rsidRPr="00F10391" w:rsidRDefault="00D22CE3">
            <w:pPr>
              <w:jc w:val="left"/>
            </w:pPr>
            <w:r w:rsidRPr="00F10391">
              <w:t>No screening (a)</w:t>
            </w:r>
          </w:p>
        </w:tc>
        <w:tc>
          <w:tcPr>
            <w:tcW w:w="2268" w:type="dxa"/>
            <w:tcBorders>
              <w:top w:val="single" w:sz="8" w:space="0" w:color="000000"/>
              <w:bottom w:val="single" w:sz="8" w:space="0" w:color="000000"/>
            </w:tcBorders>
            <w:shd w:val="clear" w:color="auto" w:fill="auto"/>
            <w:hideMark/>
          </w:tcPr>
          <w:p w14:paraId="649ED67B" w14:textId="77777777" w:rsidR="00D22CE3" w:rsidRPr="00F10391" w:rsidRDefault="00D22CE3">
            <w:pPr>
              <w:jc w:val="left"/>
            </w:pPr>
            <w:r w:rsidRPr="00F10391">
              <w:t>Faecal occult blood tests/year (b)</w:t>
            </w:r>
          </w:p>
        </w:tc>
        <w:tc>
          <w:tcPr>
            <w:tcW w:w="1842" w:type="dxa"/>
            <w:tcBorders>
              <w:top w:val="single" w:sz="8" w:space="0" w:color="000000"/>
              <w:bottom w:val="single" w:sz="8" w:space="0" w:color="000000"/>
            </w:tcBorders>
            <w:shd w:val="clear" w:color="auto" w:fill="auto"/>
            <w:hideMark/>
          </w:tcPr>
          <w:p w14:paraId="3C971F66" w14:textId="77777777" w:rsidR="00D22CE3" w:rsidRPr="00F10391" w:rsidRDefault="00D22CE3">
            <w:pPr>
              <w:jc w:val="left"/>
            </w:pPr>
            <w:r w:rsidRPr="00F10391">
              <w:t>Colonoscopy/ 10 years (c)</w:t>
            </w:r>
          </w:p>
        </w:tc>
      </w:tr>
      <w:tr w:rsidR="00D22CE3" w:rsidRPr="00F10391" w14:paraId="6CF1BCC2" w14:textId="77777777" w:rsidTr="00D22CE3">
        <w:trPr>
          <w:trHeight w:val="270"/>
        </w:trPr>
        <w:tc>
          <w:tcPr>
            <w:tcW w:w="2499" w:type="dxa"/>
            <w:shd w:val="clear" w:color="auto" w:fill="C0C0C0"/>
            <w:hideMark/>
          </w:tcPr>
          <w:p w14:paraId="6784EDC8" w14:textId="77777777" w:rsidR="00D22CE3" w:rsidRPr="00F10391" w:rsidRDefault="00D22CE3">
            <w:pPr>
              <w:jc w:val="left"/>
            </w:pPr>
            <w:r w:rsidRPr="00F10391">
              <w:t>Avoid Cancer (x)</w:t>
            </w:r>
          </w:p>
        </w:tc>
        <w:tc>
          <w:tcPr>
            <w:tcW w:w="1329" w:type="dxa"/>
            <w:tcBorders>
              <w:left w:val="nil"/>
              <w:right w:val="nil"/>
            </w:tcBorders>
            <w:shd w:val="clear" w:color="auto" w:fill="C0C0C0"/>
            <w:noWrap/>
            <w:hideMark/>
          </w:tcPr>
          <w:p w14:paraId="71A30F88" w14:textId="77777777" w:rsidR="00D22CE3" w:rsidRPr="00F10391" w:rsidRDefault="00D22CE3">
            <w:pPr>
              <w:jc w:val="left"/>
            </w:pPr>
            <w:r w:rsidRPr="00F10391">
              <w:t>0.6</w:t>
            </w:r>
          </w:p>
        </w:tc>
        <w:tc>
          <w:tcPr>
            <w:tcW w:w="1701" w:type="dxa"/>
            <w:shd w:val="clear" w:color="auto" w:fill="C0C0C0"/>
            <w:noWrap/>
            <w:hideMark/>
          </w:tcPr>
          <w:p w14:paraId="1797DA9B" w14:textId="77777777" w:rsidR="00D22CE3" w:rsidRPr="00F10391" w:rsidRDefault="00D22CE3">
            <w:pPr>
              <w:jc w:val="left"/>
            </w:pPr>
            <w:r w:rsidRPr="00F10391">
              <w:t>0.1</w:t>
            </w:r>
          </w:p>
        </w:tc>
        <w:tc>
          <w:tcPr>
            <w:tcW w:w="2268" w:type="dxa"/>
            <w:tcBorders>
              <w:left w:val="nil"/>
              <w:right w:val="nil"/>
            </w:tcBorders>
            <w:shd w:val="clear" w:color="auto" w:fill="C0C0C0"/>
            <w:noWrap/>
            <w:hideMark/>
          </w:tcPr>
          <w:p w14:paraId="37AA2C13" w14:textId="77777777" w:rsidR="00D22CE3" w:rsidRPr="00F10391" w:rsidRDefault="00D22CE3">
            <w:pPr>
              <w:jc w:val="left"/>
            </w:pPr>
            <w:r w:rsidRPr="00F10391">
              <w:t>0.9</w:t>
            </w:r>
          </w:p>
        </w:tc>
        <w:tc>
          <w:tcPr>
            <w:tcW w:w="1842" w:type="dxa"/>
            <w:shd w:val="clear" w:color="auto" w:fill="C0C0C0"/>
            <w:noWrap/>
            <w:hideMark/>
          </w:tcPr>
          <w:p w14:paraId="16699E7C" w14:textId="77777777" w:rsidR="00D22CE3" w:rsidRPr="00F10391" w:rsidRDefault="00D22CE3">
            <w:pPr>
              <w:jc w:val="left"/>
            </w:pPr>
            <w:r w:rsidRPr="00F10391">
              <w:t>0.5</w:t>
            </w:r>
          </w:p>
        </w:tc>
      </w:tr>
      <w:tr w:rsidR="00D22CE3" w:rsidRPr="00F10391" w14:paraId="56CB6475" w14:textId="77777777" w:rsidTr="00D22CE3">
        <w:trPr>
          <w:trHeight w:val="270"/>
        </w:trPr>
        <w:tc>
          <w:tcPr>
            <w:tcW w:w="2499" w:type="dxa"/>
            <w:shd w:val="clear" w:color="auto" w:fill="auto"/>
            <w:hideMark/>
          </w:tcPr>
          <w:p w14:paraId="10E343C8" w14:textId="77777777" w:rsidR="00D22CE3" w:rsidRPr="00F10391" w:rsidRDefault="00D22CE3">
            <w:pPr>
              <w:jc w:val="left"/>
            </w:pPr>
            <w:r w:rsidRPr="00F10391">
              <w:t>Avoid side effects (y)</w:t>
            </w:r>
          </w:p>
        </w:tc>
        <w:tc>
          <w:tcPr>
            <w:tcW w:w="1329" w:type="dxa"/>
            <w:shd w:val="clear" w:color="auto" w:fill="auto"/>
            <w:noWrap/>
            <w:hideMark/>
          </w:tcPr>
          <w:p w14:paraId="79AC194F" w14:textId="77777777" w:rsidR="00D22CE3" w:rsidRPr="00F10391" w:rsidRDefault="00D22CE3">
            <w:pPr>
              <w:jc w:val="left"/>
            </w:pPr>
            <w:r w:rsidRPr="00F10391">
              <w:t>0.25</w:t>
            </w:r>
          </w:p>
        </w:tc>
        <w:tc>
          <w:tcPr>
            <w:tcW w:w="1701" w:type="dxa"/>
            <w:shd w:val="clear" w:color="auto" w:fill="auto"/>
            <w:noWrap/>
            <w:hideMark/>
          </w:tcPr>
          <w:p w14:paraId="5A53DABE" w14:textId="77777777" w:rsidR="00D22CE3" w:rsidRPr="00F10391" w:rsidRDefault="00D22CE3">
            <w:pPr>
              <w:jc w:val="left"/>
            </w:pPr>
            <w:r w:rsidRPr="00F10391">
              <w:t>1</w:t>
            </w:r>
          </w:p>
        </w:tc>
        <w:tc>
          <w:tcPr>
            <w:tcW w:w="2268" w:type="dxa"/>
            <w:shd w:val="clear" w:color="auto" w:fill="auto"/>
            <w:noWrap/>
            <w:hideMark/>
          </w:tcPr>
          <w:p w14:paraId="5DFB8C5B" w14:textId="77777777" w:rsidR="00D22CE3" w:rsidRPr="00F10391" w:rsidRDefault="00D22CE3">
            <w:pPr>
              <w:jc w:val="left"/>
            </w:pPr>
            <w:r w:rsidRPr="00F10391">
              <w:t>1</w:t>
            </w:r>
          </w:p>
        </w:tc>
        <w:tc>
          <w:tcPr>
            <w:tcW w:w="1842" w:type="dxa"/>
            <w:shd w:val="clear" w:color="auto" w:fill="auto"/>
            <w:noWrap/>
            <w:hideMark/>
          </w:tcPr>
          <w:p w14:paraId="16445707" w14:textId="77777777" w:rsidR="00D22CE3" w:rsidRPr="00F10391" w:rsidRDefault="00D22CE3">
            <w:pPr>
              <w:jc w:val="left"/>
            </w:pPr>
            <w:r w:rsidRPr="00F10391">
              <w:t>0.6</w:t>
            </w:r>
          </w:p>
        </w:tc>
      </w:tr>
      <w:tr w:rsidR="00D22CE3" w:rsidRPr="00F10391" w14:paraId="39728F32" w14:textId="77777777" w:rsidTr="00D22CE3">
        <w:trPr>
          <w:trHeight w:val="270"/>
        </w:trPr>
        <w:tc>
          <w:tcPr>
            <w:tcW w:w="2499" w:type="dxa"/>
            <w:shd w:val="clear" w:color="auto" w:fill="C0C0C0"/>
            <w:hideMark/>
          </w:tcPr>
          <w:p w14:paraId="53D9D031" w14:textId="77777777" w:rsidR="00D22CE3" w:rsidRPr="00F10391" w:rsidRDefault="00D22CE3">
            <w:pPr>
              <w:jc w:val="left"/>
            </w:pPr>
            <w:r w:rsidRPr="00F10391">
              <w:t>Avoid false positives (z)</w:t>
            </w:r>
          </w:p>
        </w:tc>
        <w:tc>
          <w:tcPr>
            <w:tcW w:w="1329" w:type="dxa"/>
            <w:tcBorders>
              <w:left w:val="nil"/>
              <w:right w:val="nil"/>
            </w:tcBorders>
            <w:shd w:val="clear" w:color="auto" w:fill="C0C0C0"/>
            <w:noWrap/>
            <w:hideMark/>
          </w:tcPr>
          <w:p w14:paraId="6614D305" w14:textId="77777777" w:rsidR="00D22CE3" w:rsidRPr="00F10391" w:rsidRDefault="00D22CE3">
            <w:pPr>
              <w:jc w:val="left"/>
            </w:pPr>
            <w:r w:rsidRPr="00F10391">
              <w:t>0.15</w:t>
            </w:r>
          </w:p>
        </w:tc>
        <w:tc>
          <w:tcPr>
            <w:tcW w:w="1701" w:type="dxa"/>
            <w:shd w:val="clear" w:color="auto" w:fill="C0C0C0"/>
            <w:noWrap/>
            <w:hideMark/>
          </w:tcPr>
          <w:p w14:paraId="47F0643F" w14:textId="77777777" w:rsidR="00D22CE3" w:rsidRPr="00F10391" w:rsidRDefault="00D22CE3">
            <w:pPr>
              <w:jc w:val="left"/>
            </w:pPr>
            <w:r w:rsidRPr="00F10391">
              <w:t>1</w:t>
            </w:r>
          </w:p>
        </w:tc>
        <w:tc>
          <w:tcPr>
            <w:tcW w:w="2268" w:type="dxa"/>
            <w:tcBorders>
              <w:left w:val="nil"/>
              <w:right w:val="nil"/>
            </w:tcBorders>
            <w:shd w:val="clear" w:color="auto" w:fill="C0C0C0"/>
            <w:noWrap/>
            <w:hideMark/>
          </w:tcPr>
          <w:p w14:paraId="6C42A145" w14:textId="77777777" w:rsidR="00D22CE3" w:rsidRPr="00F10391" w:rsidRDefault="00D22CE3">
            <w:pPr>
              <w:jc w:val="left"/>
            </w:pPr>
            <w:r w:rsidRPr="00F10391">
              <w:t>0.8</w:t>
            </w:r>
          </w:p>
        </w:tc>
        <w:tc>
          <w:tcPr>
            <w:tcW w:w="1842" w:type="dxa"/>
            <w:shd w:val="clear" w:color="auto" w:fill="C0C0C0"/>
            <w:noWrap/>
            <w:hideMark/>
          </w:tcPr>
          <w:p w14:paraId="5331D2D8" w14:textId="77777777" w:rsidR="00D22CE3" w:rsidRPr="00F10391" w:rsidRDefault="00D22CE3">
            <w:pPr>
              <w:jc w:val="left"/>
            </w:pPr>
            <w:r w:rsidRPr="00F10391">
              <w:t>0.1</w:t>
            </w:r>
          </w:p>
        </w:tc>
      </w:tr>
    </w:tbl>
    <w:p w14:paraId="7AEC4C20" w14:textId="77777777" w:rsidR="00D22CE3" w:rsidRPr="00F10391" w:rsidRDefault="00D22CE3" w:rsidP="00494A9A"/>
    <w:p w14:paraId="56315518" w14:textId="77777777" w:rsidR="00D22CE3" w:rsidRPr="00F10391" w:rsidRDefault="00D22CE3" w:rsidP="00494A9A">
      <w:r w:rsidRPr="00F10391">
        <w:lastRenderedPageBreak/>
        <w:t>Value measurement models, as explained in the last section, would be ready at this stage to calculate total scores, given we already have weights and scores for each alternative on each criterion. However, outranking approaches require the calculation of concordance and discordance indices to investigate how well the alternatives do on key criteria. In this way they do not allow trade-offs in the same sense as the value measurement approaches do. However, highlighting potentially infeasible decisions in this way may be more practical in certain circumstances.</w:t>
      </w:r>
    </w:p>
    <w:p w14:paraId="3D9A6218" w14:textId="77777777" w:rsidR="00D22CE3" w:rsidRPr="00F10391" w:rsidRDefault="00D22CE3" w:rsidP="00494A9A">
      <w:r w:rsidRPr="00F10391">
        <w:t xml:space="preserve">Both indices are calculated n*(n-1) times, where n is the number of alternatives, and the index F(i,j) will not necessarily be equal to F(j,i) or its reciprocal. </w:t>
      </w:r>
    </w:p>
    <w:p w14:paraId="66B20D88" w14:textId="6AFC80A2" w:rsidR="00D22CE3" w:rsidRPr="00F10391" w:rsidRDefault="00D22CE3" w:rsidP="00490B5D">
      <w:pPr>
        <w:pStyle w:val="Caption"/>
      </w:pPr>
      <w:bookmarkStart w:id="159" w:name="_Toc444180790"/>
      <w:bookmarkStart w:id="160" w:name="_Toc476241425"/>
      <w:r w:rsidRPr="00F10391">
        <w:t xml:space="preserve">Table </w:t>
      </w:r>
      <w:r w:rsidR="000F1034">
        <w:fldChar w:fldCharType="begin"/>
      </w:r>
      <w:r w:rsidR="000F1034">
        <w:instrText xml:space="preserve"> STYLEREF 1 \s </w:instrText>
      </w:r>
      <w:r w:rsidR="000F1034">
        <w:fldChar w:fldCharType="separate"/>
      </w:r>
      <w:r w:rsidR="00B37229">
        <w:rPr>
          <w:noProof/>
        </w:rPr>
        <w:t>2</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7</w:t>
      </w:r>
      <w:r w:rsidR="000F1034">
        <w:rPr>
          <w:noProof/>
        </w:rPr>
        <w:fldChar w:fldCharType="end"/>
      </w:r>
      <w:r w:rsidRPr="00F10391">
        <w:t xml:space="preserve"> – Concordance and discordance indices and dominance relationships for each pair-wise comparison, using ELECTRE 1</w:t>
      </w:r>
      <w:bookmarkEnd w:id="159"/>
      <w:bookmarkEnd w:id="160"/>
    </w:p>
    <w:tbl>
      <w:tblPr>
        <w:tblW w:w="9356" w:type="dxa"/>
        <w:tblBorders>
          <w:top w:val="single" w:sz="8" w:space="0" w:color="000000"/>
          <w:bottom w:val="single" w:sz="8" w:space="0" w:color="000000"/>
        </w:tblBorders>
        <w:tblLayout w:type="fixed"/>
        <w:tblLook w:val="04A0" w:firstRow="1" w:lastRow="0" w:firstColumn="1" w:lastColumn="0" w:noHBand="0" w:noVBand="1"/>
      </w:tblPr>
      <w:tblGrid>
        <w:gridCol w:w="986"/>
        <w:gridCol w:w="928"/>
        <w:gridCol w:w="833"/>
        <w:gridCol w:w="314"/>
        <w:gridCol w:w="704"/>
        <w:gridCol w:w="704"/>
        <w:gridCol w:w="704"/>
        <w:gridCol w:w="707"/>
        <w:gridCol w:w="314"/>
        <w:gridCol w:w="1059"/>
        <w:gridCol w:w="1111"/>
        <w:gridCol w:w="992"/>
      </w:tblGrid>
      <w:tr w:rsidR="00D22CE3" w:rsidRPr="00F10391" w14:paraId="36B71E23" w14:textId="77777777" w:rsidTr="00D22CE3">
        <w:trPr>
          <w:trHeight w:val="764"/>
        </w:trPr>
        <w:tc>
          <w:tcPr>
            <w:tcW w:w="958" w:type="dxa"/>
            <w:tcBorders>
              <w:top w:val="single" w:sz="8" w:space="0" w:color="000000"/>
              <w:bottom w:val="single" w:sz="8" w:space="0" w:color="000000"/>
            </w:tcBorders>
            <w:shd w:val="clear" w:color="auto" w:fill="auto"/>
            <w:noWrap/>
            <w:hideMark/>
          </w:tcPr>
          <w:p w14:paraId="57BDF9F0" w14:textId="77777777" w:rsidR="00D22CE3" w:rsidRPr="00F10391" w:rsidRDefault="00D22CE3" w:rsidP="0063065F">
            <w:pPr>
              <w:jc w:val="left"/>
            </w:pPr>
            <w:r w:rsidRPr="00F10391">
              <w:t> </w:t>
            </w:r>
          </w:p>
        </w:tc>
        <w:tc>
          <w:tcPr>
            <w:tcW w:w="1710" w:type="dxa"/>
            <w:gridSpan w:val="2"/>
            <w:tcBorders>
              <w:top w:val="single" w:sz="8" w:space="0" w:color="000000"/>
              <w:bottom w:val="single" w:sz="8" w:space="0" w:color="000000"/>
            </w:tcBorders>
            <w:shd w:val="clear" w:color="auto" w:fill="auto"/>
            <w:noWrap/>
            <w:hideMark/>
          </w:tcPr>
          <w:p w14:paraId="2E2A5CBB" w14:textId="77777777" w:rsidR="00D22CE3" w:rsidRPr="00F10391" w:rsidRDefault="00D22CE3" w:rsidP="0063065F">
            <w:pPr>
              <w:jc w:val="left"/>
            </w:pPr>
            <w:r w:rsidRPr="00F10391">
              <w:t>Concordance</w:t>
            </w:r>
          </w:p>
        </w:tc>
        <w:tc>
          <w:tcPr>
            <w:tcW w:w="305" w:type="dxa"/>
            <w:tcBorders>
              <w:top w:val="single" w:sz="8" w:space="0" w:color="000000"/>
              <w:bottom w:val="single" w:sz="8" w:space="0" w:color="000000"/>
            </w:tcBorders>
            <w:shd w:val="clear" w:color="auto" w:fill="auto"/>
            <w:noWrap/>
            <w:hideMark/>
          </w:tcPr>
          <w:p w14:paraId="2A344508" w14:textId="77777777" w:rsidR="00D22CE3" w:rsidRPr="00F10391" w:rsidRDefault="00D22CE3" w:rsidP="0063065F">
            <w:pPr>
              <w:jc w:val="left"/>
            </w:pPr>
          </w:p>
        </w:tc>
        <w:tc>
          <w:tcPr>
            <w:tcW w:w="2735" w:type="dxa"/>
            <w:gridSpan w:val="4"/>
            <w:tcBorders>
              <w:top w:val="single" w:sz="8" w:space="0" w:color="000000"/>
              <w:bottom w:val="single" w:sz="8" w:space="0" w:color="000000"/>
            </w:tcBorders>
            <w:shd w:val="clear" w:color="auto" w:fill="auto"/>
            <w:noWrap/>
            <w:hideMark/>
          </w:tcPr>
          <w:p w14:paraId="3249083E" w14:textId="77777777" w:rsidR="00D22CE3" w:rsidRPr="00F10391" w:rsidRDefault="00D22CE3" w:rsidP="0063065F">
            <w:pPr>
              <w:jc w:val="left"/>
            </w:pPr>
            <w:r w:rsidRPr="00F10391">
              <w:t>Discordance</w:t>
            </w:r>
          </w:p>
        </w:tc>
        <w:tc>
          <w:tcPr>
            <w:tcW w:w="305" w:type="dxa"/>
            <w:tcBorders>
              <w:top w:val="single" w:sz="8" w:space="0" w:color="000000"/>
              <w:bottom w:val="single" w:sz="8" w:space="0" w:color="000000"/>
            </w:tcBorders>
            <w:shd w:val="clear" w:color="auto" w:fill="auto"/>
            <w:noWrap/>
            <w:hideMark/>
          </w:tcPr>
          <w:p w14:paraId="36CDFF2D" w14:textId="77777777" w:rsidR="00D22CE3" w:rsidRPr="00F10391" w:rsidRDefault="00D22CE3" w:rsidP="0063065F">
            <w:pPr>
              <w:jc w:val="left"/>
            </w:pPr>
            <w:r w:rsidRPr="00F10391">
              <w:t> </w:t>
            </w:r>
          </w:p>
        </w:tc>
        <w:tc>
          <w:tcPr>
            <w:tcW w:w="3070" w:type="dxa"/>
            <w:gridSpan w:val="3"/>
            <w:tcBorders>
              <w:top w:val="single" w:sz="8" w:space="0" w:color="000000"/>
              <w:bottom w:val="single" w:sz="8" w:space="0" w:color="000000"/>
            </w:tcBorders>
            <w:shd w:val="clear" w:color="auto" w:fill="auto"/>
            <w:noWrap/>
            <w:hideMark/>
          </w:tcPr>
          <w:p w14:paraId="17C33439" w14:textId="77777777" w:rsidR="00D22CE3" w:rsidRPr="00F10391" w:rsidRDefault="00D22CE3" w:rsidP="0063065F">
            <w:pPr>
              <w:jc w:val="left"/>
            </w:pPr>
            <w:r w:rsidRPr="00F10391">
              <w:t>Dominance</w:t>
            </w:r>
          </w:p>
        </w:tc>
      </w:tr>
      <w:tr w:rsidR="00D22CE3" w:rsidRPr="00F10391" w14:paraId="7499DBC6" w14:textId="77777777" w:rsidTr="00D22CE3">
        <w:trPr>
          <w:trHeight w:val="764"/>
        </w:trPr>
        <w:tc>
          <w:tcPr>
            <w:tcW w:w="958" w:type="dxa"/>
            <w:shd w:val="clear" w:color="auto" w:fill="C0C0C0"/>
            <w:noWrap/>
            <w:hideMark/>
          </w:tcPr>
          <w:p w14:paraId="2A0BFDBB" w14:textId="77777777" w:rsidR="00D22CE3" w:rsidRPr="00F10391" w:rsidRDefault="00D22CE3" w:rsidP="0063065F">
            <w:pPr>
              <w:jc w:val="left"/>
            </w:pPr>
            <w:r w:rsidRPr="00F10391">
              <w:t> i,j</w:t>
            </w:r>
          </w:p>
        </w:tc>
        <w:tc>
          <w:tcPr>
            <w:tcW w:w="901" w:type="dxa"/>
            <w:tcBorders>
              <w:left w:val="nil"/>
              <w:right w:val="nil"/>
            </w:tcBorders>
            <w:shd w:val="clear" w:color="auto" w:fill="C0C0C0"/>
            <w:noWrap/>
            <w:hideMark/>
          </w:tcPr>
          <w:p w14:paraId="2911C0AF" w14:textId="77777777" w:rsidR="00D22CE3" w:rsidRPr="00F10391" w:rsidRDefault="00D22CE3" w:rsidP="0063065F">
            <w:pPr>
              <w:jc w:val="left"/>
            </w:pPr>
            <w:r w:rsidRPr="00F10391">
              <w:t>i ≤ j</w:t>
            </w:r>
          </w:p>
        </w:tc>
        <w:tc>
          <w:tcPr>
            <w:tcW w:w="808" w:type="dxa"/>
            <w:shd w:val="clear" w:color="auto" w:fill="C0C0C0"/>
            <w:noWrap/>
            <w:hideMark/>
          </w:tcPr>
          <w:p w14:paraId="2919B392" w14:textId="77777777" w:rsidR="00D22CE3" w:rsidRPr="00F10391" w:rsidRDefault="00D22CE3" w:rsidP="0063065F">
            <w:pPr>
              <w:jc w:val="left"/>
            </w:pPr>
            <w:r w:rsidRPr="00F10391">
              <w:t>Total</w:t>
            </w:r>
          </w:p>
        </w:tc>
        <w:tc>
          <w:tcPr>
            <w:tcW w:w="305" w:type="dxa"/>
            <w:tcBorders>
              <w:left w:val="nil"/>
              <w:right w:val="nil"/>
            </w:tcBorders>
            <w:shd w:val="clear" w:color="auto" w:fill="C0C0C0"/>
            <w:noWrap/>
            <w:hideMark/>
          </w:tcPr>
          <w:p w14:paraId="5A0AB224" w14:textId="77777777" w:rsidR="00D22CE3" w:rsidRPr="00F10391" w:rsidRDefault="00D22CE3" w:rsidP="0063065F">
            <w:pPr>
              <w:jc w:val="left"/>
            </w:pPr>
            <w:r w:rsidRPr="00F10391">
              <w:t> </w:t>
            </w:r>
          </w:p>
        </w:tc>
        <w:tc>
          <w:tcPr>
            <w:tcW w:w="683" w:type="dxa"/>
            <w:shd w:val="clear" w:color="auto" w:fill="C0C0C0"/>
            <w:noWrap/>
            <w:hideMark/>
          </w:tcPr>
          <w:p w14:paraId="67610191" w14:textId="77777777" w:rsidR="00D22CE3" w:rsidRPr="00F10391" w:rsidRDefault="00D22CE3" w:rsidP="0063065F">
            <w:pPr>
              <w:jc w:val="left"/>
            </w:pPr>
            <w:r w:rsidRPr="00F10391">
              <w:t>x</w:t>
            </w:r>
          </w:p>
        </w:tc>
        <w:tc>
          <w:tcPr>
            <w:tcW w:w="683" w:type="dxa"/>
            <w:tcBorders>
              <w:left w:val="nil"/>
              <w:right w:val="nil"/>
            </w:tcBorders>
            <w:shd w:val="clear" w:color="auto" w:fill="C0C0C0"/>
            <w:noWrap/>
            <w:hideMark/>
          </w:tcPr>
          <w:p w14:paraId="0F86067F" w14:textId="77777777" w:rsidR="00D22CE3" w:rsidRPr="00F10391" w:rsidRDefault="00D22CE3" w:rsidP="0063065F">
            <w:pPr>
              <w:jc w:val="left"/>
            </w:pPr>
            <w:r w:rsidRPr="00F10391">
              <w:t>y</w:t>
            </w:r>
          </w:p>
        </w:tc>
        <w:tc>
          <w:tcPr>
            <w:tcW w:w="683" w:type="dxa"/>
            <w:shd w:val="clear" w:color="auto" w:fill="C0C0C0"/>
            <w:noWrap/>
            <w:hideMark/>
          </w:tcPr>
          <w:p w14:paraId="23B4026A" w14:textId="77777777" w:rsidR="00D22CE3" w:rsidRPr="00F10391" w:rsidRDefault="00D22CE3" w:rsidP="0063065F">
            <w:pPr>
              <w:jc w:val="left"/>
            </w:pPr>
            <w:r w:rsidRPr="00F10391">
              <w:t>z</w:t>
            </w:r>
          </w:p>
        </w:tc>
        <w:tc>
          <w:tcPr>
            <w:tcW w:w="685" w:type="dxa"/>
            <w:tcBorders>
              <w:left w:val="nil"/>
              <w:right w:val="nil"/>
            </w:tcBorders>
            <w:shd w:val="clear" w:color="auto" w:fill="C0C0C0"/>
            <w:noWrap/>
            <w:hideMark/>
          </w:tcPr>
          <w:p w14:paraId="4BCD72E6" w14:textId="77777777" w:rsidR="00D22CE3" w:rsidRPr="00F10391" w:rsidRDefault="00D22CE3" w:rsidP="0063065F">
            <w:pPr>
              <w:jc w:val="left"/>
            </w:pPr>
            <w:r w:rsidRPr="00F10391">
              <w:t>Max</w:t>
            </w:r>
          </w:p>
        </w:tc>
        <w:tc>
          <w:tcPr>
            <w:tcW w:w="305" w:type="dxa"/>
            <w:shd w:val="clear" w:color="auto" w:fill="C0C0C0"/>
            <w:noWrap/>
            <w:hideMark/>
          </w:tcPr>
          <w:p w14:paraId="23BDCBF4" w14:textId="77777777" w:rsidR="00D22CE3" w:rsidRPr="00F10391" w:rsidRDefault="00D22CE3" w:rsidP="0063065F">
            <w:pPr>
              <w:jc w:val="left"/>
            </w:pPr>
            <w:r w:rsidRPr="00F10391">
              <w:t> </w:t>
            </w:r>
          </w:p>
        </w:tc>
        <w:tc>
          <w:tcPr>
            <w:tcW w:w="1028" w:type="dxa"/>
            <w:tcBorders>
              <w:left w:val="nil"/>
              <w:right w:val="nil"/>
            </w:tcBorders>
            <w:shd w:val="clear" w:color="auto" w:fill="C0C0C0"/>
            <w:noWrap/>
            <w:hideMark/>
          </w:tcPr>
          <w:p w14:paraId="434626C8" w14:textId="77777777" w:rsidR="00D22CE3" w:rsidRPr="00F10391" w:rsidRDefault="00D22CE3" w:rsidP="0063065F">
            <w:pPr>
              <w:jc w:val="left"/>
            </w:pPr>
            <w:r w:rsidRPr="00F10391">
              <w:t>c(i,j)&gt;c*</w:t>
            </w:r>
          </w:p>
        </w:tc>
        <w:tc>
          <w:tcPr>
            <w:tcW w:w="1079" w:type="dxa"/>
            <w:shd w:val="clear" w:color="auto" w:fill="C0C0C0"/>
            <w:noWrap/>
            <w:hideMark/>
          </w:tcPr>
          <w:p w14:paraId="754AAA02" w14:textId="77777777" w:rsidR="00D22CE3" w:rsidRPr="00F10391" w:rsidRDefault="00D22CE3" w:rsidP="0063065F">
            <w:pPr>
              <w:jc w:val="left"/>
            </w:pPr>
            <w:r w:rsidRPr="00F10391">
              <w:t>d(i,j)&lt;d*</w:t>
            </w:r>
          </w:p>
        </w:tc>
        <w:tc>
          <w:tcPr>
            <w:tcW w:w="963" w:type="dxa"/>
            <w:tcBorders>
              <w:left w:val="nil"/>
              <w:right w:val="nil"/>
            </w:tcBorders>
            <w:shd w:val="clear" w:color="auto" w:fill="C0C0C0"/>
            <w:noWrap/>
            <w:hideMark/>
          </w:tcPr>
          <w:p w14:paraId="4C690962" w14:textId="77777777" w:rsidR="00D22CE3" w:rsidRPr="00F10391" w:rsidRDefault="00D22CE3" w:rsidP="0063065F">
            <w:pPr>
              <w:jc w:val="left"/>
            </w:pPr>
            <w:r w:rsidRPr="00F10391">
              <w:t>Overall</w:t>
            </w:r>
          </w:p>
        </w:tc>
      </w:tr>
      <w:tr w:rsidR="00D22CE3" w:rsidRPr="00F10391" w14:paraId="1EDC414E" w14:textId="77777777" w:rsidTr="00D22CE3">
        <w:trPr>
          <w:trHeight w:val="764"/>
        </w:trPr>
        <w:tc>
          <w:tcPr>
            <w:tcW w:w="958" w:type="dxa"/>
            <w:shd w:val="clear" w:color="auto" w:fill="auto"/>
            <w:noWrap/>
            <w:hideMark/>
          </w:tcPr>
          <w:p w14:paraId="4D913FB4" w14:textId="77777777" w:rsidR="00D22CE3" w:rsidRPr="00F10391" w:rsidRDefault="00D22CE3" w:rsidP="0063065F">
            <w:pPr>
              <w:jc w:val="left"/>
            </w:pPr>
            <w:r w:rsidRPr="00F10391">
              <w:t>a,b</w:t>
            </w:r>
          </w:p>
        </w:tc>
        <w:tc>
          <w:tcPr>
            <w:tcW w:w="901" w:type="dxa"/>
            <w:shd w:val="clear" w:color="auto" w:fill="auto"/>
            <w:noWrap/>
            <w:hideMark/>
          </w:tcPr>
          <w:p w14:paraId="5845B122" w14:textId="77777777" w:rsidR="00D22CE3" w:rsidRPr="00F10391" w:rsidRDefault="00D22CE3" w:rsidP="0063065F">
            <w:pPr>
              <w:jc w:val="left"/>
            </w:pPr>
            <w:r w:rsidRPr="00F10391">
              <w:t>y,z</w:t>
            </w:r>
          </w:p>
        </w:tc>
        <w:tc>
          <w:tcPr>
            <w:tcW w:w="808" w:type="dxa"/>
            <w:shd w:val="clear" w:color="auto" w:fill="auto"/>
            <w:noWrap/>
            <w:hideMark/>
          </w:tcPr>
          <w:p w14:paraId="04A94FE7" w14:textId="77777777" w:rsidR="00D22CE3" w:rsidRPr="00F10391" w:rsidRDefault="00D22CE3" w:rsidP="0063065F">
            <w:pPr>
              <w:jc w:val="left"/>
            </w:pPr>
            <w:r w:rsidRPr="00F10391">
              <w:t>0.40</w:t>
            </w:r>
          </w:p>
        </w:tc>
        <w:tc>
          <w:tcPr>
            <w:tcW w:w="305" w:type="dxa"/>
            <w:shd w:val="clear" w:color="auto" w:fill="auto"/>
            <w:noWrap/>
            <w:hideMark/>
          </w:tcPr>
          <w:p w14:paraId="6E6B0FA1" w14:textId="77777777" w:rsidR="00D22CE3" w:rsidRPr="00F10391" w:rsidRDefault="00D22CE3" w:rsidP="0063065F">
            <w:pPr>
              <w:jc w:val="left"/>
            </w:pPr>
            <w:r w:rsidRPr="00F10391">
              <w:t> </w:t>
            </w:r>
          </w:p>
        </w:tc>
        <w:tc>
          <w:tcPr>
            <w:tcW w:w="683" w:type="dxa"/>
            <w:shd w:val="clear" w:color="auto" w:fill="auto"/>
            <w:noWrap/>
            <w:hideMark/>
          </w:tcPr>
          <w:p w14:paraId="1C4394F8" w14:textId="77777777" w:rsidR="00D22CE3" w:rsidRPr="00F10391" w:rsidRDefault="00D22CE3" w:rsidP="0063065F">
            <w:pPr>
              <w:jc w:val="left"/>
            </w:pPr>
            <w:r w:rsidRPr="00F10391">
              <w:t>1.00</w:t>
            </w:r>
          </w:p>
        </w:tc>
        <w:tc>
          <w:tcPr>
            <w:tcW w:w="683" w:type="dxa"/>
            <w:shd w:val="clear" w:color="auto" w:fill="auto"/>
            <w:noWrap/>
            <w:hideMark/>
          </w:tcPr>
          <w:p w14:paraId="67B69CC6" w14:textId="77777777" w:rsidR="00D22CE3" w:rsidRPr="00F10391" w:rsidRDefault="00D22CE3" w:rsidP="0063065F">
            <w:pPr>
              <w:jc w:val="left"/>
            </w:pPr>
            <w:r w:rsidRPr="00F10391">
              <w:t>-</w:t>
            </w:r>
          </w:p>
        </w:tc>
        <w:tc>
          <w:tcPr>
            <w:tcW w:w="683" w:type="dxa"/>
            <w:shd w:val="clear" w:color="auto" w:fill="auto"/>
            <w:noWrap/>
            <w:hideMark/>
          </w:tcPr>
          <w:p w14:paraId="63A937FC" w14:textId="77777777" w:rsidR="00D22CE3" w:rsidRPr="00F10391" w:rsidRDefault="00D22CE3" w:rsidP="0063065F">
            <w:pPr>
              <w:jc w:val="left"/>
            </w:pPr>
            <w:r w:rsidRPr="00F10391">
              <w:t>-</w:t>
            </w:r>
          </w:p>
        </w:tc>
        <w:tc>
          <w:tcPr>
            <w:tcW w:w="685" w:type="dxa"/>
            <w:shd w:val="clear" w:color="auto" w:fill="auto"/>
            <w:noWrap/>
            <w:hideMark/>
          </w:tcPr>
          <w:p w14:paraId="6DD5B980" w14:textId="77777777" w:rsidR="00D22CE3" w:rsidRPr="00F10391" w:rsidRDefault="00D22CE3" w:rsidP="0063065F">
            <w:pPr>
              <w:jc w:val="left"/>
            </w:pPr>
            <w:r w:rsidRPr="00F10391">
              <w:t>1.00</w:t>
            </w:r>
          </w:p>
        </w:tc>
        <w:tc>
          <w:tcPr>
            <w:tcW w:w="305" w:type="dxa"/>
            <w:shd w:val="clear" w:color="auto" w:fill="auto"/>
            <w:noWrap/>
            <w:hideMark/>
          </w:tcPr>
          <w:p w14:paraId="3B3A667A" w14:textId="77777777" w:rsidR="00D22CE3" w:rsidRPr="00F10391" w:rsidRDefault="00D22CE3" w:rsidP="0063065F">
            <w:pPr>
              <w:jc w:val="left"/>
            </w:pPr>
            <w:r w:rsidRPr="00F10391">
              <w:t> </w:t>
            </w:r>
          </w:p>
        </w:tc>
        <w:tc>
          <w:tcPr>
            <w:tcW w:w="1028" w:type="dxa"/>
            <w:shd w:val="clear" w:color="auto" w:fill="auto"/>
            <w:noWrap/>
            <w:hideMark/>
          </w:tcPr>
          <w:p w14:paraId="4A7A1D47" w14:textId="77777777" w:rsidR="00D22CE3" w:rsidRPr="00F10391" w:rsidRDefault="00D22CE3" w:rsidP="0063065F">
            <w:pPr>
              <w:jc w:val="left"/>
            </w:pPr>
            <w:r w:rsidRPr="00F10391">
              <w:t> </w:t>
            </w:r>
          </w:p>
        </w:tc>
        <w:tc>
          <w:tcPr>
            <w:tcW w:w="1079" w:type="dxa"/>
            <w:shd w:val="clear" w:color="auto" w:fill="auto"/>
            <w:noWrap/>
            <w:hideMark/>
          </w:tcPr>
          <w:p w14:paraId="49C20728" w14:textId="77777777" w:rsidR="00D22CE3" w:rsidRPr="00F10391" w:rsidRDefault="00D22CE3" w:rsidP="0063065F">
            <w:pPr>
              <w:jc w:val="left"/>
            </w:pPr>
            <w:r w:rsidRPr="00F10391">
              <w:t> </w:t>
            </w:r>
          </w:p>
        </w:tc>
        <w:tc>
          <w:tcPr>
            <w:tcW w:w="963" w:type="dxa"/>
            <w:shd w:val="clear" w:color="auto" w:fill="auto"/>
            <w:noWrap/>
            <w:hideMark/>
          </w:tcPr>
          <w:p w14:paraId="3399659F" w14:textId="77777777" w:rsidR="00D22CE3" w:rsidRPr="00F10391" w:rsidRDefault="00D22CE3" w:rsidP="0063065F">
            <w:pPr>
              <w:jc w:val="left"/>
            </w:pPr>
            <w:r w:rsidRPr="00F10391">
              <w:t> </w:t>
            </w:r>
          </w:p>
        </w:tc>
      </w:tr>
      <w:tr w:rsidR="00D22CE3" w:rsidRPr="00F10391" w14:paraId="4B11086C" w14:textId="77777777" w:rsidTr="00D22CE3">
        <w:trPr>
          <w:trHeight w:val="764"/>
        </w:trPr>
        <w:tc>
          <w:tcPr>
            <w:tcW w:w="958" w:type="dxa"/>
            <w:shd w:val="clear" w:color="auto" w:fill="C0C0C0"/>
            <w:noWrap/>
            <w:hideMark/>
          </w:tcPr>
          <w:p w14:paraId="02C21E30" w14:textId="77777777" w:rsidR="00D22CE3" w:rsidRPr="00F10391" w:rsidRDefault="00D22CE3" w:rsidP="0063065F">
            <w:pPr>
              <w:jc w:val="left"/>
            </w:pPr>
            <w:r w:rsidRPr="00F10391">
              <w:t>a,c</w:t>
            </w:r>
          </w:p>
        </w:tc>
        <w:tc>
          <w:tcPr>
            <w:tcW w:w="901" w:type="dxa"/>
            <w:tcBorders>
              <w:left w:val="nil"/>
              <w:right w:val="nil"/>
            </w:tcBorders>
            <w:shd w:val="clear" w:color="auto" w:fill="C0C0C0"/>
            <w:noWrap/>
            <w:hideMark/>
          </w:tcPr>
          <w:p w14:paraId="6C0CCA89" w14:textId="77777777" w:rsidR="00D22CE3" w:rsidRPr="00F10391" w:rsidRDefault="00D22CE3" w:rsidP="0063065F">
            <w:pPr>
              <w:jc w:val="left"/>
            </w:pPr>
            <w:r w:rsidRPr="00F10391">
              <w:t>y,z</w:t>
            </w:r>
          </w:p>
        </w:tc>
        <w:tc>
          <w:tcPr>
            <w:tcW w:w="808" w:type="dxa"/>
            <w:shd w:val="clear" w:color="auto" w:fill="C0C0C0"/>
            <w:noWrap/>
            <w:hideMark/>
          </w:tcPr>
          <w:p w14:paraId="41C2E554" w14:textId="77777777" w:rsidR="00D22CE3" w:rsidRPr="00F10391" w:rsidRDefault="00D22CE3" w:rsidP="0063065F">
            <w:pPr>
              <w:jc w:val="left"/>
            </w:pPr>
            <w:r w:rsidRPr="00F10391">
              <w:t>0.40</w:t>
            </w:r>
          </w:p>
        </w:tc>
        <w:tc>
          <w:tcPr>
            <w:tcW w:w="305" w:type="dxa"/>
            <w:tcBorders>
              <w:left w:val="nil"/>
              <w:right w:val="nil"/>
            </w:tcBorders>
            <w:shd w:val="clear" w:color="auto" w:fill="C0C0C0"/>
            <w:noWrap/>
            <w:hideMark/>
          </w:tcPr>
          <w:p w14:paraId="6CE4A626" w14:textId="77777777" w:rsidR="00D22CE3" w:rsidRPr="00F10391" w:rsidRDefault="00D22CE3" w:rsidP="0063065F">
            <w:pPr>
              <w:jc w:val="left"/>
            </w:pPr>
            <w:r w:rsidRPr="00F10391">
              <w:t> </w:t>
            </w:r>
          </w:p>
        </w:tc>
        <w:tc>
          <w:tcPr>
            <w:tcW w:w="683" w:type="dxa"/>
            <w:shd w:val="clear" w:color="auto" w:fill="C0C0C0"/>
            <w:noWrap/>
            <w:hideMark/>
          </w:tcPr>
          <w:p w14:paraId="1AC6E975" w14:textId="77777777" w:rsidR="00D22CE3" w:rsidRPr="00F10391" w:rsidRDefault="00D22CE3" w:rsidP="0063065F">
            <w:pPr>
              <w:jc w:val="left"/>
            </w:pPr>
            <w:r w:rsidRPr="00F10391">
              <w:t>0.50</w:t>
            </w:r>
          </w:p>
        </w:tc>
        <w:tc>
          <w:tcPr>
            <w:tcW w:w="683" w:type="dxa"/>
            <w:tcBorders>
              <w:left w:val="nil"/>
              <w:right w:val="nil"/>
            </w:tcBorders>
            <w:shd w:val="clear" w:color="auto" w:fill="C0C0C0"/>
            <w:noWrap/>
            <w:hideMark/>
          </w:tcPr>
          <w:p w14:paraId="5BF6E579" w14:textId="77777777" w:rsidR="00D22CE3" w:rsidRPr="00F10391" w:rsidRDefault="00D22CE3" w:rsidP="0063065F">
            <w:pPr>
              <w:jc w:val="left"/>
            </w:pPr>
            <w:r w:rsidRPr="00F10391">
              <w:t>-</w:t>
            </w:r>
          </w:p>
        </w:tc>
        <w:tc>
          <w:tcPr>
            <w:tcW w:w="683" w:type="dxa"/>
            <w:shd w:val="clear" w:color="auto" w:fill="C0C0C0"/>
            <w:noWrap/>
            <w:hideMark/>
          </w:tcPr>
          <w:p w14:paraId="29CE4719" w14:textId="77777777" w:rsidR="00D22CE3" w:rsidRPr="00F10391" w:rsidRDefault="00D22CE3" w:rsidP="0063065F">
            <w:pPr>
              <w:jc w:val="left"/>
            </w:pPr>
            <w:r w:rsidRPr="00F10391">
              <w:t>-</w:t>
            </w:r>
          </w:p>
        </w:tc>
        <w:tc>
          <w:tcPr>
            <w:tcW w:w="685" w:type="dxa"/>
            <w:tcBorders>
              <w:left w:val="nil"/>
              <w:right w:val="nil"/>
            </w:tcBorders>
            <w:shd w:val="clear" w:color="auto" w:fill="C0C0C0"/>
            <w:noWrap/>
            <w:hideMark/>
          </w:tcPr>
          <w:p w14:paraId="698A5263" w14:textId="77777777" w:rsidR="00D22CE3" w:rsidRPr="00F10391" w:rsidRDefault="00D22CE3" w:rsidP="0063065F">
            <w:pPr>
              <w:jc w:val="left"/>
            </w:pPr>
            <w:r w:rsidRPr="00F10391">
              <w:t>0.50</w:t>
            </w:r>
          </w:p>
        </w:tc>
        <w:tc>
          <w:tcPr>
            <w:tcW w:w="305" w:type="dxa"/>
            <w:shd w:val="clear" w:color="auto" w:fill="C0C0C0"/>
            <w:noWrap/>
            <w:hideMark/>
          </w:tcPr>
          <w:p w14:paraId="7A8784AA" w14:textId="77777777" w:rsidR="00D22CE3" w:rsidRPr="00F10391" w:rsidRDefault="00D22CE3" w:rsidP="0063065F">
            <w:pPr>
              <w:jc w:val="left"/>
            </w:pPr>
            <w:r w:rsidRPr="00F10391">
              <w:t> </w:t>
            </w:r>
          </w:p>
        </w:tc>
        <w:tc>
          <w:tcPr>
            <w:tcW w:w="1028" w:type="dxa"/>
            <w:tcBorders>
              <w:left w:val="nil"/>
              <w:right w:val="nil"/>
            </w:tcBorders>
            <w:shd w:val="clear" w:color="auto" w:fill="C0C0C0"/>
            <w:noWrap/>
            <w:hideMark/>
          </w:tcPr>
          <w:p w14:paraId="3BF972C2" w14:textId="77777777" w:rsidR="00D22CE3" w:rsidRPr="00F10391" w:rsidRDefault="00D22CE3" w:rsidP="0063065F">
            <w:pPr>
              <w:jc w:val="left"/>
            </w:pPr>
            <w:r w:rsidRPr="00F10391">
              <w:t> </w:t>
            </w:r>
          </w:p>
        </w:tc>
        <w:tc>
          <w:tcPr>
            <w:tcW w:w="1079" w:type="dxa"/>
            <w:shd w:val="clear" w:color="auto" w:fill="C0C0C0"/>
            <w:noWrap/>
            <w:hideMark/>
          </w:tcPr>
          <w:p w14:paraId="6BB43FD6" w14:textId="77777777" w:rsidR="00D22CE3" w:rsidRPr="00F10391" w:rsidRDefault="00D22CE3" w:rsidP="0063065F">
            <w:pPr>
              <w:jc w:val="left"/>
            </w:pPr>
            <w:r w:rsidRPr="00F10391">
              <w:t>Yes</w:t>
            </w:r>
          </w:p>
        </w:tc>
        <w:tc>
          <w:tcPr>
            <w:tcW w:w="963" w:type="dxa"/>
            <w:tcBorders>
              <w:left w:val="nil"/>
              <w:right w:val="nil"/>
            </w:tcBorders>
            <w:shd w:val="clear" w:color="auto" w:fill="C0C0C0"/>
            <w:noWrap/>
            <w:hideMark/>
          </w:tcPr>
          <w:p w14:paraId="7D01D9E4" w14:textId="77777777" w:rsidR="00D22CE3" w:rsidRPr="00F10391" w:rsidRDefault="00D22CE3" w:rsidP="0063065F">
            <w:pPr>
              <w:jc w:val="left"/>
            </w:pPr>
            <w:r w:rsidRPr="00F10391">
              <w:t> </w:t>
            </w:r>
          </w:p>
        </w:tc>
      </w:tr>
      <w:tr w:rsidR="00D22CE3" w:rsidRPr="00F10391" w14:paraId="198AADDB" w14:textId="77777777" w:rsidTr="00D22CE3">
        <w:trPr>
          <w:trHeight w:val="764"/>
        </w:trPr>
        <w:tc>
          <w:tcPr>
            <w:tcW w:w="958" w:type="dxa"/>
            <w:shd w:val="clear" w:color="auto" w:fill="auto"/>
            <w:noWrap/>
            <w:hideMark/>
          </w:tcPr>
          <w:p w14:paraId="677CF62B" w14:textId="77777777" w:rsidR="00D22CE3" w:rsidRPr="00F10391" w:rsidRDefault="00D22CE3" w:rsidP="0063065F">
            <w:pPr>
              <w:jc w:val="left"/>
            </w:pPr>
            <w:r w:rsidRPr="00F10391">
              <w:t>b,a</w:t>
            </w:r>
          </w:p>
        </w:tc>
        <w:tc>
          <w:tcPr>
            <w:tcW w:w="901" w:type="dxa"/>
            <w:shd w:val="clear" w:color="auto" w:fill="auto"/>
            <w:noWrap/>
            <w:hideMark/>
          </w:tcPr>
          <w:p w14:paraId="3FFCAEC8" w14:textId="77777777" w:rsidR="00D22CE3" w:rsidRPr="00F10391" w:rsidRDefault="00D22CE3" w:rsidP="0063065F">
            <w:pPr>
              <w:jc w:val="left"/>
            </w:pPr>
            <w:r w:rsidRPr="00F10391">
              <w:t>x,y</w:t>
            </w:r>
          </w:p>
        </w:tc>
        <w:tc>
          <w:tcPr>
            <w:tcW w:w="808" w:type="dxa"/>
            <w:shd w:val="clear" w:color="auto" w:fill="auto"/>
            <w:noWrap/>
            <w:hideMark/>
          </w:tcPr>
          <w:p w14:paraId="5BC9FC5B" w14:textId="77777777" w:rsidR="00D22CE3" w:rsidRPr="00F10391" w:rsidRDefault="00D22CE3" w:rsidP="0063065F">
            <w:pPr>
              <w:jc w:val="left"/>
            </w:pPr>
            <w:r w:rsidRPr="00F10391">
              <w:t>0.85</w:t>
            </w:r>
          </w:p>
        </w:tc>
        <w:tc>
          <w:tcPr>
            <w:tcW w:w="305" w:type="dxa"/>
            <w:shd w:val="clear" w:color="auto" w:fill="auto"/>
            <w:noWrap/>
            <w:hideMark/>
          </w:tcPr>
          <w:p w14:paraId="6EE316C2" w14:textId="77777777" w:rsidR="00D22CE3" w:rsidRPr="00F10391" w:rsidRDefault="00D22CE3" w:rsidP="0063065F">
            <w:pPr>
              <w:jc w:val="left"/>
            </w:pPr>
            <w:r w:rsidRPr="00F10391">
              <w:t> </w:t>
            </w:r>
          </w:p>
        </w:tc>
        <w:tc>
          <w:tcPr>
            <w:tcW w:w="683" w:type="dxa"/>
            <w:shd w:val="clear" w:color="auto" w:fill="auto"/>
            <w:noWrap/>
            <w:hideMark/>
          </w:tcPr>
          <w:p w14:paraId="18ECF94E" w14:textId="77777777" w:rsidR="00D22CE3" w:rsidRPr="00F10391" w:rsidRDefault="00D22CE3" w:rsidP="0063065F">
            <w:pPr>
              <w:jc w:val="left"/>
            </w:pPr>
            <w:r w:rsidRPr="00F10391">
              <w:t>-</w:t>
            </w:r>
          </w:p>
        </w:tc>
        <w:tc>
          <w:tcPr>
            <w:tcW w:w="683" w:type="dxa"/>
            <w:shd w:val="clear" w:color="auto" w:fill="auto"/>
            <w:noWrap/>
            <w:hideMark/>
          </w:tcPr>
          <w:p w14:paraId="5624DD4E" w14:textId="77777777" w:rsidR="00D22CE3" w:rsidRPr="00F10391" w:rsidRDefault="00D22CE3" w:rsidP="0063065F">
            <w:pPr>
              <w:jc w:val="left"/>
            </w:pPr>
            <w:r w:rsidRPr="00F10391">
              <w:t>-</w:t>
            </w:r>
          </w:p>
        </w:tc>
        <w:tc>
          <w:tcPr>
            <w:tcW w:w="683" w:type="dxa"/>
            <w:shd w:val="clear" w:color="auto" w:fill="auto"/>
            <w:noWrap/>
            <w:hideMark/>
          </w:tcPr>
          <w:p w14:paraId="5F4AED79" w14:textId="77777777" w:rsidR="00D22CE3" w:rsidRPr="00F10391" w:rsidRDefault="00D22CE3" w:rsidP="0063065F">
            <w:pPr>
              <w:jc w:val="left"/>
            </w:pPr>
            <w:r w:rsidRPr="00F10391">
              <w:t>0.22</w:t>
            </w:r>
          </w:p>
        </w:tc>
        <w:tc>
          <w:tcPr>
            <w:tcW w:w="685" w:type="dxa"/>
            <w:shd w:val="clear" w:color="auto" w:fill="auto"/>
            <w:noWrap/>
            <w:hideMark/>
          </w:tcPr>
          <w:p w14:paraId="588529A0" w14:textId="77777777" w:rsidR="00D22CE3" w:rsidRPr="00F10391" w:rsidRDefault="00D22CE3" w:rsidP="0063065F">
            <w:pPr>
              <w:jc w:val="left"/>
            </w:pPr>
            <w:r w:rsidRPr="00F10391">
              <w:t>0.22</w:t>
            </w:r>
          </w:p>
        </w:tc>
        <w:tc>
          <w:tcPr>
            <w:tcW w:w="305" w:type="dxa"/>
            <w:shd w:val="clear" w:color="auto" w:fill="auto"/>
            <w:noWrap/>
            <w:hideMark/>
          </w:tcPr>
          <w:p w14:paraId="079AC3D5" w14:textId="77777777" w:rsidR="00D22CE3" w:rsidRPr="00F10391" w:rsidRDefault="00D22CE3" w:rsidP="0063065F">
            <w:pPr>
              <w:jc w:val="left"/>
            </w:pPr>
            <w:r w:rsidRPr="00F10391">
              <w:t> </w:t>
            </w:r>
          </w:p>
        </w:tc>
        <w:tc>
          <w:tcPr>
            <w:tcW w:w="1028" w:type="dxa"/>
            <w:shd w:val="clear" w:color="auto" w:fill="auto"/>
            <w:noWrap/>
            <w:hideMark/>
          </w:tcPr>
          <w:p w14:paraId="57577AA6" w14:textId="77777777" w:rsidR="00D22CE3" w:rsidRPr="00F10391" w:rsidRDefault="00D22CE3" w:rsidP="0063065F">
            <w:pPr>
              <w:jc w:val="left"/>
            </w:pPr>
            <w:r w:rsidRPr="00F10391">
              <w:t>Yes</w:t>
            </w:r>
          </w:p>
        </w:tc>
        <w:tc>
          <w:tcPr>
            <w:tcW w:w="1079" w:type="dxa"/>
            <w:shd w:val="clear" w:color="auto" w:fill="auto"/>
            <w:noWrap/>
            <w:hideMark/>
          </w:tcPr>
          <w:p w14:paraId="52091BF4" w14:textId="77777777" w:rsidR="00D22CE3" w:rsidRPr="00F10391" w:rsidRDefault="00D22CE3" w:rsidP="0063065F">
            <w:pPr>
              <w:jc w:val="left"/>
            </w:pPr>
            <w:r w:rsidRPr="00F10391">
              <w:t>Yes</w:t>
            </w:r>
          </w:p>
        </w:tc>
        <w:tc>
          <w:tcPr>
            <w:tcW w:w="963" w:type="dxa"/>
            <w:shd w:val="clear" w:color="auto" w:fill="auto"/>
            <w:noWrap/>
            <w:hideMark/>
          </w:tcPr>
          <w:p w14:paraId="42823DD3" w14:textId="77777777" w:rsidR="00D22CE3" w:rsidRPr="00F10391" w:rsidRDefault="00D22CE3" w:rsidP="0063065F">
            <w:pPr>
              <w:jc w:val="left"/>
            </w:pPr>
            <w:r w:rsidRPr="00F10391">
              <w:t>Yes</w:t>
            </w:r>
          </w:p>
        </w:tc>
      </w:tr>
      <w:tr w:rsidR="00D22CE3" w:rsidRPr="00F10391" w14:paraId="2B35D818" w14:textId="77777777" w:rsidTr="00D22CE3">
        <w:trPr>
          <w:trHeight w:val="764"/>
        </w:trPr>
        <w:tc>
          <w:tcPr>
            <w:tcW w:w="958" w:type="dxa"/>
            <w:shd w:val="clear" w:color="auto" w:fill="C0C0C0"/>
            <w:noWrap/>
            <w:hideMark/>
          </w:tcPr>
          <w:p w14:paraId="783C7B1A" w14:textId="77777777" w:rsidR="00D22CE3" w:rsidRPr="00F10391" w:rsidRDefault="00D22CE3" w:rsidP="0063065F">
            <w:pPr>
              <w:jc w:val="left"/>
            </w:pPr>
            <w:r w:rsidRPr="00F10391">
              <w:t>b,c</w:t>
            </w:r>
          </w:p>
        </w:tc>
        <w:tc>
          <w:tcPr>
            <w:tcW w:w="901" w:type="dxa"/>
            <w:tcBorders>
              <w:left w:val="nil"/>
              <w:right w:val="nil"/>
            </w:tcBorders>
            <w:shd w:val="clear" w:color="auto" w:fill="C0C0C0"/>
            <w:noWrap/>
            <w:hideMark/>
          </w:tcPr>
          <w:p w14:paraId="434B9EC3" w14:textId="77777777" w:rsidR="00D22CE3" w:rsidRPr="00F10391" w:rsidRDefault="00D22CE3" w:rsidP="0063065F">
            <w:pPr>
              <w:jc w:val="left"/>
            </w:pPr>
            <w:r w:rsidRPr="00F10391">
              <w:t>x,y,z</w:t>
            </w:r>
          </w:p>
        </w:tc>
        <w:tc>
          <w:tcPr>
            <w:tcW w:w="808" w:type="dxa"/>
            <w:shd w:val="clear" w:color="auto" w:fill="C0C0C0"/>
            <w:noWrap/>
            <w:hideMark/>
          </w:tcPr>
          <w:p w14:paraId="471684AB" w14:textId="77777777" w:rsidR="00D22CE3" w:rsidRPr="00F10391" w:rsidRDefault="00D22CE3" w:rsidP="0063065F">
            <w:pPr>
              <w:jc w:val="left"/>
            </w:pPr>
            <w:r w:rsidRPr="00F10391">
              <w:t>1.00</w:t>
            </w:r>
          </w:p>
        </w:tc>
        <w:tc>
          <w:tcPr>
            <w:tcW w:w="305" w:type="dxa"/>
            <w:tcBorders>
              <w:left w:val="nil"/>
              <w:right w:val="nil"/>
            </w:tcBorders>
            <w:shd w:val="clear" w:color="auto" w:fill="C0C0C0"/>
            <w:noWrap/>
            <w:hideMark/>
          </w:tcPr>
          <w:p w14:paraId="45EC6831" w14:textId="77777777" w:rsidR="00D22CE3" w:rsidRPr="00F10391" w:rsidRDefault="00D22CE3" w:rsidP="0063065F">
            <w:pPr>
              <w:jc w:val="left"/>
            </w:pPr>
            <w:r w:rsidRPr="00F10391">
              <w:t> </w:t>
            </w:r>
          </w:p>
        </w:tc>
        <w:tc>
          <w:tcPr>
            <w:tcW w:w="683" w:type="dxa"/>
            <w:shd w:val="clear" w:color="auto" w:fill="C0C0C0"/>
            <w:noWrap/>
            <w:hideMark/>
          </w:tcPr>
          <w:p w14:paraId="1965F200" w14:textId="77777777" w:rsidR="00D22CE3" w:rsidRPr="00F10391" w:rsidRDefault="00D22CE3" w:rsidP="0063065F">
            <w:pPr>
              <w:jc w:val="left"/>
            </w:pPr>
            <w:r w:rsidRPr="00F10391">
              <w:t>-</w:t>
            </w:r>
          </w:p>
        </w:tc>
        <w:tc>
          <w:tcPr>
            <w:tcW w:w="683" w:type="dxa"/>
            <w:tcBorders>
              <w:left w:val="nil"/>
              <w:right w:val="nil"/>
            </w:tcBorders>
            <w:shd w:val="clear" w:color="auto" w:fill="C0C0C0"/>
            <w:noWrap/>
            <w:hideMark/>
          </w:tcPr>
          <w:p w14:paraId="7701A770" w14:textId="77777777" w:rsidR="00D22CE3" w:rsidRPr="00F10391" w:rsidRDefault="00D22CE3" w:rsidP="0063065F">
            <w:pPr>
              <w:jc w:val="left"/>
            </w:pPr>
            <w:r w:rsidRPr="00F10391">
              <w:t>-</w:t>
            </w:r>
          </w:p>
        </w:tc>
        <w:tc>
          <w:tcPr>
            <w:tcW w:w="683" w:type="dxa"/>
            <w:shd w:val="clear" w:color="auto" w:fill="C0C0C0"/>
            <w:noWrap/>
            <w:hideMark/>
          </w:tcPr>
          <w:p w14:paraId="158171CB" w14:textId="77777777" w:rsidR="00D22CE3" w:rsidRPr="00F10391" w:rsidRDefault="00D22CE3" w:rsidP="0063065F">
            <w:pPr>
              <w:jc w:val="left"/>
            </w:pPr>
            <w:r w:rsidRPr="00F10391">
              <w:t>-</w:t>
            </w:r>
          </w:p>
        </w:tc>
        <w:tc>
          <w:tcPr>
            <w:tcW w:w="685" w:type="dxa"/>
            <w:tcBorders>
              <w:left w:val="nil"/>
              <w:right w:val="nil"/>
            </w:tcBorders>
            <w:shd w:val="clear" w:color="auto" w:fill="C0C0C0"/>
            <w:noWrap/>
            <w:hideMark/>
          </w:tcPr>
          <w:p w14:paraId="21F74733" w14:textId="77777777" w:rsidR="00D22CE3" w:rsidRPr="00F10391" w:rsidRDefault="00D22CE3" w:rsidP="0063065F">
            <w:pPr>
              <w:jc w:val="left"/>
            </w:pPr>
            <w:r w:rsidRPr="00F10391">
              <w:t>0.00</w:t>
            </w:r>
          </w:p>
        </w:tc>
        <w:tc>
          <w:tcPr>
            <w:tcW w:w="305" w:type="dxa"/>
            <w:shd w:val="clear" w:color="auto" w:fill="C0C0C0"/>
            <w:noWrap/>
            <w:hideMark/>
          </w:tcPr>
          <w:p w14:paraId="267329D3" w14:textId="77777777" w:rsidR="00D22CE3" w:rsidRPr="00F10391" w:rsidRDefault="00D22CE3" w:rsidP="0063065F">
            <w:pPr>
              <w:jc w:val="left"/>
            </w:pPr>
            <w:r w:rsidRPr="00F10391">
              <w:t> </w:t>
            </w:r>
          </w:p>
        </w:tc>
        <w:tc>
          <w:tcPr>
            <w:tcW w:w="1028" w:type="dxa"/>
            <w:tcBorders>
              <w:left w:val="nil"/>
              <w:right w:val="nil"/>
            </w:tcBorders>
            <w:shd w:val="clear" w:color="auto" w:fill="C0C0C0"/>
            <w:noWrap/>
            <w:hideMark/>
          </w:tcPr>
          <w:p w14:paraId="2B184345" w14:textId="77777777" w:rsidR="00D22CE3" w:rsidRPr="00F10391" w:rsidRDefault="00D22CE3" w:rsidP="0063065F">
            <w:pPr>
              <w:jc w:val="left"/>
            </w:pPr>
            <w:r w:rsidRPr="00F10391">
              <w:t>Yes</w:t>
            </w:r>
          </w:p>
        </w:tc>
        <w:tc>
          <w:tcPr>
            <w:tcW w:w="1079" w:type="dxa"/>
            <w:shd w:val="clear" w:color="auto" w:fill="C0C0C0"/>
            <w:noWrap/>
            <w:hideMark/>
          </w:tcPr>
          <w:p w14:paraId="5CD969B5" w14:textId="77777777" w:rsidR="00D22CE3" w:rsidRPr="00F10391" w:rsidRDefault="00D22CE3" w:rsidP="0063065F">
            <w:pPr>
              <w:jc w:val="left"/>
            </w:pPr>
            <w:r w:rsidRPr="00F10391">
              <w:t>Yes</w:t>
            </w:r>
          </w:p>
        </w:tc>
        <w:tc>
          <w:tcPr>
            <w:tcW w:w="963" w:type="dxa"/>
            <w:tcBorders>
              <w:left w:val="nil"/>
              <w:right w:val="nil"/>
            </w:tcBorders>
            <w:shd w:val="clear" w:color="auto" w:fill="C0C0C0"/>
            <w:noWrap/>
            <w:hideMark/>
          </w:tcPr>
          <w:p w14:paraId="1BB93513" w14:textId="77777777" w:rsidR="00D22CE3" w:rsidRPr="00F10391" w:rsidRDefault="00D22CE3" w:rsidP="0063065F">
            <w:pPr>
              <w:jc w:val="left"/>
            </w:pPr>
            <w:r w:rsidRPr="00F10391">
              <w:t>Yes</w:t>
            </w:r>
          </w:p>
        </w:tc>
      </w:tr>
      <w:tr w:rsidR="00D22CE3" w:rsidRPr="00F10391" w14:paraId="35909F0F" w14:textId="77777777" w:rsidTr="00D22CE3">
        <w:trPr>
          <w:trHeight w:val="764"/>
        </w:trPr>
        <w:tc>
          <w:tcPr>
            <w:tcW w:w="958" w:type="dxa"/>
            <w:shd w:val="clear" w:color="auto" w:fill="auto"/>
            <w:noWrap/>
            <w:hideMark/>
          </w:tcPr>
          <w:p w14:paraId="4BAFE16B" w14:textId="77777777" w:rsidR="00D22CE3" w:rsidRPr="00F10391" w:rsidRDefault="00D22CE3" w:rsidP="0063065F">
            <w:pPr>
              <w:jc w:val="left"/>
            </w:pPr>
            <w:r w:rsidRPr="00F10391">
              <w:t>c,a</w:t>
            </w:r>
          </w:p>
        </w:tc>
        <w:tc>
          <w:tcPr>
            <w:tcW w:w="901" w:type="dxa"/>
            <w:shd w:val="clear" w:color="auto" w:fill="auto"/>
            <w:noWrap/>
            <w:hideMark/>
          </w:tcPr>
          <w:p w14:paraId="35679166" w14:textId="77777777" w:rsidR="00D22CE3" w:rsidRPr="00F10391" w:rsidRDefault="00D22CE3" w:rsidP="0063065F">
            <w:pPr>
              <w:jc w:val="left"/>
            </w:pPr>
            <w:r w:rsidRPr="00F10391">
              <w:t>x</w:t>
            </w:r>
          </w:p>
        </w:tc>
        <w:tc>
          <w:tcPr>
            <w:tcW w:w="808" w:type="dxa"/>
            <w:shd w:val="clear" w:color="auto" w:fill="auto"/>
            <w:noWrap/>
            <w:hideMark/>
          </w:tcPr>
          <w:p w14:paraId="6141D37D" w14:textId="77777777" w:rsidR="00D22CE3" w:rsidRPr="00F10391" w:rsidRDefault="00D22CE3" w:rsidP="0063065F">
            <w:pPr>
              <w:jc w:val="left"/>
            </w:pPr>
            <w:r w:rsidRPr="00F10391">
              <w:t>0.60</w:t>
            </w:r>
          </w:p>
        </w:tc>
        <w:tc>
          <w:tcPr>
            <w:tcW w:w="305" w:type="dxa"/>
            <w:shd w:val="clear" w:color="auto" w:fill="auto"/>
            <w:noWrap/>
            <w:hideMark/>
          </w:tcPr>
          <w:p w14:paraId="355B4FA8" w14:textId="77777777" w:rsidR="00D22CE3" w:rsidRPr="00F10391" w:rsidRDefault="00D22CE3" w:rsidP="0063065F">
            <w:pPr>
              <w:jc w:val="left"/>
            </w:pPr>
            <w:r w:rsidRPr="00F10391">
              <w:t> </w:t>
            </w:r>
          </w:p>
        </w:tc>
        <w:tc>
          <w:tcPr>
            <w:tcW w:w="683" w:type="dxa"/>
            <w:shd w:val="clear" w:color="auto" w:fill="auto"/>
            <w:noWrap/>
            <w:hideMark/>
          </w:tcPr>
          <w:p w14:paraId="0B0BB36E" w14:textId="77777777" w:rsidR="00D22CE3" w:rsidRPr="00F10391" w:rsidRDefault="00D22CE3" w:rsidP="0063065F">
            <w:pPr>
              <w:jc w:val="left"/>
            </w:pPr>
            <w:r w:rsidRPr="00F10391">
              <w:t>-</w:t>
            </w:r>
          </w:p>
        </w:tc>
        <w:tc>
          <w:tcPr>
            <w:tcW w:w="683" w:type="dxa"/>
            <w:shd w:val="clear" w:color="auto" w:fill="auto"/>
            <w:noWrap/>
            <w:hideMark/>
          </w:tcPr>
          <w:p w14:paraId="5AEF3CCE" w14:textId="77777777" w:rsidR="00D22CE3" w:rsidRPr="00F10391" w:rsidRDefault="00D22CE3" w:rsidP="0063065F">
            <w:pPr>
              <w:jc w:val="left"/>
            </w:pPr>
            <w:r w:rsidRPr="00F10391">
              <w:t>1.00</w:t>
            </w:r>
          </w:p>
        </w:tc>
        <w:tc>
          <w:tcPr>
            <w:tcW w:w="683" w:type="dxa"/>
            <w:shd w:val="clear" w:color="auto" w:fill="auto"/>
            <w:noWrap/>
            <w:hideMark/>
          </w:tcPr>
          <w:p w14:paraId="26FC8D5E" w14:textId="77777777" w:rsidR="00D22CE3" w:rsidRPr="00F10391" w:rsidRDefault="00D22CE3" w:rsidP="0063065F">
            <w:pPr>
              <w:jc w:val="left"/>
            </w:pPr>
            <w:r w:rsidRPr="00F10391">
              <w:t>1.00</w:t>
            </w:r>
          </w:p>
        </w:tc>
        <w:tc>
          <w:tcPr>
            <w:tcW w:w="685" w:type="dxa"/>
            <w:shd w:val="clear" w:color="auto" w:fill="auto"/>
            <w:noWrap/>
            <w:hideMark/>
          </w:tcPr>
          <w:p w14:paraId="41C82385" w14:textId="77777777" w:rsidR="00D22CE3" w:rsidRPr="00F10391" w:rsidRDefault="00D22CE3" w:rsidP="0063065F">
            <w:pPr>
              <w:jc w:val="left"/>
            </w:pPr>
            <w:r w:rsidRPr="00F10391">
              <w:t>1.00</w:t>
            </w:r>
          </w:p>
        </w:tc>
        <w:tc>
          <w:tcPr>
            <w:tcW w:w="305" w:type="dxa"/>
            <w:shd w:val="clear" w:color="auto" w:fill="auto"/>
            <w:noWrap/>
            <w:hideMark/>
          </w:tcPr>
          <w:p w14:paraId="36076D06" w14:textId="77777777" w:rsidR="00D22CE3" w:rsidRPr="00F10391" w:rsidRDefault="00D22CE3" w:rsidP="0063065F">
            <w:pPr>
              <w:jc w:val="left"/>
            </w:pPr>
            <w:r w:rsidRPr="00F10391">
              <w:t> </w:t>
            </w:r>
          </w:p>
        </w:tc>
        <w:tc>
          <w:tcPr>
            <w:tcW w:w="1028" w:type="dxa"/>
            <w:shd w:val="clear" w:color="auto" w:fill="auto"/>
            <w:noWrap/>
            <w:hideMark/>
          </w:tcPr>
          <w:p w14:paraId="55EE5280" w14:textId="77777777" w:rsidR="00D22CE3" w:rsidRPr="00F10391" w:rsidRDefault="00D22CE3" w:rsidP="0063065F">
            <w:pPr>
              <w:jc w:val="left"/>
            </w:pPr>
            <w:r w:rsidRPr="00F10391">
              <w:t>Yes</w:t>
            </w:r>
          </w:p>
        </w:tc>
        <w:tc>
          <w:tcPr>
            <w:tcW w:w="1079" w:type="dxa"/>
            <w:shd w:val="clear" w:color="auto" w:fill="auto"/>
            <w:noWrap/>
            <w:hideMark/>
          </w:tcPr>
          <w:p w14:paraId="32DFD1BE" w14:textId="77777777" w:rsidR="00D22CE3" w:rsidRPr="00F10391" w:rsidRDefault="00D22CE3" w:rsidP="0063065F">
            <w:pPr>
              <w:jc w:val="left"/>
            </w:pPr>
            <w:r w:rsidRPr="00F10391">
              <w:t> </w:t>
            </w:r>
          </w:p>
        </w:tc>
        <w:tc>
          <w:tcPr>
            <w:tcW w:w="963" w:type="dxa"/>
            <w:shd w:val="clear" w:color="auto" w:fill="auto"/>
            <w:noWrap/>
            <w:hideMark/>
          </w:tcPr>
          <w:p w14:paraId="4F7E2650" w14:textId="77777777" w:rsidR="00D22CE3" w:rsidRPr="00F10391" w:rsidRDefault="00D22CE3" w:rsidP="0063065F">
            <w:pPr>
              <w:jc w:val="left"/>
            </w:pPr>
            <w:r w:rsidRPr="00F10391">
              <w:t> </w:t>
            </w:r>
          </w:p>
        </w:tc>
      </w:tr>
      <w:tr w:rsidR="00D22CE3" w:rsidRPr="00F10391" w14:paraId="5E47A6CD" w14:textId="77777777" w:rsidTr="00D22CE3">
        <w:trPr>
          <w:trHeight w:val="764"/>
        </w:trPr>
        <w:tc>
          <w:tcPr>
            <w:tcW w:w="958" w:type="dxa"/>
            <w:shd w:val="clear" w:color="auto" w:fill="C0C0C0"/>
            <w:noWrap/>
            <w:hideMark/>
          </w:tcPr>
          <w:p w14:paraId="0832CDAE" w14:textId="77777777" w:rsidR="00D22CE3" w:rsidRPr="00F10391" w:rsidRDefault="00D22CE3" w:rsidP="0063065F">
            <w:pPr>
              <w:jc w:val="left"/>
            </w:pPr>
            <w:r w:rsidRPr="00F10391">
              <w:t>c,b</w:t>
            </w:r>
          </w:p>
        </w:tc>
        <w:tc>
          <w:tcPr>
            <w:tcW w:w="901" w:type="dxa"/>
            <w:tcBorders>
              <w:left w:val="nil"/>
              <w:right w:val="nil"/>
            </w:tcBorders>
            <w:shd w:val="clear" w:color="auto" w:fill="C0C0C0"/>
            <w:noWrap/>
            <w:hideMark/>
          </w:tcPr>
          <w:p w14:paraId="20094DC7" w14:textId="77777777" w:rsidR="00D22CE3" w:rsidRPr="00F10391" w:rsidRDefault="00D22CE3" w:rsidP="0063065F">
            <w:pPr>
              <w:jc w:val="left"/>
            </w:pPr>
            <w:r w:rsidRPr="00F10391">
              <w:t>-</w:t>
            </w:r>
          </w:p>
        </w:tc>
        <w:tc>
          <w:tcPr>
            <w:tcW w:w="808" w:type="dxa"/>
            <w:shd w:val="clear" w:color="auto" w:fill="C0C0C0"/>
            <w:noWrap/>
            <w:hideMark/>
          </w:tcPr>
          <w:p w14:paraId="1FF97C4C" w14:textId="77777777" w:rsidR="00D22CE3" w:rsidRPr="00F10391" w:rsidRDefault="00D22CE3" w:rsidP="0063065F">
            <w:pPr>
              <w:jc w:val="left"/>
            </w:pPr>
            <w:r w:rsidRPr="00F10391">
              <w:t>0.00</w:t>
            </w:r>
          </w:p>
        </w:tc>
        <w:tc>
          <w:tcPr>
            <w:tcW w:w="305" w:type="dxa"/>
            <w:tcBorders>
              <w:left w:val="nil"/>
              <w:right w:val="nil"/>
            </w:tcBorders>
            <w:shd w:val="clear" w:color="auto" w:fill="C0C0C0"/>
            <w:noWrap/>
            <w:hideMark/>
          </w:tcPr>
          <w:p w14:paraId="41224182" w14:textId="77777777" w:rsidR="00D22CE3" w:rsidRPr="00F10391" w:rsidRDefault="00D22CE3" w:rsidP="0063065F">
            <w:pPr>
              <w:jc w:val="left"/>
            </w:pPr>
            <w:r w:rsidRPr="00F10391">
              <w:t> </w:t>
            </w:r>
          </w:p>
        </w:tc>
        <w:tc>
          <w:tcPr>
            <w:tcW w:w="683" w:type="dxa"/>
            <w:shd w:val="clear" w:color="auto" w:fill="C0C0C0"/>
            <w:noWrap/>
            <w:hideMark/>
          </w:tcPr>
          <w:p w14:paraId="5A37E028" w14:textId="77777777" w:rsidR="00D22CE3" w:rsidRPr="00F10391" w:rsidRDefault="00D22CE3" w:rsidP="0063065F">
            <w:pPr>
              <w:jc w:val="left"/>
            </w:pPr>
            <w:r w:rsidRPr="00F10391">
              <w:t>0.50</w:t>
            </w:r>
          </w:p>
        </w:tc>
        <w:tc>
          <w:tcPr>
            <w:tcW w:w="683" w:type="dxa"/>
            <w:tcBorders>
              <w:left w:val="nil"/>
              <w:right w:val="nil"/>
            </w:tcBorders>
            <w:shd w:val="clear" w:color="auto" w:fill="C0C0C0"/>
            <w:noWrap/>
            <w:hideMark/>
          </w:tcPr>
          <w:p w14:paraId="2C9F46C2" w14:textId="77777777" w:rsidR="00D22CE3" w:rsidRPr="00F10391" w:rsidRDefault="00D22CE3" w:rsidP="0063065F">
            <w:pPr>
              <w:jc w:val="left"/>
            </w:pPr>
            <w:r w:rsidRPr="00F10391">
              <w:t>1.00</w:t>
            </w:r>
          </w:p>
        </w:tc>
        <w:tc>
          <w:tcPr>
            <w:tcW w:w="683" w:type="dxa"/>
            <w:shd w:val="clear" w:color="auto" w:fill="C0C0C0"/>
            <w:noWrap/>
            <w:hideMark/>
          </w:tcPr>
          <w:p w14:paraId="756A4D5A" w14:textId="77777777" w:rsidR="00D22CE3" w:rsidRPr="00F10391" w:rsidRDefault="00D22CE3" w:rsidP="0063065F">
            <w:pPr>
              <w:jc w:val="left"/>
            </w:pPr>
            <w:r w:rsidRPr="00F10391">
              <w:t>0.78</w:t>
            </w:r>
          </w:p>
        </w:tc>
        <w:tc>
          <w:tcPr>
            <w:tcW w:w="685" w:type="dxa"/>
            <w:tcBorders>
              <w:left w:val="nil"/>
              <w:right w:val="nil"/>
            </w:tcBorders>
            <w:shd w:val="clear" w:color="auto" w:fill="C0C0C0"/>
            <w:noWrap/>
            <w:hideMark/>
          </w:tcPr>
          <w:p w14:paraId="0A265D7A" w14:textId="77777777" w:rsidR="00D22CE3" w:rsidRPr="00F10391" w:rsidRDefault="00D22CE3" w:rsidP="0063065F">
            <w:pPr>
              <w:jc w:val="left"/>
            </w:pPr>
            <w:r w:rsidRPr="00F10391">
              <w:t>1.00</w:t>
            </w:r>
          </w:p>
        </w:tc>
        <w:tc>
          <w:tcPr>
            <w:tcW w:w="305" w:type="dxa"/>
            <w:shd w:val="clear" w:color="auto" w:fill="C0C0C0"/>
            <w:noWrap/>
            <w:hideMark/>
          </w:tcPr>
          <w:p w14:paraId="7CDCB475" w14:textId="77777777" w:rsidR="00D22CE3" w:rsidRPr="00F10391" w:rsidRDefault="00D22CE3" w:rsidP="0063065F">
            <w:pPr>
              <w:jc w:val="left"/>
            </w:pPr>
            <w:r w:rsidRPr="00F10391">
              <w:t> </w:t>
            </w:r>
          </w:p>
        </w:tc>
        <w:tc>
          <w:tcPr>
            <w:tcW w:w="1028" w:type="dxa"/>
            <w:tcBorders>
              <w:left w:val="nil"/>
              <w:right w:val="nil"/>
            </w:tcBorders>
            <w:shd w:val="clear" w:color="auto" w:fill="C0C0C0"/>
            <w:noWrap/>
            <w:hideMark/>
          </w:tcPr>
          <w:p w14:paraId="3A03F3FA" w14:textId="77777777" w:rsidR="00D22CE3" w:rsidRPr="00F10391" w:rsidRDefault="00D22CE3" w:rsidP="0063065F">
            <w:pPr>
              <w:jc w:val="left"/>
            </w:pPr>
            <w:r w:rsidRPr="00F10391">
              <w:t> </w:t>
            </w:r>
          </w:p>
        </w:tc>
        <w:tc>
          <w:tcPr>
            <w:tcW w:w="1079" w:type="dxa"/>
            <w:shd w:val="clear" w:color="auto" w:fill="C0C0C0"/>
            <w:noWrap/>
            <w:hideMark/>
          </w:tcPr>
          <w:p w14:paraId="44B380E2" w14:textId="77777777" w:rsidR="00D22CE3" w:rsidRPr="00F10391" w:rsidRDefault="00D22CE3" w:rsidP="0063065F">
            <w:pPr>
              <w:jc w:val="left"/>
            </w:pPr>
            <w:r w:rsidRPr="00F10391">
              <w:t> </w:t>
            </w:r>
          </w:p>
        </w:tc>
        <w:tc>
          <w:tcPr>
            <w:tcW w:w="963" w:type="dxa"/>
            <w:tcBorders>
              <w:left w:val="nil"/>
              <w:right w:val="nil"/>
            </w:tcBorders>
            <w:shd w:val="clear" w:color="auto" w:fill="C0C0C0"/>
            <w:noWrap/>
            <w:hideMark/>
          </w:tcPr>
          <w:p w14:paraId="35642762" w14:textId="77777777" w:rsidR="00D22CE3" w:rsidRPr="00F10391" w:rsidRDefault="00D22CE3" w:rsidP="0063065F">
            <w:pPr>
              <w:jc w:val="left"/>
            </w:pPr>
            <w:r w:rsidRPr="00F10391">
              <w:t> </w:t>
            </w:r>
          </w:p>
        </w:tc>
      </w:tr>
      <w:tr w:rsidR="00D22CE3" w:rsidRPr="00F10391" w14:paraId="0D27390A" w14:textId="77777777" w:rsidTr="00D22CE3">
        <w:trPr>
          <w:trHeight w:val="764"/>
        </w:trPr>
        <w:tc>
          <w:tcPr>
            <w:tcW w:w="958" w:type="dxa"/>
            <w:shd w:val="clear" w:color="auto" w:fill="auto"/>
            <w:noWrap/>
            <w:hideMark/>
          </w:tcPr>
          <w:p w14:paraId="7DD6FC42" w14:textId="77777777" w:rsidR="00D22CE3" w:rsidRPr="00F10391" w:rsidRDefault="00D22CE3" w:rsidP="0063065F">
            <w:pPr>
              <w:jc w:val="left"/>
            </w:pPr>
            <w:r w:rsidRPr="00F10391">
              <w:t> </w:t>
            </w:r>
          </w:p>
        </w:tc>
        <w:tc>
          <w:tcPr>
            <w:tcW w:w="901" w:type="dxa"/>
            <w:shd w:val="clear" w:color="auto" w:fill="auto"/>
            <w:noWrap/>
            <w:hideMark/>
          </w:tcPr>
          <w:p w14:paraId="3B985E7F" w14:textId="77777777" w:rsidR="00D22CE3" w:rsidRPr="00F10391" w:rsidRDefault="00D22CE3" w:rsidP="0063065F">
            <w:pPr>
              <w:jc w:val="left"/>
            </w:pPr>
            <w:r w:rsidRPr="00F10391">
              <w:t>c*=</w:t>
            </w:r>
          </w:p>
        </w:tc>
        <w:tc>
          <w:tcPr>
            <w:tcW w:w="808" w:type="dxa"/>
            <w:shd w:val="clear" w:color="auto" w:fill="auto"/>
            <w:noWrap/>
            <w:hideMark/>
          </w:tcPr>
          <w:p w14:paraId="5F6E04FA" w14:textId="77777777" w:rsidR="00D22CE3" w:rsidRPr="00F10391" w:rsidRDefault="00D22CE3" w:rsidP="0063065F">
            <w:pPr>
              <w:jc w:val="left"/>
            </w:pPr>
            <w:r w:rsidRPr="00F10391">
              <w:t>0.54</w:t>
            </w:r>
          </w:p>
        </w:tc>
        <w:tc>
          <w:tcPr>
            <w:tcW w:w="305" w:type="dxa"/>
            <w:shd w:val="clear" w:color="auto" w:fill="auto"/>
            <w:noWrap/>
            <w:hideMark/>
          </w:tcPr>
          <w:p w14:paraId="1AC1D8AB" w14:textId="77777777" w:rsidR="00D22CE3" w:rsidRPr="00F10391" w:rsidRDefault="00D22CE3" w:rsidP="0063065F">
            <w:pPr>
              <w:jc w:val="left"/>
            </w:pPr>
            <w:r w:rsidRPr="00F10391">
              <w:t> </w:t>
            </w:r>
          </w:p>
        </w:tc>
        <w:tc>
          <w:tcPr>
            <w:tcW w:w="683" w:type="dxa"/>
            <w:shd w:val="clear" w:color="auto" w:fill="auto"/>
            <w:noWrap/>
            <w:hideMark/>
          </w:tcPr>
          <w:p w14:paraId="19A1D68A" w14:textId="77777777" w:rsidR="00D22CE3" w:rsidRPr="00F10391" w:rsidRDefault="00D22CE3" w:rsidP="0063065F">
            <w:pPr>
              <w:jc w:val="left"/>
            </w:pPr>
            <w:r w:rsidRPr="00F10391">
              <w:t> </w:t>
            </w:r>
          </w:p>
        </w:tc>
        <w:tc>
          <w:tcPr>
            <w:tcW w:w="683" w:type="dxa"/>
            <w:shd w:val="clear" w:color="auto" w:fill="auto"/>
            <w:noWrap/>
            <w:hideMark/>
          </w:tcPr>
          <w:p w14:paraId="70B02B5F" w14:textId="77777777" w:rsidR="00D22CE3" w:rsidRPr="00F10391" w:rsidRDefault="00D22CE3" w:rsidP="0063065F">
            <w:pPr>
              <w:jc w:val="left"/>
            </w:pPr>
            <w:r w:rsidRPr="00F10391">
              <w:t> </w:t>
            </w:r>
          </w:p>
        </w:tc>
        <w:tc>
          <w:tcPr>
            <w:tcW w:w="683" w:type="dxa"/>
            <w:shd w:val="clear" w:color="auto" w:fill="auto"/>
            <w:noWrap/>
            <w:hideMark/>
          </w:tcPr>
          <w:p w14:paraId="317CC10A" w14:textId="77777777" w:rsidR="00D22CE3" w:rsidRPr="00F10391" w:rsidRDefault="00D22CE3" w:rsidP="0063065F">
            <w:pPr>
              <w:jc w:val="left"/>
            </w:pPr>
            <w:r w:rsidRPr="00F10391">
              <w:t>d*=</w:t>
            </w:r>
          </w:p>
        </w:tc>
        <w:tc>
          <w:tcPr>
            <w:tcW w:w="685" w:type="dxa"/>
            <w:shd w:val="clear" w:color="auto" w:fill="auto"/>
            <w:noWrap/>
            <w:hideMark/>
          </w:tcPr>
          <w:p w14:paraId="1A067B45" w14:textId="77777777" w:rsidR="00D22CE3" w:rsidRPr="00F10391" w:rsidRDefault="00D22CE3" w:rsidP="0063065F">
            <w:pPr>
              <w:jc w:val="left"/>
            </w:pPr>
            <w:r w:rsidRPr="00F10391">
              <w:t>0.62</w:t>
            </w:r>
          </w:p>
        </w:tc>
        <w:tc>
          <w:tcPr>
            <w:tcW w:w="305" w:type="dxa"/>
            <w:shd w:val="clear" w:color="auto" w:fill="auto"/>
            <w:noWrap/>
            <w:hideMark/>
          </w:tcPr>
          <w:p w14:paraId="05B3C95B" w14:textId="77777777" w:rsidR="00D22CE3" w:rsidRPr="00F10391" w:rsidRDefault="00D22CE3" w:rsidP="0063065F">
            <w:pPr>
              <w:jc w:val="left"/>
            </w:pPr>
            <w:r w:rsidRPr="00F10391">
              <w:t> </w:t>
            </w:r>
          </w:p>
        </w:tc>
        <w:tc>
          <w:tcPr>
            <w:tcW w:w="1028" w:type="dxa"/>
            <w:shd w:val="clear" w:color="auto" w:fill="auto"/>
            <w:noWrap/>
            <w:hideMark/>
          </w:tcPr>
          <w:p w14:paraId="5D405FE1" w14:textId="77777777" w:rsidR="00D22CE3" w:rsidRPr="00F10391" w:rsidRDefault="00D22CE3" w:rsidP="0063065F">
            <w:pPr>
              <w:jc w:val="left"/>
            </w:pPr>
            <w:r w:rsidRPr="00F10391">
              <w:t> </w:t>
            </w:r>
          </w:p>
        </w:tc>
        <w:tc>
          <w:tcPr>
            <w:tcW w:w="1079" w:type="dxa"/>
            <w:shd w:val="clear" w:color="auto" w:fill="auto"/>
            <w:noWrap/>
            <w:hideMark/>
          </w:tcPr>
          <w:p w14:paraId="09AB20F2" w14:textId="77777777" w:rsidR="00D22CE3" w:rsidRPr="00F10391" w:rsidRDefault="00D22CE3" w:rsidP="0063065F">
            <w:pPr>
              <w:jc w:val="left"/>
            </w:pPr>
            <w:r w:rsidRPr="00F10391">
              <w:t> </w:t>
            </w:r>
          </w:p>
        </w:tc>
        <w:tc>
          <w:tcPr>
            <w:tcW w:w="963" w:type="dxa"/>
            <w:shd w:val="clear" w:color="auto" w:fill="auto"/>
            <w:noWrap/>
            <w:hideMark/>
          </w:tcPr>
          <w:p w14:paraId="051B8E1A" w14:textId="77777777" w:rsidR="00D22CE3" w:rsidRPr="00F10391" w:rsidRDefault="00D22CE3" w:rsidP="0063065F">
            <w:pPr>
              <w:jc w:val="left"/>
            </w:pPr>
            <w:r w:rsidRPr="00F10391">
              <w:t> </w:t>
            </w:r>
          </w:p>
        </w:tc>
      </w:tr>
    </w:tbl>
    <w:p w14:paraId="34C3F3F3" w14:textId="77777777" w:rsidR="00D22CE3" w:rsidRPr="00F10391" w:rsidRDefault="00D22CE3" w:rsidP="00494A9A"/>
    <w:p w14:paraId="5C727769" w14:textId="77777777" w:rsidR="00D22CE3" w:rsidRPr="00F10391" w:rsidRDefault="00D22CE3" w:rsidP="00494A9A">
      <w:pPr>
        <w:rPr>
          <w:rFonts w:eastAsia="Times New Roman"/>
          <w:color w:val="000000"/>
        </w:rPr>
      </w:pPr>
      <w:r w:rsidRPr="00F10391">
        <w:t xml:space="preserve">The concordance index [C(i,j)] is equal to the sum of the weights of criteria for which i has a greater or equal score than j </w:t>
      </w:r>
      <w:r w:rsidRPr="00F10391">
        <w:fldChar w:fldCharType="begin"/>
      </w:r>
      <w:r w:rsidR="00700267">
        <w:instrText xml:space="preserve"> ADDIN EN.CITE &lt;EndNote&gt;&lt;Cite&gt;&lt;Author&gt;Belton&lt;/Author&gt;&lt;Year&gt;2002&lt;/Year&gt;&lt;RecNum&gt;12&lt;/RecNum&gt;&lt;DisplayText&gt;[117]&lt;/DisplayText&gt;&lt;record&gt;&lt;rec-number&gt;12&lt;/rec-number&gt;&lt;foreign-keys&gt;&lt;key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fldChar w:fldCharType="separate"/>
      </w:r>
      <w:r w:rsidR="00700267">
        <w:rPr>
          <w:noProof/>
        </w:rPr>
        <w:t>[117]</w:t>
      </w:r>
      <w:r w:rsidRPr="00F10391">
        <w:fldChar w:fldCharType="end"/>
      </w:r>
      <w:r w:rsidRPr="00F10391">
        <w:t xml:space="preserve">. In Table 2.6 we see that </w:t>
      </w:r>
      <w:r w:rsidRPr="00F10391">
        <w:rPr>
          <w:i/>
          <w:iCs/>
        </w:rPr>
        <w:t>No screening</w:t>
      </w:r>
      <w:r w:rsidRPr="00F10391">
        <w:t xml:space="preserve"> (referred to as </w:t>
      </w:r>
      <w:r w:rsidRPr="00F10391">
        <w:rPr>
          <w:i/>
          <w:iCs/>
        </w:rPr>
        <w:t>a</w:t>
      </w:r>
      <w:r w:rsidRPr="00F10391">
        <w:t xml:space="preserve">) has a higher score than </w:t>
      </w:r>
      <w:r w:rsidRPr="00F10391">
        <w:rPr>
          <w:rFonts w:eastAsia="Times New Roman"/>
          <w:i/>
          <w:iCs/>
          <w:color w:val="000000"/>
        </w:rPr>
        <w:t>Faecal occult blood tests</w:t>
      </w:r>
      <w:r w:rsidRPr="00F10391">
        <w:rPr>
          <w:rFonts w:eastAsia="Times New Roman"/>
          <w:color w:val="000000"/>
        </w:rPr>
        <w:t xml:space="preserve"> (</w:t>
      </w:r>
      <w:r w:rsidRPr="00F10391">
        <w:rPr>
          <w:rFonts w:eastAsia="Times New Roman"/>
          <w:i/>
          <w:iCs/>
          <w:color w:val="000000"/>
        </w:rPr>
        <w:t>b</w:t>
      </w:r>
      <w:r w:rsidRPr="00F10391">
        <w:rPr>
          <w:rFonts w:eastAsia="Times New Roman"/>
          <w:color w:val="000000"/>
        </w:rPr>
        <w:t>) on avoiding false positives (</w:t>
      </w:r>
      <w:r w:rsidRPr="00F10391">
        <w:rPr>
          <w:rFonts w:eastAsia="Times New Roman"/>
          <w:i/>
          <w:iCs/>
          <w:color w:val="000000"/>
        </w:rPr>
        <w:t>z)</w:t>
      </w:r>
      <w:r w:rsidRPr="00F10391">
        <w:rPr>
          <w:rFonts w:eastAsia="Times New Roman"/>
          <w:color w:val="000000"/>
        </w:rPr>
        <w:t>, and an equal score on avoiding side effects (</w:t>
      </w:r>
      <w:r w:rsidRPr="00F10391">
        <w:rPr>
          <w:rFonts w:eastAsia="Times New Roman"/>
          <w:i/>
          <w:iCs/>
          <w:color w:val="000000"/>
        </w:rPr>
        <w:t>y)</w:t>
      </w:r>
      <w:r w:rsidRPr="00F10391">
        <w:rPr>
          <w:rFonts w:eastAsia="Times New Roman"/>
          <w:color w:val="000000"/>
        </w:rPr>
        <w:t>. This means that C(a,b) = w</w:t>
      </w:r>
      <w:r w:rsidRPr="00F10391">
        <w:rPr>
          <w:rFonts w:eastAsia="Times New Roman"/>
          <w:color w:val="000000"/>
          <w:vertAlign w:val="subscript"/>
        </w:rPr>
        <w:t>y</w:t>
      </w:r>
      <w:r w:rsidRPr="00F10391">
        <w:rPr>
          <w:rFonts w:eastAsia="Times New Roman"/>
          <w:color w:val="000000"/>
        </w:rPr>
        <w:t xml:space="preserve"> + w</w:t>
      </w:r>
      <w:r w:rsidRPr="00F10391">
        <w:rPr>
          <w:rFonts w:eastAsia="Times New Roman"/>
          <w:color w:val="000000"/>
          <w:vertAlign w:val="subscript"/>
        </w:rPr>
        <w:t>z</w:t>
      </w:r>
      <w:r w:rsidRPr="00F10391">
        <w:rPr>
          <w:rFonts w:eastAsia="Times New Roman"/>
          <w:color w:val="000000"/>
        </w:rPr>
        <w:t>= 0.25+0.15 = 0.40, and likewise C(b,a) = w</w:t>
      </w:r>
      <w:r w:rsidRPr="00F10391">
        <w:rPr>
          <w:rFonts w:eastAsia="Times New Roman"/>
          <w:color w:val="000000"/>
          <w:vertAlign w:val="subscript"/>
        </w:rPr>
        <w:t>x</w:t>
      </w:r>
      <w:r w:rsidRPr="00F10391">
        <w:rPr>
          <w:rFonts w:eastAsia="Times New Roman"/>
          <w:color w:val="000000"/>
        </w:rPr>
        <w:t>+w</w:t>
      </w:r>
      <w:r w:rsidRPr="00F10391">
        <w:rPr>
          <w:rFonts w:eastAsia="Times New Roman"/>
          <w:color w:val="000000"/>
          <w:vertAlign w:val="subscript"/>
        </w:rPr>
        <w:t>y</w:t>
      </w:r>
      <w:r w:rsidRPr="00F10391">
        <w:rPr>
          <w:rFonts w:eastAsia="Times New Roman"/>
          <w:color w:val="000000"/>
        </w:rPr>
        <w:t xml:space="preserve"> = 0.60+0.25 = 0.85. </w:t>
      </w:r>
      <w:r w:rsidRPr="00F10391">
        <w:t>This is carried out for each pair of alternatives, and the results are shown in Table 2.7.</w:t>
      </w:r>
    </w:p>
    <w:p w14:paraId="2E5BD196" w14:textId="77777777" w:rsidR="00D22CE3" w:rsidRPr="00F10391" w:rsidRDefault="00D22CE3" w:rsidP="00490B5D">
      <w:r w:rsidRPr="00F10391">
        <w:t xml:space="preserve">The discordance index requires a more difficult series of calculations. For each criterion for which i is strictly less than j, the difference between the scores is calculated. This figure is then divided by the difference between the maximum and minimum scores for that criterion, </w:t>
      </w:r>
      <w:r w:rsidRPr="00F10391">
        <w:lastRenderedPageBreak/>
        <w:t>including scores for other alternatives. It is possible that multiple such calculations will have to be carried out for each alternative, in which case the maximum is used. Hence:</w:t>
      </w:r>
    </w:p>
    <w:p w14:paraId="13842430" w14:textId="77777777" w:rsidR="00D22CE3" w:rsidRPr="00F10391" w:rsidRDefault="00D22CE3" w:rsidP="00490B5D">
      <w:r w:rsidRPr="00F10391">
        <w:t>D(a,c) = D</w:t>
      </w:r>
      <w:r w:rsidRPr="00F10391">
        <w:rPr>
          <w:vertAlign w:val="subscript"/>
        </w:rPr>
        <w:t>x</w:t>
      </w:r>
      <w:r w:rsidRPr="00F10391">
        <w:t xml:space="preserve">(a,c) </w:t>
      </w:r>
      <w:r w:rsidRPr="00F10391">
        <w:tab/>
        <w:t xml:space="preserve">= </w:t>
      </w:r>
      <m:oMath>
        <m:f>
          <m:fPr>
            <m:type m:val="skw"/>
            <m:ctrlPr>
              <w:rPr>
                <w:rFonts w:ascii="Cambria Math" w:hAnsi="Cambria Math"/>
                <w:i/>
              </w:rPr>
            </m:ctrlPr>
          </m:fPr>
          <m:num>
            <m:r>
              <w:rPr>
                <w:rFonts w:ascii="Cambria Math" w:hAnsi="Cambria Math"/>
              </w:rPr>
              <m:t>(0.5-0.1)</m:t>
            </m:r>
          </m:num>
          <m:den>
            <m:r>
              <w:rPr>
                <w:rFonts w:ascii="Cambria Math" w:hAnsi="Cambria Math"/>
              </w:rPr>
              <m:t>(0.9-0.1)</m:t>
            </m:r>
          </m:den>
        </m:f>
      </m:oMath>
      <w:r w:rsidRPr="00F10391">
        <w:t xml:space="preserve"> </w:t>
      </w:r>
      <w:r w:rsidRPr="00F10391">
        <w:tab/>
        <w:t xml:space="preserve">= </w:t>
      </w:r>
      <m:oMath>
        <m:f>
          <m:fPr>
            <m:type m:val="skw"/>
            <m:ctrlPr>
              <w:rPr>
                <w:rFonts w:ascii="Cambria Math" w:hAnsi="Cambria Math"/>
                <w:i/>
              </w:rPr>
            </m:ctrlPr>
          </m:fPr>
          <m:num>
            <m:r>
              <w:rPr>
                <w:rFonts w:ascii="Cambria Math" w:hAnsi="Cambria Math"/>
              </w:rPr>
              <m:t>0.4</m:t>
            </m:r>
          </m:num>
          <m:den>
            <m:r>
              <w:rPr>
                <w:rFonts w:ascii="Cambria Math" w:hAnsi="Cambria Math"/>
              </w:rPr>
              <m:t>0.8</m:t>
            </m:r>
          </m:den>
        </m:f>
      </m:oMath>
      <w:r w:rsidRPr="00F10391">
        <w:t xml:space="preserve"> </w:t>
      </w:r>
      <w:r w:rsidRPr="00F10391">
        <w:tab/>
        <w:t>= 0.5;</w:t>
      </w:r>
    </w:p>
    <w:p w14:paraId="4F6CFDDC" w14:textId="77777777" w:rsidR="00D22CE3" w:rsidRPr="00F10391" w:rsidRDefault="00D22CE3" w:rsidP="00490B5D"/>
    <w:p w14:paraId="2353B225" w14:textId="77777777" w:rsidR="00D22CE3" w:rsidRPr="00F10391" w:rsidRDefault="00D22CE3" w:rsidP="00D24504">
      <w:r w:rsidRPr="00F10391">
        <w:t>D</w:t>
      </w:r>
      <w:r w:rsidRPr="00F10391">
        <w:rPr>
          <w:vertAlign w:val="subscript"/>
        </w:rPr>
        <w:t xml:space="preserve"> x</w:t>
      </w:r>
      <w:r w:rsidRPr="00F10391">
        <w:t>(c,a)</w:t>
      </w:r>
      <w:r w:rsidRPr="00F10391">
        <w:tab/>
      </w:r>
      <w:r w:rsidRPr="00F10391">
        <w:rPr>
          <w:vertAlign w:val="subscript"/>
        </w:rPr>
        <w:tab/>
      </w:r>
      <w:r w:rsidRPr="00F10391">
        <w:t xml:space="preserve">= </w:t>
      </w:r>
      <m:oMath>
        <m:f>
          <m:fPr>
            <m:type m:val="skw"/>
            <m:ctrlPr>
              <w:rPr>
                <w:rFonts w:ascii="Cambria Math" w:hAnsi="Cambria Math"/>
                <w:i/>
              </w:rPr>
            </m:ctrlPr>
          </m:fPr>
          <m:num>
            <m:r>
              <w:rPr>
                <w:rFonts w:ascii="Cambria Math" w:hAnsi="Cambria Math"/>
              </w:rPr>
              <m:t>(1-0.6)</m:t>
            </m:r>
          </m:num>
          <m:den>
            <m:r>
              <w:rPr>
                <w:rFonts w:ascii="Cambria Math" w:hAnsi="Cambria Math"/>
              </w:rPr>
              <m:t>(1-0.6)</m:t>
            </m:r>
          </m:den>
        </m:f>
      </m:oMath>
      <w:r w:rsidRPr="00F10391">
        <w:t xml:space="preserve"> </w:t>
      </w:r>
      <w:r w:rsidRPr="00F10391">
        <w:tab/>
        <w:t xml:space="preserve">= </w:t>
      </w:r>
      <m:oMath>
        <m:r>
          <w:rPr>
            <w:rFonts w:ascii="Cambria Math" w:hAnsi="Cambria Math"/>
          </w:rPr>
          <m:t>1</m:t>
        </m:r>
      </m:oMath>
      <w:r w:rsidRPr="00F10391">
        <w:t>;</w:t>
      </w:r>
      <w:r w:rsidRPr="00F10391">
        <w:tab/>
      </w:r>
      <w:r w:rsidRPr="00F10391">
        <w:tab/>
        <w:t>D</w:t>
      </w:r>
      <w:r w:rsidRPr="00F10391">
        <w:rPr>
          <w:vertAlign w:val="subscript"/>
        </w:rPr>
        <w:t xml:space="preserve"> y</w:t>
      </w:r>
      <w:r w:rsidRPr="00F10391">
        <w:t>(c,a)</w:t>
      </w:r>
      <w:r w:rsidRPr="00F10391">
        <w:tab/>
      </w:r>
      <w:r w:rsidRPr="00F10391">
        <w:rPr>
          <w:vertAlign w:val="subscript"/>
        </w:rPr>
        <w:t xml:space="preserve"> </w:t>
      </w:r>
      <w:r w:rsidRPr="00F10391">
        <w:rPr>
          <w:vertAlign w:val="subscript"/>
        </w:rPr>
        <w:tab/>
      </w:r>
      <w:r w:rsidRPr="00F10391">
        <w:t xml:space="preserve">= </w:t>
      </w:r>
      <m:oMath>
        <m:f>
          <m:fPr>
            <m:type m:val="skw"/>
            <m:ctrlPr>
              <w:rPr>
                <w:rFonts w:ascii="Cambria Math" w:hAnsi="Cambria Math"/>
                <w:i/>
              </w:rPr>
            </m:ctrlPr>
          </m:fPr>
          <m:num>
            <m:r>
              <w:rPr>
                <w:rFonts w:ascii="Cambria Math" w:hAnsi="Cambria Math"/>
              </w:rPr>
              <m:t>(1-0.1)</m:t>
            </m:r>
          </m:num>
          <m:den>
            <m:r>
              <w:rPr>
                <w:rFonts w:ascii="Cambria Math" w:hAnsi="Cambria Math"/>
              </w:rPr>
              <m:t>(1-0.1)</m:t>
            </m:r>
          </m:den>
        </m:f>
      </m:oMath>
      <w:r w:rsidRPr="00F10391">
        <w:t xml:space="preserve"> </w:t>
      </w:r>
      <w:r w:rsidRPr="00F10391">
        <w:tab/>
        <w:t xml:space="preserve">= </w:t>
      </w:r>
      <m:oMath>
        <m:r>
          <w:rPr>
            <w:rFonts w:ascii="Cambria Math" w:hAnsi="Cambria Math"/>
          </w:rPr>
          <m:t>1</m:t>
        </m:r>
      </m:oMath>
      <w:r w:rsidRPr="00F10391">
        <w:t>;</w:t>
      </w:r>
      <w:r w:rsidRPr="00F10391">
        <w:tab/>
      </w:r>
      <w:r w:rsidRPr="00F10391">
        <w:tab/>
      </w:r>
    </w:p>
    <w:p w14:paraId="5CE60B62" w14:textId="77777777" w:rsidR="00D22CE3" w:rsidRPr="00F10391" w:rsidRDefault="00D22CE3" w:rsidP="0063065F">
      <w:r w:rsidRPr="00F10391">
        <w:t xml:space="preserve">D(c,a) = </w:t>
      </w:r>
      <w:r w:rsidRPr="00F10391">
        <w:rPr>
          <w:i/>
          <w:iCs/>
        </w:rPr>
        <w:t xml:space="preserve">max </w:t>
      </w:r>
      <w:r w:rsidRPr="00F10391">
        <w:t>[D</w:t>
      </w:r>
      <w:r w:rsidRPr="00F10391">
        <w:rPr>
          <w:vertAlign w:val="subscript"/>
        </w:rPr>
        <w:t xml:space="preserve"> x</w:t>
      </w:r>
      <w:r w:rsidRPr="00F10391">
        <w:t>(c,a)</w:t>
      </w:r>
      <w:r w:rsidRPr="00F10391">
        <w:rPr>
          <w:vertAlign w:val="subscript"/>
        </w:rPr>
        <w:t>,</w:t>
      </w:r>
      <w:r w:rsidRPr="00F10391">
        <w:t xml:space="preserve"> D</w:t>
      </w:r>
      <w:r w:rsidRPr="00F10391">
        <w:rPr>
          <w:vertAlign w:val="subscript"/>
        </w:rPr>
        <w:t xml:space="preserve"> y</w:t>
      </w:r>
      <w:r w:rsidRPr="00F10391">
        <w:t>(c,a)]= 1.</w:t>
      </w:r>
    </w:p>
    <w:p w14:paraId="004F958F" w14:textId="77777777" w:rsidR="00D22CE3" w:rsidRPr="00F10391" w:rsidRDefault="00D22CE3" w:rsidP="00494A9A"/>
    <w:p w14:paraId="08293218" w14:textId="77777777" w:rsidR="00D22CE3" w:rsidRPr="00F10391" w:rsidRDefault="00D22CE3" w:rsidP="00494A9A">
      <w:r w:rsidRPr="00F10391">
        <w:t>Once the concordance and discordance indices have been calculated for each pair-wise comparison, they can be used to investigate which alternatives are dominated and should not make a final shortlist of suggested topics. To do so they must perform adequately on both indices, which are indicated by a given threshold. However, these thresholds are somewhat problematic as they are effectively arbitrary and different combinations of thresholds will as a result lead to different decisions. This may result in confusion and loss of faith in the findings amongst decision-makers, or even cherry picking of the thresholds to change the nature of the ultimate decisions.</w:t>
      </w:r>
    </w:p>
    <w:p w14:paraId="2F737D77" w14:textId="77777777" w:rsidR="00D22CE3" w:rsidRPr="00F10391" w:rsidRDefault="00D22CE3" w:rsidP="00490B5D">
      <w:r w:rsidRPr="00F10391">
        <w:t>One commonly used initial threshold level is the mean result for each index</w:t>
      </w:r>
      <w:r w:rsidRPr="00F10391">
        <w:rPr>
          <w:rStyle w:val="gsa"/>
        </w:rPr>
        <w:t xml:space="preserve"> </w:t>
      </w:r>
      <w:r w:rsidRPr="00F10391">
        <w:rPr>
          <w:rStyle w:val="gsa"/>
        </w:rPr>
        <w:fldChar w:fldCharType="begin"/>
      </w:r>
      <w:r w:rsidR="00700267">
        <w:rPr>
          <w:rStyle w:val="gsa"/>
        </w:rPr>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rPr>
          <w:rStyle w:val="gsa"/>
        </w:rPr>
        <w:fldChar w:fldCharType="separate"/>
      </w:r>
      <w:r w:rsidR="00700267">
        <w:rPr>
          <w:rStyle w:val="gsa"/>
          <w:noProof/>
        </w:rPr>
        <w:t>[125]</w:t>
      </w:r>
      <w:r w:rsidRPr="00F10391">
        <w:rPr>
          <w:rStyle w:val="gsa"/>
        </w:rPr>
        <w:fldChar w:fldCharType="end"/>
      </w:r>
      <w:r w:rsidRPr="00F10391">
        <w:t xml:space="preserve">, shown as </w:t>
      </w:r>
      <w:r w:rsidRPr="00F10391">
        <w:rPr>
          <w:i/>
          <w:iCs/>
        </w:rPr>
        <w:t>c*</w:t>
      </w:r>
      <w:r w:rsidRPr="00F10391">
        <w:t xml:space="preserve"> and </w:t>
      </w:r>
      <w:r w:rsidRPr="00F10391">
        <w:rPr>
          <w:i/>
          <w:iCs/>
        </w:rPr>
        <w:t>d*</w:t>
      </w:r>
      <w:r w:rsidRPr="00F10391">
        <w:t xml:space="preserve"> in Table 2.7. If C(i,j) is above </w:t>
      </w:r>
      <w:r w:rsidRPr="00F10391">
        <w:rPr>
          <w:i/>
          <w:iCs/>
        </w:rPr>
        <w:t>c*</w:t>
      </w:r>
      <w:r w:rsidRPr="00F10391">
        <w:t xml:space="preserve"> and D(i,j) is below </w:t>
      </w:r>
      <w:r w:rsidRPr="00F10391">
        <w:rPr>
          <w:i/>
          <w:iCs/>
        </w:rPr>
        <w:t>d*</w:t>
      </w:r>
      <w:r w:rsidRPr="00F10391">
        <w:t xml:space="preserve">, then strategy/treatment i therefore dominates strategy/treatment j according to this methodology. These thresholds can if necessary be altered as a form of sensitivity analysis and to gain insights into the relationships between the alternatives. </w:t>
      </w:r>
    </w:p>
    <w:p w14:paraId="7CA10FAA" w14:textId="77777777" w:rsidR="00D22CE3" w:rsidRPr="00F10391" w:rsidRDefault="00D22CE3" w:rsidP="00490B5D">
      <w:r w:rsidRPr="00F10391">
        <w:t xml:space="preserve">In the final column of Table 2.7, two relationships are dominant; </w:t>
      </w:r>
      <w:r w:rsidRPr="00F10391">
        <w:rPr>
          <w:i/>
          <w:iCs/>
        </w:rPr>
        <w:t xml:space="preserve">Faecal occult blood tests </w:t>
      </w:r>
      <w:r w:rsidRPr="00F10391">
        <w:t xml:space="preserve">dominated both </w:t>
      </w:r>
      <w:r w:rsidRPr="00F10391">
        <w:rPr>
          <w:i/>
          <w:iCs/>
        </w:rPr>
        <w:t xml:space="preserve">No screening </w:t>
      </w:r>
      <w:r w:rsidRPr="00F10391">
        <w:t xml:space="preserve">and </w:t>
      </w:r>
      <w:r w:rsidRPr="00F10391">
        <w:rPr>
          <w:i/>
          <w:iCs/>
        </w:rPr>
        <w:t>Colonoscopy</w:t>
      </w:r>
      <w:r w:rsidRPr="00F10391">
        <w:t xml:space="preserve">. This means there is a clear ‘best’ programme for the patient, rather than a shortlist for further discussion, as assuming that only one screening strategy can be used the relationship between </w:t>
      </w:r>
      <w:r w:rsidRPr="00F10391">
        <w:rPr>
          <w:i/>
          <w:iCs/>
        </w:rPr>
        <w:t xml:space="preserve">No screening </w:t>
      </w:r>
      <w:r w:rsidRPr="00F10391">
        <w:t xml:space="preserve">and </w:t>
      </w:r>
      <w:r w:rsidRPr="00F10391">
        <w:rPr>
          <w:i/>
          <w:iCs/>
        </w:rPr>
        <w:t>Colonoscopy</w:t>
      </w:r>
      <w:r w:rsidRPr="00F10391">
        <w:t xml:space="preserve"> is irrelevant. Nonetheless, sensitivity analyses are advised to investigate the robustness of these findings.</w:t>
      </w:r>
    </w:p>
    <w:p w14:paraId="49E2EEB8" w14:textId="77777777" w:rsidR="00D22CE3" w:rsidRPr="00F10391" w:rsidRDefault="00D22CE3" w:rsidP="00D24504">
      <w:r w:rsidRPr="00F10391">
        <w:t>Wherever the decision-maker can decide on more than one course of action, outranking approaches are less suitable than value measurement approaches as the 2</w:t>
      </w:r>
      <w:r w:rsidRPr="00F10391">
        <w:rPr>
          <w:vertAlign w:val="superscript"/>
        </w:rPr>
        <w:t>nd</w:t>
      </w:r>
      <w:r w:rsidRPr="00F10391">
        <w:t xml:space="preserve"> best option may be outranked by the first. Trying to back-calculate a ranking using this approach is unnecessarily cumbersome. However, the implicit requirement that alternatives not perform badly on key criteria will better reflect certain decision settings – including political ones – where the public may not accept simple trade-offs.</w:t>
      </w:r>
    </w:p>
    <w:p w14:paraId="21ECF81D" w14:textId="77777777" w:rsidR="00D22CE3" w:rsidRPr="00F10391" w:rsidRDefault="00D22CE3" w:rsidP="00D24504">
      <w:r w:rsidRPr="00F10391">
        <w:t>Other versions of ELECTRE, PROMETHEE and TODIM use similar in principle, non-compensatory methods to rank alternatives. These are beyond the scope of this chapter but are further described in practice in the next chapter.</w:t>
      </w:r>
      <w:bookmarkStart w:id="161" w:name="_Toc303953395"/>
    </w:p>
    <w:p w14:paraId="1AF74043" w14:textId="77777777" w:rsidR="00D22CE3" w:rsidRPr="00F10391" w:rsidRDefault="00D22CE3" w:rsidP="006A5AA3"/>
    <w:p w14:paraId="1A690802" w14:textId="77777777" w:rsidR="00D22CE3" w:rsidRPr="00F10391" w:rsidRDefault="00D22CE3" w:rsidP="006A5AA3">
      <w:pPr>
        <w:pStyle w:val="Heading3"/>
      </w:pPr>
      <w:bookmarkStart w:id="162" w:name="_Toc313187831"/>
      <w:bookmarkStart w:id="163" w:name="_Toc441508932"/>
      <w:bookmarkStart w:id="164" w:name="_Toc453235370"/>
      <w:bookmarkStart w:id="165" w:name="_Toc453595443"/>
      <w:bookmarkStart w:id="166" w:name="_Toc476241540"/>
      <w:r w:rsidRPr="00F10391">
        <w:lastRenderedPageBreak/>
        <w:t>2.5.5</w:t>
      </w:r>
      <w:r w:rsidRPr="00F10391">
        <w:tab/>
      </w:r>
      <w:r w:rsidRPr="00F10391">
        <w:tab/>
        <w:t>Goal programming methods</w:t>
      </w:r>
      <w:bookmarkEnd w:id="161"/>
      <w:bookmarkEnd w:id="162"/>
      <w:bookmarkEnd w:id="163"/>
      <w:bookmarkEnd w:id="164"/>
      <w:bookmarkEnd w:id="165"/>
      <w:bookmarkEnd w:id="166"/>
    </w:p>
    <w:p w14:paraId="4A64FB02" w14:textId="77777777" w:rsidR="00D22CE3" w:rsidRPr="00F10391" w:rsidRDefault="00D22CE3" w:rsidP="006942ED">
      <w:r w:rsidRPr="00F10391">
        <w:t xml:space="preserve">Goal programming methods are related to the linear programming methods common in operational research, where a user attempts to maximise a certain criterion (or to minimise it, or ensure that it is equal to a certain figure) such as profit, given certain constraints, such as maintaining market share. In terms of health care, a raw form of cost-effectiveness analysis might try to maximise the QALYs gained subject to a certain budget, which is a so-called ‘knapsack’ problem. With goal programming, multiple goals can co-exist and the importance of meeting each target can be weighted. Depending on the approach used, it may therefore correspond to the concept of satisficing, ensuring certain reasonable standards are met on selected criteria, and finding the best course of action subject to these. </w:t>
      </w:r>
    </w:p>
    <w:p w14:paraId="1EFE641B" w14:textId="77777777" w:rsidR="00D22CE3" w:rsidRPr="00F10391" w:rsidRDefault="00D22CE3">
      <w:r w:rsidRPr="00F10391">
        <w:t xml:space="preserve">Goal programming techniques therefore differ from linear programming primarily in that they are used to structure decisions when there are multiple objectives, each with given priority levels, and where it is unclear or unlikely that all aims can be met simultaneously </w:t>
      </w:r>
      <w:r w:rsidRPr="00F10391">
        <w:fldChar w:fldCharType="begin"/>
      </w:r>
      <w:r w:rsidR="00700267">
        <w:instrText xml:space="preserve"> ADDIN EN.CITE &lt;EndNote&gt;&lt;Cite&gt;&lt;Author&gt;Taha&lt;/Author&gt;&lt;Year&gt;2011&lt;/Year&gt;&lt;RecNum&gt;395&lt;/RecNum&gt;&lt;DisplayText&gt;[135]&lt;/DisplayText&gt;&lt;record&gt;&lt;rec-number&gt;395&lt;/rec-number&gt;&lt;foreign-keys&gt;&lt;key app="EN" db-id="sz9092dv2s5fpze9wpgx0zxgv5ar00aezrvf" timestamp="1458053997"&gt;395&lt;/key&gt;&lt;/foreign-keys&gt;&lt;ref-type name="Book"&gt;6&lt;/ref-type&gt;&lt;contributors&gt;&lt;authors&gt;&lt;author&gt;Taha, Hamdy A&lt;/author&gt;&lt;/authors&gt;&lt;subsidiary-authors&gt;&lt;author&gt;013255593X&lt;/author&gt;&lt;/subsidiary-authors&gt;&lt;/contributors&gt;&lt;titles&gt;&lt;title&gt;Operations Research: An introduction&lt;/title&gt;&lt;/titles&gt;&lt;edition&gt;9th edition&lt;/edition&gt;&lt;dates&gt;&lt;year&gt;2011&lt;/year&gt;&lt;/dates&gt;&lt;publisher&gt;Prentice Hall&lt;/publisher&gt;&lt;urls&gt;&lt;/urls&gt;&lt;/record&gt;&lt;/Cite&gt;&lt;/EndNote&gt;</w:instrText>
      </w:r>
      <w:r w:rsidRPr="00F10391">
        <w:fldChar w:fldCharType="separate"/>
      </w:r>
      <w:r w:rsidR="00700267">
        <w:rPr>
          <w:noProof/>
        </w:rPr>
        <w:t>[135]</w:t>
      </w:r>
      <w:r w:rsidRPr="00F10391">
        <w:fldChar w:fldCharType="end"/>
      </w:r>
      <w:r w:rsidRPr="00F10391">
        <w:t>. There are two broad approaches to manage these, where:</w:t>
      </w:r>
    </w:p>
    <w:p w14:paraId="20531443" w14:textId="77777777" w:rsidR="00D22CE3" w:rsidRPr="00F10391" w:rsidRDefault="00D22CE3">
      <w:pPr>
        <w:pStyle w:val="ListParagraph"/>
        <w:numPr>
          <w:ilvl w:val="0"/>
          <w:numId w:val="40"/>
        </w:numPr>
      </w:pPr>
      <w:r w:rsidRPr="00F10391">
        <w:t>Trade-offs are allowed, and precedence of aims is weighted accordingly.</w:t>
      </w:r>
    </w:p>
    <w:p w14:paraId="2E3D0783" w14:textId="77777777" w:rsidR="00D22CE3" w:rsidRPr="00F10391" w:rsidRDefault="00D22CE3">
      <w:pPr>
        <w:pStyle w:val="ListParagraph"/>
        <w:numPr>
          <w:ilvl w:val="0"/>
          <w:numId w:val="40"/>
        </w:numPr>
      </w:pPr>
      <w:r w:rsidRPr="00F10391">
        <w:t xml:space="preserve">Goals must be met in order of precedence (the lexicographic method), where meeting the more important objective is effectively infinitely more important than those below it, and hence the algorithm stops when an aim cannot be reached </w:t>
      </w:r>
      <w:r w:rsidRPr="00F10391">
        <w:fldChar w:fldCharType="begin"/>
      </w:r>
      <w:r w:rsidR="00700267">
        <w:instrText xml:space="preserve"> ADDIN EN.CITE &lt;EndNote&gt;&lt;Cite&gt;&lt;Author&gt;Tamiz&lt;/Author&gt;&lt;Year&gt;1995&lt;/Year&gt;&lt;RecNum&gt;396&lt;/RecNum&gt;&lt;DisplayText&gt;[136]&lt;/DisplayText&gt;&lt;record&gt;&lt;rec-number&gt;396&lt;/rec-number&gt;&lt;foreign-keys&gt;&lt;key app="EN" db-id="sz9092dv2s5fpze9wpgx0zxgv5ar00aezrvf" timestamp="1458054353"&gt;396&lt;/key&gt;&lt;/foreign-keys&gt;&lt;ref-type name="Journal Article"&gt;17&lt;/ref-type&gt;&lt;contributors&gt;&lt;authors&gt;&lt;author&gt;Tamiz, Mehrdad&lt;/author&gt;&lt;author&gt;Jones, DF&lt;/author&gt;&lt;author&gt;El-Darzi, Elia&lt;/author&gt;&lt;/authors&gt;&lt;/contributors&gt;&lt;titles&gt;&lt;title&gt;A review of goal programming and its applications&lt;/title&gt;&lt;secondary-title&gt;Annals of Operations Research&lt;/secondary-title&gt;&lt;/titles&gt;&lt;periodical&gt;&lt;full-title&gt;Annals of Operations Research&lt;/full-title&gt;&lt;/periodical&gt;&lt;pages&gt;39-53&lt;/pages&gt;&lt;volume&gt;58&lt;/volume&gt;&lt;number&gt;1&lt;/number&gt;&lt;dates&gt;&lt;year&gt;1995&lt;/year&gt;&lt;/dates&gt;&lt;isbn&gt;0254-5330&lt;/isbn&gt;&lt;urls&gt;&lt;/urls&gt;&lt;/record&gt;&lt;/Cite&gt;&lt;/EndNote&gt;</w:instrText>
      </w:r>
      <w:r w:rsidRPr="00F10391">
        <w:fldChar w:fldCharType="separate"/>
      </w:r>
      <w:r w:rsidR="00700267">
        <w:rPr>
          <w:noProof/>
        </w:rPr>
        <w:t>[136]</w:t>
      </w:r>
      <w:r w:rsidRPr="00F10391">
        <w:fldChar w:fldCharType="end"/>
      </w:r>
      <w:r w:rsidRPr="00F10391">
        <w:t>.</w:t>
      </w:r>
    </w:p>
    <w:p w14:paraId="7655F6C4" w14:textId="77777777" w:rsidR="00D22CE3" w:rsidRPr="00F10391" w:rsidRDefault="00D22CE3">
      <w:bookmarkStart w:id="167" w:name="_Toc303953396"/>
      <w:r w:rsidRPr="00F10391">
        <w:t>Like the previous example using DCE, goal programming would in practice probably be unnecessarily complicated for a relatively simple choice between 6 screening options for one individual, and would be better suited to situations were a large number of alternatives were available or an optimal portfolio of alternatives had to be constructed. However, the principles can nonetheless be described using this example. Using the lexicographic method, a decision-maker could, for example, consider the importance of their goals in this order:</w:t>
      </w:r>
    </w:p>
    <w:p w14:paraId="5AE8B6A9" w14:textId="77777777" w:rsidR="00D22CE3" w:rsidRPr="00F10391" w:rsidRDefault="00D22CE3">
      <w:pPr>
        <w:pStyle w:val="ListParagraph"/>
        <w:numPr>
          <w:ilvl w:val="0"/>
          <w:numId w:val="36"/>
        </w:numPr>
      </w:pPr>
      <w:r w:rsidRPr="00F10391">
        <w:t>The alternative must be at least 75 at avoiding side effects.</w:t>
      </w:r>
    </w:p>
    <w:p w14:paraId="2CB45C2B" w14:textId="77777777" w:rsidR="00D22CE3" w:rsidRPr="00F10391" w:rsidRDefault="00D22CE3">
      <w:pPr>
        <w:pStyle w:val="ListParagraph"/>
        <w:numPr>
          <w:ilvl w:val="0"/>
          <w:numId w:val="36"/>
        </w:numPr>
      </w:pPr>
      <w:r w:rsidRPr="00F10391">
        <w:t>The alternative must be at least 60 at avoiding false positives.</w:t>
      </w:r>
    </w:p>
    <w:p w14:paraId="1E40B13E" w14:textId="77777777" w:rsidR="00D22CE3" w:rsidRPr="00F10391" w:rsidRDefault="00D22CE3">
      <w:pPr>
        <w:pStyle w:val="ListParagraph"/>
        <w:numPr>
          <w:ilvl w:val="0"/>
          <w:numId w:val="36"/>
        </w:numPr>
      </w:pPr>
      <w:r w:rsidRPr="00F10391">
        <w:t>The alternative must be at least 80 at avoiding cancer.</w:t>
      </w:r>
    </w:p>
    <w:p w14:paraId="32DC6646" w14:textId="77777777" w:rsidR="00D22CE3" w:rsidRPr="00F10391" w:rsidRDefault="00D22CE3">
      <w:pPr>
        <w:pStyle w:val="ListParagraph"/>
        <w:numPr>
          <w:ilvl w:val="0"/>
          <w:numId w:val="36"/>
        </w:numPr>
      </w:pPr>
      <w:r w:rsidRPr="00F10391">
        <w:t>The alternative must be at least 95 at frequency.</w:t>
      </w:r>
    </w:p>
    <w:p w14:paraId="4C4C6199" w14:textId="5E03B384" w:rsidR="00D22CE3" w:rsidRPr="00F10391" w:rsidRDefault="00D22CE3">
      <w:pPr>
        <w:pStyle w:val="Caption"/>
      </w:pPr>
      <w:bookmarkStart w:id="168" w:name="_Toc476241426"/>
      <w:r w:rsidRPr="00F10391">
        <w:t>Table 2.</w:t>
      </w:r>
      <w:r w:rsidR="000F1034">
        <w:fldChar w:fldCharType="begin"/>
      </w:r>
      <w:r w:rsidR="000F1034">
        <w:instrText xml:space="preserve"> SEQ Table \* ARABIC \s 1 </w:instrText>
      </w:r>
      <w:r w:rsidR="000F1034">
        <w:fldChar w:fldCharType="separate"/>
      </w:r>
      <w:r w:rsidR="00B37229">
        <w:rPr>
          <w:noProof/>
        </w:rPr>
        <w:t>8</w:t>
      </w:r>
      <w:r w:rsidR="000F1034">
        <w:rPr>
          <w:noProof/>
        </w:rPr>
        <w:fldChar w:fldCharType="end"/>
      </w:r>
      <w:r w:rsidRPr="00F10391">
        <w:t xml:space="preserve"> – Sample scores for goal programming example</w:t>
      </w:r>
      <w:bookmarkEnd w:id="168"/>
    </w:p>
    <w:tbl>
      <w:tblPr>
        <w:tblW w:w="8080" w:type="dxa"/>
        <w:tblBorders>
          <w:top w:val="single" w:sz="8" w:space="0" w:color="000000"/>
          <w:bottom w:val="single" w:sz="8" w:space="0" w:color="000000"/>
        </w:tblBorders>
        <w:tblLayout w:type="fixed"/>
        <w:tblLook w:val="04A0" w:firstRow="1" w:lastRow="0" w:firstColumn="1" w:lastColumn="0" w:noHBand="0" w:noVBand="1"/>
      </w:tblPr>
      <w:tblGrid>
        <w:gridCol w:w="2977"/>
        <w:gridCol w:w="1226"/>
        <w:gridCol w:w="1293"/>
        <w:gridCol w:w="1292"/>
        <w:gridCol w:w="1292"/>
      </w:tblGrid>
      <w:tr w:rsidR="00D22CE3" w:rsidRPr="00F10391" w14:paraId="29B79E4F" w14:textId="77777777" w:rsidTr="00D22CE3">
        <w:trPr>
          <w:trHeight w:val="794"/>
        </w:trPr>
        <w:tc>
          <w:tcPr>
            <w:tcW w:w="2977" w:type="dxa"/>
            <w:tcBorders>
              <w:top w:val="single" w:sz="8" w:space="0" w:color="000000"/>
              <w:bottom w:val="single" w:sz="8" w:space="0" w:color="000000"/>
            </w:tcBorders>
            <w:shd w:val="clear" w:color="auto" w:fill="auto"/>
            <w:noWrap/>
            <w:hideMark/>
          </w:tcPr>
          <w:p w14:paraId="29490014" w14:textId="77777777" w:rsidR="00D22CE3" w:rsidRPr="00F10391" w:rsidRDefault="00D22CE3" w:rsidP="0063065F">
            <w:r w:rsidRPr="00F10391">
              <w:t> </w:t>
            </w:r>
          </w:p>
        </w:tc>
        <w:tc>
          <w:tcPr>
            <w:tcW w:w="1226" w:type="dxa"/>
            <w:tcBorders>
              <w:top w:val="single" w:sz="8" w:space="0" w:color="000000"/>
              <w:bottom w:val="single" w:sz="8" w:space="0" w:color="000000"/>
            </w:tcBorders>
            <w:shd w:val="clear" w:color="auto" w:fill="auto"/>
            <w:hideMark/>
          </w:tcPr>
          <w:p w14:paraId="7094BC68" w14:textId="77777777" w:rsidR="00D22CE3" w:rsidRPr="00F10391" w:rsidRDefault="00D22CE3" w:rsidP="0063065F">
            <w:r w:rsidRPr="00F10391">
              <w:t>Avoid Cancer</w:t>
            </w:r>
          </w:p>
        </w:tc>
        <w:tc>
          <w:tcPr>
            <w:tcW w:w="1293" w:type="dxa"/>
            <w:tcBorders>
              <w:top w:val="single" w:sz="8" w:space="0" w:color="000000"/>
              <w:bottom w:val="single" w:sz="8" w:space="0" w:color="000000"/>
            </w:tcBorders>
            <w:shd w:val="clear" w:color="auto" w:fill="auto"/>
            <w:hideMark/>
          </w:tcPr>
          <w:p w14:paraId="150CC404" w14:textId="77777777" w:rsidR="00D22CE3" w:rsidRPr="00F10391" w:rsidRDefault="00D22CE3" w:rsidP="0063065F">
            <w:r w:rsidRPr="00F10391">
              <w:t>Avoid side effects</w:t>
            </w:r>
          </w:p>
        </w:tc>
        <w:tc>
          <w:tcPr>
            <w:tcW w:w="1292" w:type="dxa"/>
            <w:tcBorders>
              <w:top w:val="single" w:sz="8" w:space="0" w:color="000000"/>
              <w:bottom w:val="single" w:sz="8" w:space="0" w:color="000000"/>
            </w:tcBorders>
            <w:shd w:val="clear" w:color="auto" w:fill="auto"/>
            <w:hideMark/>
          </w:tcPr>
          <w:p w14:paraId="25C88607" w14:textId="77777777" w:rsidR="00D22CE3" w:rsidRPr="00F10391" w:rsidRDefault="00D22CE3" w:rsidP="0063065F">
            <w:r w:rsidRPr="00F10391">
              <w:t>Avoid false positives</w:t>
            </w:r>
          </w:p>
        </w:tc>
        <w:tc>
          <w:tcPr>
            <w:tcW w:w="1292" w:type="dxa"/>
            <w:tcBorders>
              <w:top w:val="single" w:sz="8" w:space="0" w:color="000000"/>
              <w:bottom w:val="single" w:sz="8" w:space="0" w:color="000000"/>
            </w:tcBorders>
            <w:shd w:val="clear" w:color="auto" w:fill="auto"/>
            <w:hideMark/>
          </w:tcPr>
          <w:p w14:paraId="18CA7357" w14:textId="77777777" w:rsidR="00D22CE3" w:rsidRPr="00F10391" w:rsidRDefault="00D22CE3" w:rsidP="0063065F">
            <w:r w:rsidRPr="00F10391">
              <w:t>Frequency</w:t>
            </w:r>
          </w:p>
        </w:tc>
      </w:tr>
      <w:tr w:rsidR="00D22CE3" w:rsidRPr="00F10391" w14:paraId="7B57B45A" w14:textId="77777777" w:rsidTr="00D22CE3">
        <w:trPr>
          <w:trHeight w:val="505"/>
        </w:trPr>
        <w:tc>
          <w:tcPr>
            <w:tcW w:w="2977" w:type="dxa"/>
            <w:shd w:val="clear" w:color="auto" w:fill="auto"/>
            <w:noWrap/>
            <w:hideMark/>
          </w:tcPr>
          <w:p w14:paraId="0440FE0A" w14:textId="77777777" w:rsidR="00D22CE3" w:rsidRPr="00F10391" w:rsidRDefault="00D22CE3" w:rsidP="0063065F">
            <w:r w:rsidRPr="00F10391">
              <w:t>No screening</w:t>
            </w:r>
          </w:p>
        </w:tc>
        <w:tc>
          <w:tcPr>
            <w:tcW w:w="1226" w:type="dxa"/>
            <w:shd w:val="clear" w:color="auto" w:fill="auto"/>
            <w:noWrap/>
            <w:hideMark/>
          </w:tcPr>
          <w:p w14:paraId="4C5E8818" w14:textId="77777777" w:rsidR="00D22CE3" w:rsidRPr="00F10391" w:rsidRDefault="00D22CE3" w:rsidP="0063065F">
            <w:r w:rsidRPr="00F10391">
              <w:t>70</w:t>
            </w:r>
          </w:p>
        </w:tc>
        <w:tc>
          <w:tcPr>
            <w:tcW w:w="1293" w:type="dxa"/>
            <w:shd w:val="clear" w:color="auto" w:fill="auto"/>
            <w:noWrap/>
            <w:hideMark/>
          </w:tcPr>
          <w:p w14:paraId="6197DEFA" w14:textId="77777777" w:rsidR="00D22CE3" w:rsidRPr="00F10391" w:rsidRDefault="00D22CE3" w:rsidP="0063065F">
            <w:r w:rsidRPr="00F10391">
              <w:t>100</w:t>
            </w:r>
          </w:p>
        </w:tc>
        <w:tc>
          <w:tcPr>
            <w:tcW w:w="1292" w:type="dxa"/>
            <w:shd w:val="clear" w:color="auto" w:fill="auto"/>
            <w:noWrap/>
            <w:hideMark/>
          </w:tcPr>
          <w:p w14:paraId="1A5209FE" w14:textId="77777777" w:rsidR="00D22CE3" w:rsidRPr="00F10391" w:rsidRDefault="00D22CE3" w:rsidP="0063065F">
            <w:r w:rsidRPr="00F10391">
              <w:t>100</w:t>
            </w:r>
          </w:p>
        </w:tc>
        <w:tc>
          <w:tcPr>
            <w:tcW w:w="1292" w:type="dxa"/>
            <w:shd w:val="clear" w:color="auto" w:fill="auto"/>
            <w:noWrap/>
            <w:hideMark/>
          </w:tcPr>
          <w:p w14:paraId="585621B3" w14:textId="77777777" w:rsidR="00D22CE3" w:rsidRPr="00F10391" w:rsidRDefault="00D22CE3" w:rsidP="0063065F">
            <w:r w:rsidRPr="00F10391">
              <w:t>100</w:t>
            </w:r>
          </w:p>
        </w:tc>
      </w:tr>
      <w:tr w:rsidR="00D22CE3" w:rsidRPr="00F10391" w14:paraId="79A9D33A" w14:textId="77777777" w:rsidTr="00D22CE3">
        <w:trPr>
          <w:trHeight w:val="481"/>
        </w:trPr>
        <w:tc>
          <w:tcPr>
            <w:tcW w:w="2977" w:type="dxa"/>
            <w:shd w:val="clear" w:color="auto" w:fill="C0C0C0"/>
            <w:hideMark/>
          </w:tcPr>
          <w:p w14:paraId="6EAEE936" w14:textId="77777777" w:rsidR="00D22CE3" w:rsidRPr="00F10391" w:rsidRDefault="00D22CE3" w:rsidP="0063065F">
            <w:r w:rsidRPr="00F10391">
              <w:t>Faecal occult blood tests/year (FOBT)</w:t>
            </w:r>
          </w:p>
        </w:tc>
        <w:tc>
          <w:tcPr>
            <w:tcW w:w="1226" w:type="dxa"/>
            <w:tcBorders>
              <w:left w:val="nil"/>
              <w:right w:val="nil"/>
            </w:tcBorders>
            <w:shd w:val="clear" w:color="auto" w:fill="C0C0C0"/>
            <w:noWrap/>
            <w:hideMark/>
          </w:tcPr>
          <w:p w14:paraId="4735BB05" w14:textId="77777777" w:rsidR="00D22CE3" w:rsidRPr="00F10391" w:rsidRDefault="00D22CE3" w:rsidP="0063065F">
            <w:r w:rsidRPr="00F10391">
              <w:t>90</w:t>
            </w:r>
          </w:p>
        </w:tc>
        <w:tc>
          <w:tcPr>
            <w:tcW w:w="1293" w:type="dxa"/>
            <w:shd w:val="clear" w:color="auto" w:fill="C0C0C0"/>
            <w:noWrap/>
            <w:hideMark/>
          </w:tcPr>
          <w:p w14:paraId="73549923" w14:textId="77777777" w:rsidR="00D22CE3" w:rsidRPr="00F10391" w:rsidRDefault="00D22CE3" w:rsidP="0063065F">
            <w:r w:rsidRPr="00F10391">
              <w:t>80</w:t>
            </w:r>
          </w:p>
        </w:tc>
        <w:tc>
          <w:tcPr>
            <w:tcW w:w="1292" w:type="dxa"/>
            <w:tcBorders>
              <w:left w:val="nil"/>
              <w:right w:val="nil"/>
            </w:tcBorders>
            <w:shd w:val="clear" w:color="auto" w:fill="C0C0C0"/>
            <w:noWrap/>
            <w:hideMark/>
          </w:tcPr>
          <w:p w14:paraId="0F83CA41" w14:textId="77777777" w:rsidR="00D22CE3" w:rsidRPr="00F10391" w:rsidRDefault="00D22CE3" w:rsidP="0063065F">
            <w:r w:rsidRPr="00F10391">
              <w:t>70</w:t>
            </w:r>
          </w:p>
        </w:tc>
        <w:tc>
          <w:tcPr>
            <w:tcW w:w="1292" w:type="dxa"/>
            <w:shd w:val="clear" w:color="auto" w:fill="C0C0C0"/>
            <w:noWrap/>
            <w:hideMark/>
          </w:tcPr>
          <w:p w14:paraId="4DF2E0E0" w14:textId="77777777" w:rsidR="00D22CE3" w:rsidRPr="00F10391" w:rsidRDefault="00D22CE3" w:rsidP="0063065F">
            <w:r w:rsidRPr="00F10391">
              <w:t>30</w:t>
            </w:r>
          </w:p>
        </w:tc>
      </w:tr>
      <w:tr w:rsidR="00D22CE3" w:rsidRPr="00F10391" w14:paraId="0F1C1ED7" w14:textId="77777777" w:rsidTr="00D22CE3">
        <w:trPr>
          <w:trHeight w:val="481"/>
        </w:trPr>
        <w:tc>
          <w:tcPr>
            <w:tcW w:w="2977" w:type="dxa"/>
            <w:shd w:val="clear" w:color="auto" w:fill="auto"/>
            <w:hideMark/>
          </w:tcPr>
          <w:p w14:paraId="031960D2" w14:textId="77777777" w:rsidR="00D22CE3" w:rsidRPr="00F10391" w:rsidRDefault="00D22CE3" w:rsidP="0063065F">
            <w:r w:rsidRPr="00F10391">
              <w:t>Flexible sigmoidoscopy/ 5 years (FS5)</w:t>
            </w:r>
          </w:p>
        </w:tc>
        <w:tc>
          <w:tcPr>
            <w:tcW w:w="1226" w:type="dxa"/>
            <w:shd w:val="clear" w:color="auto" w:fill="auto"/>
            <w:noWrap/>
            <w:hideMark/>
          </w:tcPr>
          <w:p w14:paraId="7FA3F86E" w14:textId="77777777" w:rsidR="00D22CE3" w:rsidRPr="00F10391" w:rsidRDefault="00D22CE3" w:rsidP="0063065F">
            <w:r w:rsidRPr="00F10391">
              <w:t>90</w:t>
            </w:r>
          </w:p>
        </w:tc>
        <w:tc>
          <w:tcPr>
            <w:tcW w:w="1293" w:type="dxa"/>
            <w:shd w:val="clear" w:color="auto" w:fill="auto"/>
            <w:noWrap/>
            <w:hideMark/>
          </w:tcPr>
          <w:p w14:paraId="507E913E" w14:textId="77777777" w:rsidR="00D22CE3" w:rsidRPr="00F10391" w:rsidRDefault="00D22CE3" w:rsidP="0063065F">
            <w:r w:rsidRPr="00F10391">
              <w:t>70</w:t>
            </w:r>
          </w:p>
        </w:tc>
        <w:tc>
          <w:tcPr>
            <w:tcW w:w="1292" w:type="dxa"/>
            <w:shd w:val="clear" w:color="auto" w:fill="auto"/>
            <w:noWrap/>
            <w:hideMark/>
          </w:tcPr>
          <w:p w14:paraId="2296DD0E" w14:textId="77777777" w:rsidR="00D22CE3" w:rsidRPr="00F10391" w:rsidRDefault="00D22CE3" w:rsidP="0063065F">
            <w:r w:rsidRPr="00F10391">
              <w:t>70</w:t>
            </w:r>
          </w:p>
        </w:tc>
        <w:tc>
          <w:tcPr>
            <w:tcW w:w="1292" w:type="dxa"/>
            <w:shd w:val="clear" w:color="auto" w:fill="auto"/>
            <w:noWrap/>
            <w:hideMark/>
          </w:tcPr>
          <w:p w14:paraId="10AB1A49" w14:textId="77777777" w:rsidR="00D22CE3" w:rsidRPr="00F10391" w:rsidRDefault="00D22CE3" w:rsidP="0063065F">
            <w:r w:rsidRPr="00F10391">
              <w:t>70</w:t>
            </w:r>
          </w:p>
        </w:tc>
      </w:tr>
    </w:tbl>
    <w:p w14:paraId="44D7DA0C" w14:textId="77777777" w:rsidR="00D22CE3" w:rsidRPr="00F10391" w:rsidRDefault="00D22CE3" w:rsidP="00494A9A"/>
    <w:p w14:paraId="27D4E430" w14:textId="77777777" w:rsidR="00D22CE3" w:rsidRPr="00F10391" w:rsidRDefault="00D22CE3" w:rsidP="00494A9A">
      <w:r w:rsidRPr="00F10391">
        <w:t xml:space="preserve">If we initially consider the objective function to be the maximisation of the score of avoiding side effects, </w:t>
      </w:r>
      <w:r w:rsidRPr="00F10391">
        <w:rPr>
          <w:i/>
        </w:rPr>
        <w:t>flexible sigmoidoscopy</w:t>
      </w:r>
      <w:r w:rsidRPr="00F10391">
        <w:t xml:space="preserve"> is ruled out by not meeting Goal 1. The next goal then </w:t>
      </w:r>
      <w:r w:rsidRPr="00F10391">
        <w:lastRenderedPageBreak/>
        <w:t xml:space="preserve">becomes the objective function, with the previous goal as a de facto constraint, i.e. of the approaches available that met the prior goal, which ones scored at least 60 on avoiding false positives? Both </w:t>
      </w:r>
      <w:r w:rsidRPr="00F10391">
        <w:rPr>
          <w:i/>
        </w:rPr>
        <w:t>No screening</w:t>
      </w:r>
      <w:r w:rsidRPr="00F10391">
        <w:t xml:space="preserve"> and </w:t>
      </w:r>
      <w:r w:rsidRPr="00F10391">
        <w:rPr>
          <w:i/>
        </w:rPr>
        <w:t>FOBT</w:t>
      </w:r>
      <w:r w:rsidRPr="00F10391">
        <w:t>, therefore are both eligible, but only</w:t>
      </w:r>
      <w:r w:rsidRPr="00F10391">
        <w:rPr>
          <w:i/>
        </w:rPr>
        <w:t xml:space="preserve"> FOBT</w:t>
      </w:r>
      <w:r w:rsidRPr="00F10391">
        <w:t xml:space="preserve"> meets the next goal. As a result, there is no need to continue to the fourth goal and </w:t>
      </w:r>
      <w:r w:rsidRPr="00F10391">
        <w:rPr>
          <w:i/>
        </w:rPr>
        <w:t>FOBT</w:t>
      </w:r>
      <w:r w:rsidRPr="00F10391">
        <w:t xml:space="preserve"> is chosen. The algorithm would similarly stop at the point at which a goal could not be met and the best, previously remaining option chosen.</w:t>
      </w:r>
    </w:p>
    <w:p w14:paraId="2D42D982" w14:textId="77777777" w:rsidR="00D22CE3" w:rsidRPr="00F10391" w:rsidRDefault="00D22CE3" w:rsidP="00494A9A">
      <w:r w:rsidRPr="00F10391">
        <w:t xml:space="preserve">The weighted approach would assign explicit weights to each goal (whereas in the lexicographic example above, it implicitly places 100% of the weight on each goal in turn). Dummy variables can be used to measure by how much each option over-achieves or under-achieves pre-specified goals on each level, and associated dummy penalty variables are assigned to each. A single objective function is used - corresponding to the sum of the deviations, weighted by their penalty function - which is minimised using a linear program. In such an approach, a particularly good performance on the fourth goal could feasibly make up for a poor performance on prior goals, which is not possible using the lexicographic method. </w:t>
      </w:r>
    </w:p>
    <w:p w14:paraId="789F226B" w14:textId="77777777" w:rsidR="00D22CE3" w:rsidRPr="00F10391" w:rsidRDefault="00D22CE3" w:rsidP="00490B5D">
      <w:r w:rsidRPr="00F10391">
        <w:t>However, such an approach would be more practical when used to derive an optimal mix of alternatives. In principle, given constraints about the minimum and maximum likely need for each service, their costs and so on, goal programming methods could in theory be useful in identifying an initial basket of services that a provider might offer, which could then be further discussed and updated. This method does not appear to have been widely applied to public healthcare in the literature, at least formally, as shown in the next chapter.</w:t>
      </w:r>
    </w:p>
    <w:p w14:paraId="0BF86D0B" w14:textId="77777777" w:rsidR="00D22CE3" w:rsidRPr="00F10391" w:rsidRDefault="00D22CE3" w:rsidP="00490B5D">
      <w:r w:rsidRPr="00F10391">
        <w:t xml:space="preserve">The division between the weighted and lexicographic methods corresponds to the other MCDA approaches which stress the importance of trade-offs or where key criteria must be met in order to find practical solutions. Like other MCDA approaches, the approach is necessary in particular where the criteria are in conflict and not all objectives can be met. Each approach should be paired with the nature of the problem at hand. In public health, trade-offs are often required in finding the best possible solution </w:t>
      </w:r>
      <w:r w:rsidRPr="00F10391">
        <w:fldChar w:fldCharType="begin">
          <w:fldData xml:space="preserve">PEVuZE5vdGU+PENpdGU+PEF1dGhvcj5CYWx0dXNzZW48L0F1dGhvcj48WWVhcj4yMDA2PC9ZZWFy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</w:fldData>
        </w:fldChar>
      </w:r>
      <w:r w:rsidRPr="00F10391">
        <w:instrText xml:space="preserve"> ADDIN EN.CITE </w:instrText>
      </w:r>
      <w:r w:rsidRPr="00F10391">
        <w:fldChar w:fldCharType="begin">
          <w:fldData xml:space="preserve">PEVuZE5vdGU+PENpdGU+PEF1dGhvcj5CYWx0dXNzZW48L0F1dGhvcj48WWVhcj4yMDA2PC9ZZWFy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</w:fldData>
        </w:fldChar>
      </w:r>
      <w:r w:rsidRPr="00F10391">
        <w:instrText xml:space="preserve"> ADDIN EN.CITE.DATA </w:instrText>
      </w:r>
      <w:r w:rsidRPr="00F10391">
        <w:fldChar w:fldCharType="end"/>
      </w:r>
      <w:r w:rsidRPr="00F10391">
        <w:fldChar w:fldCharType="separate"/>
      </w:r>
      <w:r w:rsidRPr="00F10391">
        <w:t>[6]</w:t>
      </w:r>
      <w:r w:rsidRPr="00F10391">
        <w:fldChar w:fldCharType="end"/>
      </w:r>
      <w:r w:rsidRPr="00F10391">
        <w:t xml:space="preserve">, but real life concerns must be taken into account in practice too. </w:t>
      </w:r>
    </w:p>
    <w:p w14:paraId="547BF05F" w14:textId="77777777" w:rsidR="00D22CE3" w:rsidRPr="00F10391" w:rsidRDefault="00D22CE3" w:rsidP="00D24504">
      <w:r w:rsidRPr="00F10391">
        <w:t xml:space="preserve">It is possible that many decisions in healthcare might well be described as following </w:t>
      </w:r>
      <w:r w:rsidRPr="00F10391">
        <w:rPr>
          <w:i/>
        </w:rPr>
        <w:t>ad hoc</w:t>
      </w:r>
      <w:r w:rsidRPr="00F10391">
        <w:t xml:space="preserve"> goal programming or satisficing approaches. Politically, there may well be ‘red line issues’ that it would be unwise to ignore, or key constituent groups in society that are implicitly or explicitly deemed worthy of preferential treatment. While speculative, it is plausible to interpret the foundation of the Cancer Drugs Fund as a step of this nature. Because they are implicit in nature – and that decision-makers may have specifically chosen not to use explicit techniques – they will not be referred to in the literature specifically as goal programming. But it is possible such approaches could be more common than the literature suggests.</w:t>
      </w:r>
    </w:p>
    <w:p w14:paraId="31C16140" w14:textId="77777777" w:rsidR="00D22CE3" w:rsidRPr="00F10391" w:rsidRDefault="00D22CE3" w:rsidP="00D24504"/>
    <w:p w14:paraId="62BCADF0" w14:textId="77777777" w:rsidR="00D22CE3" w:rsidRPr="00F10391" w:rsidRDefault="00D22CE3" w:rsidP="006A5AA3">
      <w:pPr>
        <w:pStyle w:val="Heading3"/>
      </w:pPr>
      <w:bookmarkStart w:id="169" w:name="_Toc313187832"/>
      <w:bookmarkStart w:id="170" w:name="_Toc441508933"/>
      <w:bookmarkStart w:id="171" w:name="_Toc453235371"/>
      <w:bookmarkStart w:id="172" w:name="_Toc453595444"/>
      <w:bookmarkStart w:id="173" w:name="_Toc476241541"/>
      <w:r w:rsidRPr="00F10391">
        <w:t>2.5.6</w:t>
      </w:r>
      <w:r w:rsidRPr="00F10391">
        <w:tab/>
      </w:r>
      <w:r w:rsidRPr="00F10391">
        <w:tab/>
        <w:t>Programme budgeting and marginal analysis (PBMA)</w:t>
      </w:r>
      <w:bookmarkEnd w:id="167"/>
      <w:bookmarkEnd w:id="169"/>
      <w:bookmarkEnd w:id="170"/>
      <w:bookmarkEnd w:id="171"/>
      <w:bookmarkEnd w:id="172"/>
      <w:bookmarkEnd w:id="173"/>
    </w:p>
    <w:p w14:paraId="7B69BA48" w14:textId="77777777" w:rsidR="00084AC3" w:rsidRDefault="00D22CE3" w:rsidP="006942ED">
      <w:r w:rsidRPr="00F10391">
        <w:t xml:space="preserve">While Belton &amp; Stewart </w:t>
      </w:r>
      <w:r w:rsidRPr="00F10391">
        <w:fldChar w:fldCharType="begin"/>
      </w:r>
      <w:r w:rsidR="00700267">
        <w:instrText xml:space="preserve"> ADDIN EN.CITE &lt;EndNote&gt;&lt;Cite ExcludeAuth="1"&gt;&lt;Author&gt;Belton&lt;/Author&gt;&lt;Year&gt;2002&lt;/Year&gt;&lt;RecNum&gt;12&lt;/RecNum&gt;&lt;DisplayText&gt;[117]&lt;/DisplayText&gt;&lt;record&gt;&lt;rec-number&gt;12&lt;/rec-number&gt;&lt;foreign-keys&gt;&lt;key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fldChar w:fldCharType="separate"/>
      </w:r>
      <w:r w:rsidR="00700267">
        <w:rPr>
          <w:noProof/>
        </w:rPr>
        <w:t>[117]</w:t>
      </w:r>
      <w:r w:rsidRPr="00F10391">
        <w:fldChar w:fldCharType="end"/>
      </w:r>
      <w:r w:rsidRPr="00F10391">
        <w:t xml:space="preserve"> and Thokala &amp; Duenas </w:t>
      </w:r>
      <w:r w:rsidRPr="00F10391">
        <w:fldChar w:fldCharType="begin"/>
      </w:r>
      <w:r w:rsidRPr="00F10391">
        <w:instrText xml:space="preserve"> ADDIN EN.CITE &lt;EndNote&gt;&lt;Cite ExcludeAuth="1"&gt;&lt;Author&gt;Thokala&lt;/Author&gt;&lt;Year&gt;2012&lt;/Year&gt;&lt;RecNum&gt;141&lt;/RecNum&gt;&lt;DisplayText&gt;[5]&lt;/DisplayText&gt;&lt;record&gt;&lt;rec-number&gt;141&lt;/rec-number&gt;&lt;foreign-keys&gt;&lt;key app="EN" db-id="sz9092dv2s5fpze9wpgx0zxgv5ar00aezrvf" timestamp="0"&gt;141&lt;/key&gt;&lt;/foreign-keys&gt;&lt;ref-type name="Journal Article"&gt;17&lt;/ref-type&gt;&lt;contributors&gt;&lt;authors&gt;&lt;author&gt;Thokala, Praveen&lt;/author&gt;&lt;author&gt;Duenas, Alejandra&lt;/author&gt;&lt;/authors&gt;&lt;/contributors&gt;&lt;titles&gt;&lt;title&gt;Multiple criteria decision analysis for health technology assessment&lt;/title&gt;&lt;secondary-title&gt;Value in Health&lt;/secondary-title&gt;&lt;/titles&gt;&lt;periodical&gt;&lt;full-title&gt;Value in Health&lt;/full-title&gt;&lt;/periodical&gt;&lt;pages&gt;1172-1181&lt;/pages&gt;&lt;volume&gt;15&lt;/volume&gt;&lt;number&gt;8&lt;/number&gt;&lt;dates&gt;&lt;year&gt;2012&lt;/year&gt;&lt;/dates&gt;&lt;isbn&gt;1098-3015&lt;/isbn&gt;&lt;urls&gt;&lt;related-urls&gt;&lt;url&gt;http://www.valueinhealthjournal.com/article/S1098-3015(12)01655-5/pdf&lt;/url&gt;&lt;/related-urls&gt;&lt;/urls&gt;&lt;/record&gt;&lt;/Cite&gt;&lt;/EndNote&gt;</w:instrText>
      </w:r>
      <w:r w:rsidRPr="00F10391">
        <w:fldChar w:fldCharType="separate"/>
      </w:r>
      <w:r w:rsidRPr="00F10391">
        <w:t>[5]</w:t>
      </w:r>
      <w:r w:rsidRPr="00F10391">
        <w:fldChar w:fldCharType="end"/>
      </w:r>
      <w:r w:rsidRPr="00F10391">
        <w:t xml:space="preserve"> identify the previous three areas as the major families in MCDA, Gamper &amp; Turcanu </w:t>
      </w:r>
      <w:r w:rsidRPr="00F10391">
        <w:fldChar w:fldCharType="begin"/>
      </w:r>
      <w:r w:rsidR="00700267">
        <w:instrText xml:space="preserve"> ADDIN EN.CITE &lt;EndNote&gt;&lt;Cite ExcludeAuth="1"&gt;&lt;Author&gt;Gamper&lt;/Author&gt;&lt;Year&gt;2007&lt;/Year&gt;&lt;RecNum&gt;51&lt;/RecNum&gt;&lt;DisplayText&gt;[118]&lt;/DisplayText&gt;&lt;record&gt;&lt;rec-number&gt;51&lt;/rec-number&gt;&lt;foreign-keys&gt;&lt;key app="EN" db-id="sz9092dv2s5fpze9wpgx0zxgv5ar00aezrvf" timestamp="0"&gt;51&lt;/key&gt;&lt;/foreign-keys&gt;&lt;ref-type name="Journal Article"&gt;17&lt;/ref-type&gt;&lt;contributors&gt;&lt;authors&gt;&lt;author&gt;Gamper, CD&lt;/author&gt;&lt;author&gt;Turcanu, Catrinel&lt;/author&gt;&lt;/authors&gt;&lt;/contributors&gt;&lt;titles&gt;&lt;title&gt;On the governmental use of multi-criteria analysis&lt;/title&gt;&lt;secondary-title&gt;Ecological economics&lt;/secondary-title&gt;&lt;/titles&gt;&lt;pages&gt;298-307&lt;/pages&gt;&lt;volume&gt;62&lt;/volume&gt;&lt;number&gt;2&lt;/number&gt;&lt;dates&gt;&lt;year&gt;2007&lt;/year&gt;&lt;/dates&gt;&lt;isbn&gt;0921-8009&lt;/isbn&gt;&lt;urls&gt;&lt;related-urls&gt;&lt;url&gt;http://www.sciencedirect.com/science/article/pii/S092180090700095X&lt;/url&gt;&lt;/related-urls&gt;&lt;/urls&gt;&lt;/record&gt;&lt;/Cite&gt;&lt;/EndNote&gt;</w:instrText>
      </w:r>
      <w:r w:rsidRPr="00F10391">
        <w:fldChar w:fldCharType="separate"/>
      </w:r>
      <w:r w:rsidR="00700267">
        <w:rPr>
          <w:noProof/>
        </w:rPr>
        <w:t>[118]</w:t>
      </w:r>
      <w:r w:rsidRPr="00F10391">
        <w:fldChar w:fldCharType="end"/>
      </w:r>
      <w:r w:rsidR="000C4C15">
        <w:t xml:space="preserve"> (p.302)</w:t>
      </w:r>
      <w:r w:rsidRPr="00F10391">
        <w:t xml:space="preserve"> identify one more such area, “interactive, trial-error methods, which explore the space of feasible alternatives through a dialogue with the decision-makers”.</w:t>
      </w:r>
    </w:p>
    <w:p w14:paraId="221C6427" w14:textId="77777777" w:rsidR="00D22CE3" w:rsidRPr="00F10391" w:rsidRDefault="00D22CE3" w:rsidP="006942ED">
      <w:r w:rsidRPr="00F10391">
        <w:lastRenderedPageBreak/>
        <w:t xml:space="preserve"> Programme budgeting and marginal analysis (PBMA) is one such technique, centred on dialogue and compromise (assigning costs and benefits only in the latter stages) for prioritising health sector spending. Its reported use seems especially common in the UK and Commonwealth countries (as reported in Chapter 3). With this approach, multiple stakeholders make investment and disinvestment recommendations on the basis of a transparent programme of deliberation. Current resource use is calculated (programme budgeting) and the benefits arising from investments and disinvestments at the margin compared (marginal analysis). </w:t>
      </w:r>
    </w:p>
    <w:p w14:paraId="363AF9B8" w14:textId="77777777" w:rsidR="00D22CE3" w:rsidRPr="00F10391" w:rsidRDefault="00D22CE3">
      <w:r w:rsidRPr="00F10391">
        <w:t xml:space="preserve">PBMA was first developed in the early Cold War period in the US to help better identify and understand military spending and to prioritise accordingly. It has become noticeably more widely applied in health settings since the early 1990s; the most common reasons given in the literature being NHS reforms relating to a purchaser-provider divide in 1991, spurring an increase in economic responsibility, and broader societal acceptance that a healthcare service can only have limited resources (though this realisation still appeared as “a considerable revelation” to some decision-makers until at least the mid-1990s </w:t>
      </w:r>
      <w:r w:rsidRPr="00F10391">
        <w:fldChar w:fldCharType="begin"/>
      </w:r>
      <w:r w:rsidR="00700267">
        <w:instrText xml:space="preserve"> ADDIN EN.CITE &lt;EndNote&gt;&lt;Cite&gt;&lt;Author&gt;Madden&lt;/Author&gt;&lt;Year&gt;1995&lt;/Year&gt;&lt;RecNum&gt;87&lt;/RecNum&gt;&lt;DisplayText&gt;[137]&lt;/DisplayText&gt;&lt;record&gt;&lt;rec-number&gt;87&lt;/rec-number&gt;&lt;foreign-keys&gt;&lt;key app="EN" db-id="sz9092dv2s5fpze9wpgx0zxgv5ar00aezrvf" timestamp="0"&gt;87&lt;/key&gt;&lt;/foreign-keys&gt;&lt;ref-type name="Journal Article"&gt;17&lt;/ref-type&gt;&lt;contributors&gt;&lt;authors&gt;&lt;author&gt;Madden, Lynne&lt;/author&gt;&lt;author&gt;Hussey, Ruth&lt;/author&gt;&lt;author&gt;Mooney, Gavin&lt;/author&gt;&lt;author&gt;Church, Elaine&lt;/author&gt;&lt;/authors&gt;&lt;/contributors&gt;&lt;titles&gt;&lt;title&gt;Public health and economics in tandem: programme budgeting, marginal analysis and priority setting in practice&lt;/title&gt;&lt;secondary-title&gt;Health Policy&lt;/secondary-title&gt;&lt;/titles&gt;&lt;periodical&gt;&lt;full-title&gt;Health Policy&lt;/full-title&gt;&lt;/periodical&gt;&lt;pages&gt;161-168&lt;/pages&gt;&lt;volume&gt;33&lt;/volume&gt;&lt;number&gt;2&lt;/number&gt;&lt;dates&gt;&lt;year&gt;1995&lt;/year&gt;&lt;/dates&gt;&lt;isbn&gt;0168-8510&lt;/isbn&gt;&lt;urls&gt;&lt;related-urls&gt;&lt;url&gt;http://www.healthpolicyjrnl.com/article/0168-8510(95)93676-R/abstract&lt;/url&gt;&lt;/related-urls&gt;&lt;/urls&gt;&lt;/record&gt;&lt;/Cite&gt;&lt;/EndNote&gt;</w:instrText>
      </w:r>
      <w:r w:rsidRPr="00F10391">
        <w:fldChar w:fldCharType="separate"/>
      </w:r>
      <w:r w:rsidR="00700267">
        <w:rPr>
          <w:noProof/>
        </w:rPr>
        <w:t>[137]</w:t>
      </w:r>
      <w:r w:rsidRPr="00F10391">
        <w:fldChar w:fldCharType="end"/>
      </w:r>
      <w:r w:rsidR="00ED290C">
        <w:t xml:space="preserve"> (p.167)</w:t>
      </w:r>
      <w:r w:rsidRPr="00F10391">
        <w:t xml:space="preserve">). The continuing move towards evidence-based medicine is also frequently discussed.  </w:t>
      </w:r>
    </w:p>
    <w:p w14:paraId="0F8AE19C" w14:textId="77777777" w:rsidR="00D22CE3" w:rsidRPr="00F10391" w:rsidRDefault="00D22CE3">
      <w:r w:rsidRPr="00F10391">
        <w:t xml:space="preserve">Whether or not PBMA should be classified as a formal MCDA method is to a certain extent a matter of opinion. It does not explicitly weight the criteria or generate final scores for each alternative. However, it can take into account multiple criteria such as effectiveness, cost-effectiveness and equity. Its popularity has grown as problems with single metric approaches such as QALY league tables and cost-benefit analyses have become more recognised. Its principles of transparent, rational and conciliatory decision-making also dovetail nicely with those of MCDA. </w:t>
      </w:r>
    </w:p>
    <w:p w14:paraId="5DFDE860" w14:textId="77777777" w:rsidR="00D22CE3" w:rsidRPr="00F10391" w:rsidRDefault="00D22CE3">
      <w:pPr>
        <w:rPr>
          <w:i/>
          <w:iCs/>
        </w:rPr>
      </w:pPr>
      <w:r w:rsidRPr="00F10391">
        <w:t xml:space="preserve">This ambiguity is an advantage in its own way. It appears less rigid to stakeholders than other health economic (or MCDA) techniques, allowing for “more flexible, accessible and locally appropriate” outcomes </w:t>
      </w:r>
      <w:r w:rsidRPr="00F10391">
        <w:fldChar w:fldCharType="begin"/>
      </w:r>
      <w:r w:rsidR="00700267">
        <w:instrText xml:space="preserve"> ADDIN EN.CITE &lt;EndNote&gt;&lt;Cite&gt;&lt;Author&gt;Marks&lt;/Author&gt;&lt;Year&gt;2013&lt;/Year&gt;&lt;RecNum&gt;179&lt;/RecNum&gt;&lt;DisplayText&gt;[138]&lt;/DisplayText&gt;&lt;record&gt;&lt;rec-number&gt;179&lt;/rec-number&gt;&lt;foreign-keys&gt;&lt;key app="EN" db-id="sz9092dv2s5fpze9wpgx0zxgv5ar00aezrvf" timestamp="0"&gt;179&lt;/key&gt;&lt;/foreign-keys&gt;&lt;ref-type name="Report"&gt;27&lt;/ref-type&gt;&lt;contributors&gt;&lt;authors&gt;&lt;author&gt;Marks, L; Ormston, C; Hunter, DJ; Thokala, P; Payne, N; Salway, S; Vale, L; Gray, J; McCafferty, S&lt;/author&gt;&lt;/authors&gt;&lt;/contributors&gt;&lt;titles&gt;&lt;title&gt;Prioritising public health interventions in local authorities: a scoping study of approaches for decision support&lt;/title&gt;&lt;/titles&gt;&lt;volume&gt;Durham University&lt;/volume&gt;&lt;dates&gt;&lt;year&gt;2013&lt;/year&gt;&lt;/dates&gt;&lt;publisher&gt;Durham&lt;/publisher&gt;&lt;urls&gt;&lt;related-urls&gt;&lt;url&gt;https://www.dur.ac.uk/public.health/projects/shiftingthegravity/information/ &lt;/url&gt;&lt;/related-urls&gt;&lt;/urls&gt;&lt;access-date&gt;1 February 2014&lt;/access-date&gt;&lt;/record&gt;&lt;/Cite&gt;&lt;/EndNote&gt;</w:instrText>
      </w:r>
      <w:r w:rsidRPr="00F10391">
        <w:fldChar w:fldCharType="separate"/>
      </w:r>
      <w:r w:rsidR="00700267">
        <w:rPr>
          <w:noProof/>
        </w:rPr>
        <w:t>[138]</w:t>
      </w:r>
      <w:r w:rsidRPr="00F10391">
        <w:fldChar w:fldCharType="end"/>
      </w:r>
      <w:r w:rsidR="00FF4251">
        <w:t xml:space="preserve"> (p.22)</w:t>
      </w:r>
      <w:r w:rsidRPr="00F10391">
        <w:t xml:space="preserve">, which may be easier to implement. As such, it may under certain circumstances achieve many of the aims of other harder-nosed analytical techniques through mutual consensus. </w:t>
      </w:r>
    </w:p>
    <w:p w14:paraId="70C88862" w14:textId="3A069417" w:rsidR="00D22CE3" w:rsidRPr="00F10391" w:rsidRDefault="00D22CE3">
      <w:bookmarkStart w:id="174" w:name="_Toc303953397"/>
      <w:r w:rsidRPr="00F10391">
        <w:t xml:space="preserve">Mitton and Donaldson </w:t>
      </w:r>
      <w:r w:rsidRPr="00F10391">
        <w:fldChar w:fldCharType="begin"/>
      </w:r>
      <w:r w:rsidR="00700267">
        <w:instrText xml:space="preserve"> ADDIN EN.CITE &lt;EndNote&gt;&lt;Cite ExcludeAuth="1"&gt;&lt;Author&gt;Mitton&lt;/Author&gt;&lt;Year&gt;2003&lt;/Year&gt;&lt;RecNum&gt;97&lt;/RecNum&gt;&lt;DisplayText&gt;[139]&lt;/DisplayText&gt;&lt;record&gt;&lt;rec-number&gt;97&lt;/rec-number&gt;&lt;foreign-keys&gt;&lt;key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w:t>
      </w:r>
      <w:r w:rsidR="00942A9E">
        <w:t>(p.3</w:t>
      </w:r>
      <w:r w:rsidR="005D3F11">
        <w:t xml:space="preserve">) </w:t>
      </w:r>
      <w:r w:rsidRPr="00F10391">
        <w:t>list the seven stages for stakeholders engaging in a PBMA:</w:t>
      </w:r>
    </w:p>
    <w:p w14:paraId="58250BD0" w14:textId="77777777" w:rsidR="00D22CE3" w:rsidRPr="00F10391" w:rsidRDefault="00D22CE3">
      <w:pPr>
        <w:pStyle w:val="ListParagraph"/>
        <w:numPr>
          <w:ilvl w:val="0"/>
          <w:numId w:val="2"/>
        </w:numPr>
      </w:pPr>
      <w:r w:rsidRPr="00F10391">
        <w:t>Determine the aim and scope of the priority setting exercise</w:t>
      </w:r>
    </w:p>
    <w:p w14:paraId="20432047" w14:textId="77777777" w:rsidR="00D22CE3" w:rsidRPr="00F10391" w:rsidRDefault="00D22CE3">
      <w:pPr>
        <w:pStyle w:val="ListParagraph"/>
        <w:numPr>
          <w:ilvl w:val="0"/>
          <w:numId w:val="2"/>
        </w:numPr>
      </w:pPr>
      <w:r w:rsidRPr="00F10391">
        <w:t>Compile a programme budget (i.e. map of current activity and expenditure)</w:t>
      </w:r>
    </w:p>
    <w:p w14:paraId="4A3A04FB" w14:textId="77777777" w:rsidR="00D22CE3" w:rsidRPr="00F10391" w:rsidRDefault="00D22CE3">
      <w:pPr>
        <w:pStyle w:val="ListParagraph"/>
        <w:numPr>
          <w:ilvl w:val="0"/>
          <w:numId w:val="2"/>
        </w:numPr>
      </w:pPr>
      <w:r w:rsidRPr="00F10391">
        <w:t>Form marginal analysis advisory panel</w:t>
      </w:r>
    </w:p>
    <w:p w14:paraId="2EDDEC13" w14:textId="77777777" w:rsidR="00D22CE3" w:rsidRPr="00F10391" w:rsidRDefault="00D22CE3">
      <w:pPr>
        <w:pStyle w:val="ListParagraph"/>
        <w:numPr>
          <w:ilvl w:val="0"/>
          <w:numId w:val="2"/>
        </w:numPr>
      </w:pPr>
      <w:r w:rsidRPr="00F10391">
        <w:t>Determine locally relevant decision-making criteria</w:t>
      </w:r>
    </w:p>
    <w:p w14:paraId="12B6550B" w14:textId="77777777" w:rsidR="00D22CE3" w:rsidRPr="00F10391" w:rsidRDefault="00D22CE3">
      <w:pPr>
        <w:pStyle w:val="ListParagraph"/>
        <w:numPr>
          <w:ilvl w:val="1"/>
          <w:numId w:val="2"/>
        </w:numPr>
      </w:pPr>
      <w:r w:rsidRPr="00F10391">
        <w:t>Decision-maker input</w:t>
      </w:r>
    </w:p>
    <w:p w14:paraId="77E94D0D" w14:textId="77777777" w:rsidR="00D22CE3" w:rsidRPr="00F10391" w:rsidRDefault="00D22CE3">
      <w:pPr>
        <w:pStyle w:val="ListParagraph"/>
        <w:numPr>
          <w:ilvl w:val="1"/>
          <w:numId w:val="2"/>
        </w:numPr>
      </w:pPr>
      <w:r w:rsidRPr="00F10391">
        <w:t>Board of Director input</w:t>
      </w:r>
    </w:p>
    <w:p w14:paraId="4C3DE58E" w14:textId="77777777" w:rsidR="00D22CE3" w:rsidRPr="00F10391" w:rsidRDefault="00D22CE3">
      <w:pPr>
        <w:pStyle w:val="ListParagraph"/>
        <w:numPr>
          <w:ilvl w:val="1"/>
          <w:numId w:val="2"/>
        </w:numPr>
      </w:pPr>
      <w:r w:rsidRPr="00F10391">
        <w:t>Public input</w:t>
      </w:r>
    </w:p>
    <w:p w14:paraId="7D9C5FE9" w14:textId="77777777" w:rsidR="00D22CE3" w:rsidRPr="00F10391" w:rsidRDefault="00D22CE3">
      <w:pPr>
        <w:pStyle w:val="ListParagraph"/>
        <w:numPr>
          <w:ilvl w:val="0"/>
          <w:numId w:val="2"/>
        </w:numPr>
      </w:pPr>
      <w:r w:rsidRPr="00F10391">
        <w:t>Advisory panel to identify options in terms of:</w:t>
      </w:r>
    </w:p>
    <w:p w14:paraId="731859FD" w14:textId="77777777" w:rsidR="00D22CE3" w:rsidRPr="00F10391" w:rsidRDefault="00D22CE3">
      <w:pPr>
        <w:pStyle w:val="ListParagraph"/>
        <w:numPr>
          <w:ilvl w:val="1"/>
          <w:numId w:val="2"/>
        </w:numPr>
      </w:pPr>
      <w:r w:rsidRPr="00F10391">
        <w:t>areas for service growth</w:t>
      </w:r>
    </w:p>
    <w:p w14:paraId="084131EE" w14:textId="77777777" w:rsidR="00D22CE3" w:rsidRPr="00F10391" w:rsidRDefault="00D22CE3">
      <w:pPr>
        <w:pStyle w:val="ListParagraph"/>
        <w:numPr>
          <w:ilvl w:val="1"/>
          <w:numId w:val="2"/>
        </w:numPr>
      </w:pPr>
      <w:r w:rsidRPr="00F10391">
        <w:t>areas for resource release through producing same level of output (or outcomes) but with less resources</w:t>
      </w:r>
    </w:p>
    <w:p w14:paraId="4825240B" w14:textId="77777777" w:rsidR="00D22CE3" w:rsidRPr="00F10391" w:rsidRDefault="00D22CE3">
      <w:pPr>
        <w:pStyle w:val="ListParagraph"/>
        <w:numPr>
          <w:ilvl w:val="1"/>
          <w:numId w:val="2"/>
        </w:numPr>
      </w:pPr>
      <w:r w:rsidRPr="00F10391">
        <w:t>areas for resource release through scaling back or stopping some services</w:t>
      </w:r>
    </w:p>
    <w:p w14:paraId="53E496C2" w14:textId="77777777" w:rsidR="00D22CE3" w:rsidRPr="00F10391" w:rsidRDefault="00D22CE3">
      <w:pPr>
        <w:pStyle w:val="ListParagraph"/>
        <w:numPr>
          <w:ilvl w:val="0"/>
          <w:numId w:val="2"/>
        </w:numPr>
      </w:pPr>
      <w:r w:rsidRPr="00F10391">
        <w:t>Advisory panel to make recommendations in terms of:</w:t>
      </w:r>
    </w:p>
    <w:p w14:paraId="03786560" w14:textId="77777777" w:rsidR="00D22CE3" w:rsidRPr="00F10391" w:rsidRDefault="00D22CE3">
      <w:pPr>
        <w:pStyle w:val="ListParagraph"/>
        <w:numPr>
          <w:ilvl w:val="1"/>
          <w:numId w:val="2"/>
        </w:numPr>
      </w:pPr>
      <w:r w:rsidRPr="00F10391">
        <w:t>funding growth areas with new resources</w:t>
      </w:r>
    </w:p>
    <w:p w14:paraId="3CD5BFA2" w14:textId="77777777" w:rsidR="00D22CE3" w:rsidRPr="00F10391" w:rsidRDefault="00D22CE3">
      <w:pPr>
        <w:pStyle w:val="ListParagraph"/>
        <w:numPr>
          <w:ilvl w:val="1"/>
          <w:numId w:val="2"/>
        </w:numPr>
      </w:pPr>
      <w:r w:rsidRPr="00F10391">
        <w:t>decisions to move resources from 5(b) into 5(a)</w:t>
      </w:r>
    </w:p>
    <w:p w14:paraId="6F2586AF" w14:textId="77777777" w:rsidR="00D22CE3" w:rsidRPr="00F10391" w:rsidRDefault="00D22CE3">
      <w:pPr>
        <w:pStyle w:val="ListParagraph"/>
        <w:numPr>
          <w:ilvl w:val="1"/>
          <w:numId w:val="2"/>
        </w:numPr>
      </w:pPr>
      <w:r w:rsidRPr="00F10391">
        <w:lastRenderedPageBreak/>
        <w:t>trade-off decisions to move resources from 5(c) to 5(a) if relative value in 5(a) is deemed greater than that in 5(c)</w:t>
      </w:r>
    </w:p>
    <w:p w14:paraId="0DACE9CE" w14:textId="77777777" w:rsidR="00D22CE3" w:rsidRPr="00F10391" w:rsidRDefault="00D22CE3">
      <w:pPr>
        <w:pStyle w:val="ListParagraph"/>
        <w:numPr>
          <w:ilvl w:val="0"/>
          <w:numId w:val="2"/>
        </w:numPr>
      </w:pPr>
      <w:r w:rsidRPr="00F10391">
        <w:t>Validity checks with additional stakeholders and final decisions to inform budget planning process</w:t>
      </w:r>
    </w:p>
    <w:p w14:paraId="3D922BA0" w14:textId="77777777" w:rsidR="00D22CE3" w:rsidRPr="00F10391" w:rsidRDefault="00D22CE3">
      <w:r w:rsidRPr="00F10391">
        <w:t>Again, further experience of the approach’s use in practice is described in the next chapter.</w:t>
      </w:r>
    </w:p>
    <w:p w14:paraId="2BA05DE9" w14:textId="77777777" w:rsidR="00D22CE3" w:rsidRPr="00F10391" w:rsidRDefault="00D22CE3"/>
    <w:p w14:paraId="423F83BE" w14:textId="77777777" w:rsidR="00D22CE3" w:rsidRPr="00F10391" w:rsidRDefault="00D22CE3">
      <w:pPr>
        <w:pStyle w:val="Numberedheading2"/>
      </w:pPr>
      <w:bookmarkStart w:id="175" w:name="_Toc313187833"/>
      <w:bookmarkStart w:id="176" w:name="_Toc441508934"/>
      <w:bookmarkStart w:id="177" w:name="_Toc453235372"/>
      <w:bookmarkStart w:id="178" w:name="_Toc453595445"/>
      <w:bookmarkStart w:id="179" w:name="_Toc476241542"/>
      <w:r w:rsidRPr="00F10391">
        <w:t>2.6</w:t>
      </w:r>
      <w:r w:rsidRPr="00F10391">
        <w:tab/>
      </w:r>
      <w:r w:rsidRPr="00F10391">
        <w:tab/>
        <w:t>Previous use at various (quasi-)governmental levels</w:t>
      </w:r>
      <w:bookmarkEnd w:id="175"/>
      <w:bookmarkEnd w:id="176"/>
      <w:bookmarkEnd w:id="177"/>
      <w:bookmarkEnd w:id="178"/>
      <w:bookmarkEnd w:id="179"/>
    </w:p>
    <w:p w14:paraId="19ADF089" w14:textId="77777777" w:rsidR="00D22CE3" w:rsidRPr="00F10391" w:rsidRDefault="00D22CE3"/>
    <w:p w14:paraId="40F16972" w14:textId="01712382" w:rsidR="00D22CE3" w:rsidRPr="00F10391" w:rsidRDefault="00D22CE3">
      <w:r w:rsidRPr="00F10391">
        <w:t xml:space="preserve">The ability of MCDA techniques to incorporate data and both qualitative and quantitative </w:t>
      </w:r>
      <w:r w:rsidR="001B7ADD">
        <w:t>judgment</w:t>
      </w:r>
      <w:r w:rsidRPr="00F10391">
        <w:t xml:space="preserve">s in a formal manner means that they are well suited to structure governmental decision-making, where evidence is often only partially available and many policies are value-driven. They have been applied in a wide variety of settings. Some are discussed here, while others discovered as part of the systematic review are described in the next chapter. </w:t>
      </w:r>
    </w:p>
    <w:p w14:paraId="086724AB" w14:textId="77777777" w:rsidR="00D22CE3" w:rsidRPr="00F10391" w:rsidRDefault="00D22CE3">
      <w:r w:rsidRPr="00F10391">
        <w:t xml:space="preserve">At a local level, Airoldi et al. </w:t>
      </w:r>
      <w:r w:rsidRPr="00F10391">
        <w:fldChar w:fldCharType="begin"/>
      </w:r>
      <w:r w:rsidR="00700267">
        <w:instrText xml:space="preserve"> ADDIN EN.CITE &lt;EndNote&gt;&lt;Cite&gt;&lt;Author&gt;Airoldi&lt;/Author&gt;&lt;Year&gt;2011&lt;/Year&gt;&lt;RecNum&gt;3&lt;/RecNum&gt;&lt;DisplayText&gt;[68]&lt;/DisplayText&gt;&lt;record&gt;&lt;rec-number&gt;3&lt;/rec-number&gt;&lt;foreign-keys&gt;&lt;key app="EN" db-id="sz9092dv2s5fpze9wpgx0zxgv5ar00aezrvf" timestamp="0"&gt;3&lt;/key&gt;&lt;/foreign-keys&gt;&lt;ref-type name="Journal Article"&gt;17&lt;/ref-type&gt;&lt;contributors&gt;&lt;authors&gt;&lt;author&gt;Airoldi, M&lt;/author&gt;&lt;author&gt;Morton, A&lt;/author&gt;&lt;author&gt;Smith, J&lt;/author&gt;&lt;author&gt;Bevan, G&lt;/author&gt;&lt;/authors&gt;&lt;/contributors&gt;&lt;titles&gt;&lt;title&gt;Healthcare prioritisation at the local level: a socio-technical approach&lt;/title&gt;&lt;secondary-title&gt;Priority-setting for Population Health Working Paper Series, Working Paper&lt;/secondary-title&gt;&lt;/titles&gt;&lt;number&gt;7&lt;/number&gt;&lt;dates&gt;&lt;year&gt;2011&lt;/year&gt;&lt;/dates&gt;&lt;urls&gt;&lt;/urls&gt;&lt;/record&gt;&lt;/Cite&gt;&lt;/EndNote&gt;</w:instrText>
      </w:r>
      <w:r w:rsidRPr="00F10391">
        <w:fldChar w:fldCharType="separate"/>
      </w:r>
      <w:r w:rsidR="00700267">
        <w:rPr>
          <w:noProof/>
        </w:rPr>
        <w:t>[68]</w:t>
      </w:r>
      <w:r w:rsidRPr="00F10391">
        <w:fldChar w:fldCharType="end"/>
      </w:r>
      <w:r w:rsidRPr="00F10391">
        <w:t xml:space="preserve"> prioritised health measures at a Primary Care Trust (PCT) level for the Isle of Wight PCT. This project used MCDA techniques to structure a prioritisation process, identifying approaches that best reflected the PCT’s preferences, within the bounds of the overall budget. </w:t>
      </w:r>
      <w:r w:rsidRPr="00F10391">
        <w:rPr>
          <w:iCs/>
        </w:rPr>
        <w:t xml:space="preserve">This exercise was completed using a decision conference setting where an impartial facilitator works iteratively with decision-makers to generate an explicit model intended to help those present to think more clearly about the relevant issues </w:t>
      </w:r>
      <w:r w:rsidRPr="00F10391">
        <w:rPr>
          <w:iCs/>
        </w:rPr>
        <w:fldChar w:fldCharType="begin"/>
      </w:r>
      <w:r w:rsidR="00700267">
        <w:rPr>
          <w:iCs/>
        </w:rPr>
        <w:instrText xml:space="preserve"> ADDIN EN.CITE &lt;EndNote&gt;&lt;Cite&gt;&lt;Author&gt;Phillips&lt;/Author&gt;&lt;Year&gt;2007&lt;/Year&gt;&lt;RecNum&gt;110&lt;/RecNum&gt;&lt;DisplayText&gt;[127]&lt;/DisplayText&gt;&lt;record&gt;&lt;rec-number&gt;110&lt;/rec-number&gt;&lt;foreign-keys&gt;&lt;key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EndNote&gt;</w:instrText>
      </w:r>
      <w:r w:rsidRPr="00F10391">
        <w:rPr>
          <w:iCs/>
        </w:rPr>
        <w:fldChar w:fldCharType="separate"/>
      </w:r>
      <w:r w:rsidR="00700267">
        <w:rPr>
          <w:iCs/>
          <w:noProof/>
        </w:rPr>
        <w:t>[127]</w:t>
      </w:r>
      <w:r w:rsidRPr="00F10391">
        <w:rPr>
          <w:iCs/>
        </w:rPr>
        <w:fldChar w:fldCharType="end"/>
      </w:r>
      <w:r w:rsidRPr="00F10391">
        <w:rPr>
          <w:iCs/>
        </w:rPr>
        <w:t xml:space="preserve">. A range of stakeholders were included at various stages to choose the relevant interventions and criteria; scores and weights were decided at the decision conference itself. The process generated overall scores for each alternative on the ability to improve quality of life and reduce health inequity across the island. These were compared to the alternatives’ expected costs, and interventions ranked in a similar way to CUA (though using the newly defined ‘benefit’ rather than utility). The PCT subsequently used this as a basis for spending for the following year. </w:t>
      </w:r>
    </w:p>
    <w:p w14:paraId="77F656F6" w14:textId="4A82A4AE" w:rsidR="00D22CE3" w:rsidRPr="00F10391" w:rsidRDefault="00D22CE3">
      <w:r w:rsidRPr="00F10391">
        <w:t xml:space="preserve">Formal approaches similar in nature to MCDA have been attempted for some time in local settings. Approaches using option appraisal, a simple decision analysis technique, were used in Yorkshire in the 1980s. A study by Brazier </w:t>
      </w:r>
      <w:r w:rsidRPr="00F10391">
        <w:fldChar w:fldCharType="begin"/>
      </w:r>
      <w:r w:rsidR="00700267">
        <w:instrText xml:space="preserve"> ADDIN EN.CITE &lt;EndNote&gt;&lt;Cite&gt;&lt;Author&gt;Brazier&lt;/Author&gt;&lt;Year&gt;1987&lt;/Year&gt;&lt;RecNum&gt;171&lt;/RecNum&gt;&lt;DisplayText&gt;[140]&lt;/DisplayText&gt;&lt;record&gt;&lt;rec-number&gt;171&lt;/rec-number&gt;&lt;foreign-keys&gt;&lt;key app="EN" db-id="sz9092dv2s5fpze9wpgx0zxgv5ar00aezrvf" timestamp="0"&gt;171&lt;/key&gt;&lt;/foreign-keys&gt;&lt;ref-type name="Report"&gt;27&lt;/ref-type&gt;&lt;contributors&gt;&lt;authors&gt;&lt;author&gt;Brazier, JE&lt;/author&gt;&lt;/authors&gt;&lt;/contributors&gt;&lt;titles&gt;&lt;title&gt;Study of Accident and Emergency Services in East Yorkshire Health Authority,&lt;/title&gt;&lt;/titles&gt;&lt;dates&gt;&lt;year&gt;1987&lt;/year&gt;&lt;/dates&gt;&lt;pub-location&gt;UK&lt;/pub-location&gt;&lt;publisher&gt;Health Economics Consortium&lt;/publisher&gt;&lt;urls&gt;&lt;/urls&gt;&lt;/record&gt;&lt;/Cite&gt;&lt;/EndNote&gt;</w:instrText>
      </w:r>
      <w:r w:rsidRPr="00F10391">
        <w:fldChar w:fldCharType="separate"/>
      </w:r>
      <w:r w:rsidR="00700267">
        <w:rPr>
          <w:noProof/>
        </w:rPr>
        <w:t>[140]</w:t>
      </w:r>
      <w:r w:rsidRPr="00F10391">
        <w:fldChar w:fldCharType="end"/>
      </w:r>
      <w:r w:rsidRPr="00F10391">
        <w:t xml:space="preserve"> compared a range of spending options on a range of criteria, removing strictly dominated options from further consideration before further </w:t>
      </w:r>
      <w:r w:rsidR="001B7ADD">
        <w:t>judgment</w:t>
      </w:r>
      <w:r w:rsidRPr="00F10391">
        <w:t xml:space="preserve"> was used. A more formal approach was used </w:t>
      </w:r>
      <w:r w:rsidRPr="00F10391">
        <w:fldChar w:fldCharType="begin"/>
      </w:r>
      <w:r w:rsidR="00700267">
        <w:instrText xml:space="preserve"> ADDIN EN.CITE &lt;EndNote&gt;&lt;Cite&gt;&lt;Author&gt;Akehurst R&lt;/Author&gt;&lt;Year&gt;1988&lt;/Year&gt;&lt;RecNum&gt;167&lt;/RecNum&gt;&lt;DisplayText&gt;[141]&lt;/DisplayText&gt;&lt;record&gt;&lt;rec-number&gt;167&lt;/rec-number&gt;&lt;foreign-keys&gt;&lt;key app="EN" db-id="sz9092dv2s5fpze9wpgx0zxgv5ar00aezrvf" timestamp="0"&gt;167&lt;/key&gt;&lt;/foreign-keys&gt;&lt;ref-type name="Report"&gt;27&lt;/ref-type&gt;&lt;contributors&gt;&lt;authors&gt;&lt;author&gt;Akehurst R, Brazier JE, Jeavans R&lt;/author&gt;&lt;/authors&gt;&lt;/contributors&gt;&lt;titles&gt;&lt;title&gt;Prioritising schemes for inclusion in Yorkshire Capital Programme&lt;/title&gt;&lt;/titles&gt;&lt;dates&gt;&lt;year&gt;1988&lt;/year&gt;&lt;/dates&gt;&lt;publisher&gt;UK: Health Economics Consortium&lt;/publisher&gt;&lt;urls&gt;&lt;/urls&gt;&lt;/record&gt;&lt;/Cite&gt;&lt;/EndNote&gt;</w:instrText>
      </w:r>
      <w:r w:rsidRPr="00F10391">
        <w:fldChar w:fldCharType="separate"/>
      </w:r>
      <w:r w:rsidR="00700267">
        <w:rPr>
          <w:noProof/>
        </w:rPr>
        <w:t>[141]</w:t>
      </w:r>
      <w:r w:rsidRPr="00F10391">
        <w:fldChar w:fldCharType="end"/>
      </w:r>
      <w:r w:rsidRPr="00F10391">
        <w:t xml:space="preserve"> comparing 54 possible spending plans on how they performed on targets for criteria developed through seminars, questionnaires and broader liaison between Health Economics Consortium and Yorkshire Districts. A total score was generated for each approach using explicit weighting and these were linked with costs. </w:t>
      </w:r>
    </w:p>
    <w:p w14:paraId="407306F7" w14:textId="77777777" w:rsidR="00D22CE3" w:rsidRPr="00F10391" w:rsidRDefault="00D22CE3">
      <w:r w:rsidRPr="00F10391">
        <w:t xml:space="preserve">On a more national level, the Health Protection Agency (now part of Public Health England) used MCDA to prioritise between a range of environmental hazards for further investigation </w:t>
      </w:r>
      <w:r w:rsidRPr="00F10391">
        <w:fldChar w:fldCharType="begin"/>
      </w:r>
      <w:r w:rsidR="00700267">
        <w:instrText xml:space="preserve"> ADDIN EN.CITE &lt;EndNote&gt;&lt;Cite&gt;&lt;Author&gt;Close&lt;/Author&gt;&lt;Year&gt;2011&lt;/Year&gt;&lt;RecNum&gt;22&lt;/RecNum&gt;&lt;DisplayText&gt;[142]&lt;/DisplayText&gt;&lt;record&gt;&lt;rec-number&gt;22&lt;/rec-number&gt;&lt;foreign-keys&gt;&lt;key app="EN" db-id="sz9092dv2s5fpze9wpgx0zxgv5ar00aezrvf" timestamp="0"&gt;22&lt;/key&gt;&lt;/foreign-keys&gt;&lt;ref-type name="Journal Article"&gt;17&lt;/ref-type&gt;&lt;contributors&gt;&lt;authors&gt;&lt;author&gt;Close, Rebecca&lt;/author&gt;&lt;author&gt;Leonardi, Giovanni&lt;/author&gt;&lt;author&gt;Studden, Mike&lt;/author&gt;&lt;author&gt;Chalabi, Zaid&lt;/author&gt;&lt;author&gt;Phillips, David&lt;/author&gt;&lt;author&gt;Khan, Rabia&lt;/author&gt;&lt;/authors&gt;&lt;/contributors&gt;&lt;titles&gt;&lt;title&gt;Modelling risk for prioritisation of interventions for environmental hazards to human health using multicriteria decision analysis&lt;/title&gt;&lt;secondary-title&gt;Chemical Hazards and Poisons Report&lt;/secondary-title&gt;&lt;/titles&gt;&lt;pages&gt;29&lt;/pages&gt;&lt;dates&gt;&lt;year&gt;2011&lt;/year&gt;&lt;/dates&gt;&lt;urls&gt;&lt;/urls&gt;&lt;/record&gt;&lt;/Cite&gt;&lt;/EndNote&gt;</w:instrText>
      </w:r>
      <w:r w:rsidRPr="00F10391">
        <w:fldChar w:fldCharType="separate"/>
      </w:r>
      <w:r w:rsidR="00700267">
        <w:rPr>
          <w:noProof/>
        </w:rPr>
        <w:t>[142]</w:t>
      </w:r>
      <w:r w:rsidRPr="00F10391">
        <w:fldChar w:fldCharType="end"/>
      </w:r>
      <w:r w:rsidRPr="00F10391">
        <w:t xml:space="preserve">. These hazards correspond to 14% of the total burden of disease in the UK each year. A linear additive model was used, after initially identifying criteria that could be used to compare hazards. These were scored on the relevant criteria, and these subsequently weighted. A score was then generated, signifying each hazard’s importance. These weights </w:t>
      </w:r>
      <w:r w:rsidRPr="00F10391">
        <w:lastRenderedPageBreak/>
        <w:t xml:space="preserve">were allowed to change over time to reflect different priorities as different threats and conditions emerge. </w:t>
      </w:r>
    </w:p>
    <w:p w14:paraId="17DF0547" w14:textId="1261D435" w:rsidR="00D22CE3" w:rsidRPr="00F10391" w:rsidRDefault="00D22CE3">
      <w:r w:rsidRPr="00F10391">
        <w:t xml:space="preserve">MCDA approaches have also been used at the supra-national level. At an EU level, the European Medicines Agency (EMA), for example, have used such approaches to structure benefit-risk assessment processes. Making decisions in this area requires value </w:t>
      </w:r>
      <w:r w:rsidR="001B7ADD">
        <w:t>judgment</w:t>
      </w:r>
      <w:r w:rsidRPr="00F10391">
        <w:t xml:space="preserve">s, which must be integrated with the technical </w:t>
      </w:r>
      <w:r w:rsidR="001B7ADD">
        <w:t>judgment</w:t>
      </w:r>
      <w:r w:rsidRPr="00F10391">
        <w:t xml:space="preserve">s related to the evidence. </w:t>
      </w:r>
    </w:p>
    <w:p w14:paraId="61DA3C93" w14:textId="4186607C" w:rsidR="00D22CE3" w:rsidRPr="00F10391" w:rsidRDefault="00D22CE3">
      <w:r w:rsidRPr="00F10391">
        <w:t xml:space="preserve">A study by Phillips &amp; Bana e Costa </w:t>
      </w:r>
      <w:r w:rsidRPr="00F10391">
        <w:fldChar w:fldCharType="begin"/>
      </w:r>
      <w:r w:rsidR="00700267">
        <w:instrText xml:space="preserve"> ADDIN EN.CITE &lt;EndNote&gt;&lt;Cite ExcludeAuth="1"&gt;&lt;Author&gt;Phillips&lt;/Author&gt;&lt;Year&gt;2007&lt;/Year&gt;&lt;RecNum&gt;110&lt;/RecNum&gt;&lt;DisplayText&gt;[127]&lt;/DisplayText&gt;&lt;record&gt;&lt;rec-number&gt;110&lt;/rec-number&gt;&lt;foreign-keys&gt;&lt;key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EndNote&gt;</w:instrText>
      </w:r>
      <w:r w:rsidRPr="00F10391">
        <w:fldChar w:fldCharType="separate"/>
      </w:r>
      <w:r w:rsidR="00700267">
        <w:rPr>
          <w:noProof/>
        </w:rPr>
        <w:t>[127]</w:t>
      </w:r>
      <w:r w:rsidRPr="00F10391">
        <w:fldChar w:fldCharType="end"/>
      </w:r>
      <w:r w:rsidRPr="00F10391">
        <w:t xml:space="preserve"> (built upon previous work by Mussen et al. </w:t>
      </w:r>
      <w:r w:rsidRPr="00F10391">
        <w:fldChar w:fldCharType="begin"/>
      </w:r>
      <w:r w:rsidR="00700267">
        <w:instrText xml:space="preserve"> ADDIN EN.CITE &lt;EndNote&gt;&lt;Cite ExcludeAuth="1"&gt;&lt;Author&gt;Mussen&lt;/Author&gt;&lt;Year&gt;2009&lt;/Year&gt;&lt;RecNum&gt;98&lt;/RecNum&gt;&lt;DisplayText&gt;[143]&lt;/DisplayText&gt;&lt;record&gt;&lt;rec-number&gt;98&lt;/rec-number&gt;&lt;foreign-keys&gt;&lt;key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Kingdom&lt;/publisher&gt;&lt;urls&gt;&lt;/urls&gt;&lt;/record&gt;&lt;/Cite&gt;&lt;/EndNote&gt;</w:instrText>
      </w:r>
      <w:r w:rsidRPr="00F10391">
        <w:fldChar w:fldCharType="separate"/>
      </w:r>
      <w:r w:rsidR="00700267">
        <w:rPr>
          <w:noProof/>
        </w:rPr>
        <w:t>[143]</w:t>
      </w:r>
      <w:r w:rsidRPr="00F10391">
        <w:fldChar w:fldCharType="end"/>
      </w:r>
      <w:r w:rsidRPr="00F10391">
        <w:t xml:space="preserve">) to investigate whether an MCDA approach would be suitable for doing so in the EMA, while increasing the transparency, consistency and communicability of regulatory benefit-risk decisions. This exercise was carried out using a series of decision conferences, across a number of national agencies with up to five stakeholders present. Each of these included at least two clinical assessors, and was completed within 6 hours. These decision conferences involved a facilitated workshop where the decision-makers together built an appropriate drug-specific model, with the necessary discussion taking place within this framework. Scoring and swing weighting was carried out in real time, generating numerical </w:t>
      </w:r>
      <w:r w:rsidR="001B7ADD">
        <w:t>judgment</w:t>
      </w:r>
      <w:r w:rsidRPr="00F10391">
        <w:t xml:space="preserve">s for the drug under consideration and its comparator, and drawing attention to the criteria on which each does well or badly. The study showed that such an approach was feasible, and allowed for uncertainties in data to be further investigated, such as exploring whether decisions may change if the drug were to be less effective than predicted. It also allowed the process to be structured, value </w:t>
      </w:r>
      <w:r w:rsidR="001B7ADD">
        <w:t>judgment</w:t>
      </w:r>
      <w:r w:rsidRPr="00F10391">
        <w:t xml:space="preserve">s to be combined with uncertain scientific data in a meaningful way, and included a range of perspectives. </w:t>
      </w:r>
    </w:p>
    <w:p w14:paraId="0C52ADB2" w14:textId="77777777" w:rsidR="00D22CE3" w:rsidRPr="00F10391" w:rsidRDefault="00D22CE3">
      <w:r w:rsidRPr="00F10391">
        <w:t xml:space="preserve">The United Nations has used MCDA approaches on a number of occasions, particularly in environmental and public health issues </w:t>
      </w:r>
      <w:r w:rsidRPr="00F10391">
        <w:fldChar w:fldCharType="begin"/>
      </w:r>
      <w:r w:rsidR="00700267">
        <w:instrText xml:space="preserve"> ADDIN EN.CITE &lt;EndNote&gt;&lt;Cite&gt;&lt;Author&gt;Gamper&lt;/Author&gt;&lt;Year&gt;2007&lt;/Year&gt;&lt;RecNum&gt;51&lt;/RecNum&gt;&lt;DisplayText&gt;[118]&lt;/DisplayText&gt;&lt;record&gt;&lt;rec-number&gt;51&lt;/rec-number&gt;&lt;foreign-keys&gt;&lt;key app="EN" db-id="sz9092dv2s5fpze9wpgx0zxgv5ar00aezrvf" timestamp="0"&gt;51&lt;/key&gt;&lt;/foreign-keys&gt;&lt;ref-type name="Journal Article"&gt;17&lt;/ref-type&gt;&lt;contributors&gt;&lt;authors&gt;&lt;author&gt;Gamper, CD&lt;/author&gt;&lt;author&gt;Turcanu, Catrinel&lt;/author&gt;&lt;/authors&gt;&lt;/contributors&gt;&lt;titles&gt;&lt;title&gt;On the governmental use of multi-criteria analysis&lt;/title&gt;&lt;secondary-title&gt;Ecological economics&lt;/secondary-title&gt;&lt;/titles&gt;&lt;pages&gt;298-307&lt;/pages&gt;&lt;volume&gt;62&lt;/volume&gt;&lt;number&gt;2&lt;/number&gt;&lt;dates&gt;&lt;year&gt;2007&lt;/year&gt;&lt;/dates&gt;&lt;isbn&gt;0921-8009&lt;/isbn&gt;&lt;urls&gt;&lt;related-urls&gt;&lt;url&gt;http://www.sciencedirect.com/science/article/pii/S092180090700095X&lt;/url&gt;&lt;/related-urls&gt;&lt;/urls&gt;&lt;/record&gt;&lt;/Cite&gt;&lt;/EndNote&gt;</w:instrText>
      </w:r>
      <w:r w:rsidRPr="00F10391">
        <w:fldChar w:fldCharType="separate"/>
      </w:r>
      <w:r w:rsidR="00700267">
        <w:rPr>
          <w:noProof/>
        </w:rPr>
        <w:t>[118]</w:t>
      </w:r>
      <w:r w:rsidRPr="00F10391">
        <w:fldChar w:fldCharType="end"/>
      </w:r>
      <w:r w:rsidRPr="00F10391">
        <w:t>. MCDA approaches could prove useful in structuring complex decision processes with conflicting objectives between nations in competition for resources as the global population increases over the coming century. However, the UN has previously stated that MCDA is only warranted when more conventional economic analysis techniques are likely to prove impractical.</w:t>
      </w:r>
    </w:p>
    <w:p w14:paraId="5ADE346B" w14:textId="7029AB34" w:rsidR="00D22CE3" w:rsidRPr="00F10391" w:rsidRDefault="00D22CE3">
      <w:pPr>
        <w:ind w:left="720"/>
      </w:pPr>
      <w:r w:rsidRPr="00F10391">
        <w:t xml:space="preserve">“Given the fact that CBA is the more objective method and goes beyond mere ranking of activities, this technique is superior to [MCDA] and it should be applied whenever possible. If criteria, which cannot (easily) be accommodated in CBA (such as institutional, sociological or cultural barriers), are important or when benefits cannot be quantified and valued (such as preserving bio-diversity), one has to resort to [MCDA]” </w:t>
      </w:r>
      <w:r w:rsidRPr="00F10391">
        <w:fldChar w:fldCharType="begin"/>
      </w:r>
      <w:r w:rsidR="00700267">
        <w:instrText xml:space="preserve"> ADDIN EN.CITE &lt;EndNote&gt;&lt;Cite&gt;&lt;Author&gt;UNFCCC&lt;/Author&gt;&lt;Year&gt;2002&lt;/Year&gt;&lt;RecNum&gt;389&lt;/RecNum&gt;&lt;DisplayText&gt;[144]&lt;/DisplayText&gt;&lt;record&gt;&lt;rec-number&gt;389&lt;/rec-number&gt;&lt;foreign-keys&gt;&lt;key app="EN" db-id="sz9092dv2s5fpze9wpgx0zxgv5ar00aezrvf" timestamp="1457607998"&gt;389&lt;/key&gt;&lt;/foreign-keys&gt;&lt;ref-type name="Government Document"&gt;46&lt;/ref-type&gt;&lt;contributors&gt;&lt;authors&gt;&lt;author&gt;UNFCCC&lt;/author&gt;&lt;/authors&gt;&lt;/contributors&gt;&lt;titles&gt;&lt;title&gt;Annotated guidelines for the preparation of national adaptation programmes of action.&lt;/title&gt;&lt;/titles&gt;&lt;pages&gt;33&lt;/pages&gt;&lt;dates&gt;&lt;year&gt;2002&lt;/year&gt;&lt;/dates&gt;&lt;urls&gt;&lt;related-urls&gt;&lt;url&gt;http://unfccc.int/files/cooperation_and_support/ldc/application/pdf/annguide.pdf. &lt;/url&gt;&lt;/related-urls&gt;&lt;/urls&gt;&lt;/record&gt;&lt;/Cite&gt;&lt;/EndNote&gt;</w:instrText>
      </w:r>
      <w:r w:rsidRPr="00F10391">
        <w:fldChar w:fldCharType="separate"/>
      </w:r>
      <w:r w:rsidR="00700267">
        <w:rPr>
          <w:noProof/>
        </w:rPr>
        <w:t>[144]</w:t>
      </w:r>
      <w:r w:rsidRPr="00F10391">
        <w:fldChar w:fldCharType="end"/>
      </w:r>
      <w:r w:rsidRPr="00F10391">
        <w:t xml:space="preserve"> (</w:t>
      </w:r>
      <w:r w:rsidR="008533CC">
        <w:t>p.</w:t>
      </w:r>
      <w:r w:rsidRPr="00F10391">
        <w:t>33)</w:t>
      </w:r>
      <w:r w:rsidR="00EF7608">
        <w:t>.</w:t>
      </w:r>
    </w:p>
    <w:p w14:paraId="198DD3E6" w14:textId="6B76EE4F" w:rsidR="00D22CE3" w:rsidRPr="00F10391" w:rsidRDefault="00D22CE3" w:rsidP="00494A9A">
      <w:r w:rsidRPr="00F10391">
        <w:t xml:space="preserve">Decision-making approaches should certainly be chosen in line with the nature of the problem, and there certainly are occasions when CBA and other economic evaluation techniques should be used in place of MCDA. But where data is limited and </w:t>
      </w:r>
      <w:r w:rsidR="001B7ADD">
        <w:t>judgment</w:t>
      </w:r>
      <w:r w:rsidRPr="00F10391">
        <w:t xml:space="preserve"> required, MCDA may be best placed to structure the decision process.</w:t>
      </w:r>
    </w:p>
    <w:p w14:paraId="7106EF06" w14:textId="77777777" w:rsidR="00D22CE3" w:rsidRPr="00F10391" w:rsidRDefault="00D22CE3" w:rsidP="00494A9A"/>
    <w:p w14:paraId="320CBC88" w14:textId="77777777" w:rsidR="000127DD" w:rsidRPr="00F10391" w:rsidRDefault="000127DD" w:rsidP="00490B5D">
      <w:bookmarkStart w:id="180" w:name="_Toc313187834"/>
      <w:bookmarkStart w:id="181" w:name="_Toc441508935"/>
      <w:bookmarkStart w:id="182" w:name="_Toc453235373"/>
      <w:bookmarkStart w:id="183" w:name="_Toc453595446"/>
      <w:bookmarkEnd w:id="174"/>
    </w:p>
    <w:p w14:paraId="2DA970EB" w14:textId="77777777" w:rsidR="000127DD" w:rsidRPr="00F10391" w:rsidRDefault="000127DD" w:rsidP="00490B5D"/>
    <w:p w14:paraId="585DB419" w14:textId="77777777" w:rsidR="000127DD" w:rsidRPr="00F10391" w:rsidRDefault="000127DD" w:rsidP="00D24504"/>
    <w:p w14:paraId="1DD2FCEC" w14:textId="77777777" w:rsidR="00D22CE3" w:rsidRPr="00F10391" w:rsidRDefault="00D22CE3" w:rsidP="00D24504">
      <w:pPr>
        <w:pStyle w:val="Numberedheading2"/>
      </w:pPr>
      <w:bookmarkStart w:id="184" w:name="_Toc476241543"/>
      <w:r w:rsidRPr="00F10391">
        <w:lastRenderedPageBreak/>
        <w:t>2.7</w:t>
      </w:r>
      <w:r w:rsidRPr="00F10391">
        <w:tab/>
      </w:r>
      <w:r w:rsidRPr="00F10391">
        <w:tab/>
        <w:t>Summary</w:t>
      </w:r>
      <w:bookmarkEnd w:id="180"/>
      <w:bookmarkEnd w:id="181"/>
      <w:bookmarkEnd w:id="182"/>
      <w:bookmarkEnd w:id="183"/>
      <w:bookmarkEnd w:id="184"/>
    </w:p>
    <w:p w14:paraId="423DBB68" w14:textId="77777777" w:rsidR="000127DD" w:rsidRPr="00F10391" w:rsidRDefault="000127DD" w:rsidP="006A5AA3"/>
    <w:p w14:paraId="554B5E2B" w14:textId="77777777" w:rsidR="00D22CE3" w:rsidRPr="00F10391" w:rsidRDefault="00D22CE3" w:rsidP="006942ED">
      <w:r w:rsidRPr="00F10391">
        <w:t xml:space="preserve">Decision analysis techniques can be used as a framework by which to provide a “structure to thinking, a language for expressing concerns of the group and a way of combining different perspectives” </w:t>
      </w:r>
      <w:r w:rsidRPr="00F10391">
        <w:fldChar w:fldCharType="begin"/>
      </w:r>
      <w:r w:rsidR="00700267">
        <w:instrText xml:space="preserve"> ADDIN EN.CITE &lt;EndNote&gt;&lt;Cite&gt;&lt;Author&gt;Phillips&lt;/Author&gt;&lt;Year&gt;1990&lt;/Year&gt;&lt;RecNum&gt;263&lt;/RecNum&gt;&lt;DisplayText&gt;[145]&lt;/DisplayText&gt;&lt;record&gt;&lt;rec-number&gt;263&lt;/rec-number&gt;&lt;foreign-keys&gt;&lt;key app="EN" db-id="sz9092dv2s5fpze9wpgx0zxgv5ar00aezrvf" timestamp="0"&gt;263&lt;/key&gt;&lt;/foreign-keys&gt;&lt;ref-type name="Book Section"&gt;5&lt;/ref-type&gt;&lt;contributors&gt;&lt;authors&gt;&lt;author&gt;Phillips, Larry&lt;/author&gt;&lt;/authors&gt;&lt;secondary-authors&gt;&lt;author&gt;Eden, C;  Radford, J&lt;/author&gt;&lt;/secondary-authors&gt;&lt;/contributors&gt;&lt;titles&gt;&lt;title&gt;Decision analysis for group support&lt;/title&gt;&lt;secondary-title&gt;Tackling strategic problems&lt;/secondary-title&gt;&lt;/titles&gt;&lt;dates&gt;&lt;year&gt;1990&lt;/year&gt;&lt;/dates&gt;&lt;pub-location&gt;London&lt;/pub-location&gt;&lt;publisher&gt;Sage&lt;/publisher&gt;&lt;urls&gt;&lt;/urls&gt;&lt;/record&gt;&lt;/Cite&gt;&lt;/EndNote&gt;</w:instrText>
      </w:r>
      <w:r w:rsidRPr="00F10391">
        <w:fldChar w:fldCharType="separate"/>
      </w:r>
      <w:r w:rsidR="00700267">
        <w:rPr>
          <w:noProof/>
        </w:rPr>
        <w:t>[145]</w:t>
      </w:r>
      <w:r w:rsidRPr="00F10391">
        <w:fldChar w:fldCharType="end"/>
      </w:r>
      <w:r w:rsidR="00D90123">
        <w:t xml:space="preserve"> (p.150)</w:t>
      </w:r>
      <w:r w:rsidRPr="00F10391">
        <w:t>. MCDA can be used for the messy or wicked decision problems where multiple criteria are relevant and in conflict. These kinds of scenarios are common in public health and social sciences in general.</w:t>
      </w:r>
    </w:p>
    <w:p w14:paraId="47688C36" w14:textId="6CFE3BEC" w:rsidR="005D3F11" w:rsidRDefault="00D22CE3">
      <w:r w:rsidRPr="00F10391">
        <w:t xml:space="preserve">Such approaches can be used in circumstances where values or human </w:t>
      </w:r>
      <w:r w:rsidR="001B7ADD">
        <w:t>judgment</w:t>
      </w:r>
      <w:r w:rsidRPr="00F10391">
        <w:t xml:space="preserve"> need to be incorporated into the decision, and decision-makers want to ensure that this is done in a rational and transparent manner. In some circumstances, it will be unclear (even after the process is complete) whether there is any ‘right answer’ – but ensuring </w:t>
      </w:r>
      <w:r w:rsidR="0084499D">
        <w:t>that relevant decision-makers</w:t>
      </w:r>
      <w:r w:rsidR="005D3F11">
        <w:t xml:space="preserve"> or </w:t>
      </w:r>
      <w:r w:rsidR="0084499D">
        <w:t xml:space="preserve">stakeholders can take part in </w:t>
      </w:r>
      <w:r w:rsidRPr="00F10391">
        <w:t>an open and transparent process</w:t>
      </w:r>
      <w:r w:rsidR="005F0872">
        <w:t xml:space="preserve"> </w:t>
      </w:r>
      <w:r w:rsidR="0084499D">
        <w:t>may reduce rivalries and mistrust and increase buy-in, as seen later in Chapter 7. On the other hand, w</w:t>
      </w:r>
      <w:r w:rsidR="005F0872">
        <w:t>hether full transparency with the broader public</w:t>
      </w:r>
      <w:r w:rsidR="005D3F11">
        <w:t xml:space="preserve"> (or generally outside of the group of decision-makers) </w:t>
      </w:r>
      <w:r w:rsidR="005F0872">
        <w:t>is desirable depends on th</w:t>
      </w:r>
      <w:r w:rsidR="00097A0C">
        <w:t>e exact context of the decision, and should be considered carefully.</w:t>
      </w:r>
    </w:p>
    <w:p w14:paraId="10D7BF5F" w14:textId="77777777" w:rsidR="00D22CE3" w:rsidRPr="00F10391" w:rsidRDefault="00D22CE3">
      <w:r w:rsidRPr="00F10391">
        <w:t xml:space="preserve">MCDA techniques are also surprisingly robust </w:t>
      </w:r>
      <w:r w:rsidRPr="00F10391">
        <w:fldChar w:fldCharType="begin"/>
      </w:r>
      <w:r w:rsidR="00700267">
        <w:instrText xml:space="preserve"> ADDIN EN.CITE &lt;EndNote&gt;&lt;Cite&gt;&lt;Author&gt;Von Winterfeldt&lt;/Author&gt;&lt;Year&gt;1986&lt;/Year&gt;&lt;RecNum&gt;149&lt;/RecNum&gt;&lt;DisplayText&gt;[146]&lt;/DisplayText&gt;&lt;record&gt;&lt;rec-number&gt;149&lt;/rec-number&gt;&lt;foreign-keys&gt;&lt;key app="EN" db-id="sz9092dv2s5fpze9wpgx0zxgv5ar00aezrvf" timestamp="0"&gt;149&lt;/key&gt;&lt;/foreign-keys&gt;&lt;ref-type name="Book"&gt;6&lt;/ref-type&gt;&lt;contributors&gt;&lt;authors&gt;&lt;author&gt;Von Winterfeldt, Detlof&lt;/author&gt;&lt;author&gt;Edwards, Ward&lt;/author&gt;&lt;/authors&gt;&lt;/contributors&gt;&lt;titles&gt;&lt;title&gt;Decision analysis and behavioral research&lt;/title&gt;&lt;/titles&gt;&lt;volume&gt;604&lt;/volume&gt;&lt;dates&gt;&lt;year&gt;1986&lt;/year&gt;&lt;/dates&gt;&lt;publisher&gt;Cambridge University Press Cambridge&lt;/publisher&gt;&lt;urls&gt;&lt;/urls&gt;&lt;/record&gt;&lt;/Cite&gt;&lt;/EndNote&gt;</w:instrText>
      </w:r>
      <w:r w:rsidRPr="00F10391">
        <w:fldChar w:fldCharType="separate"/>
      </w:r>
      <w:r w:rsidR="00700267">
        <w:rPr>
          <w:noProof/>
        </w:rPr>
        <w:t>[146]</w:t>
      </w:r>
      <w:r w:rsidRPr="00F10391">
        <w:fldChar w:fldCharType="end"/>
      </w:r>
      <w:r w:rsidRPr="00F10391">
        <w:t>, and sensitivity analyses will in many circumstances further reassure worried stakeholders. They are probably not necessary or worthwhile in many optimisation problems where data is widely available or where processes need to be optimised without meaningful recourse to values. This said, values and ethical concerns may be considered more relevant in health settings than elsewhere.</w:t>
      </w:r>
    </w:p>
    <w:p w14:paraId="3FD56B7D" w14:textId="77777777" w:rsidR="00D22CE3" w:rsidRPr="00F10391" w:rsidRDefault="00D22CE3">
      <w:r w:rsidRPr="00F10391">
        <w:t xml:space="preserve">This chapter described evidence-based healthcare decision-making approaches, health economic techniques and MCDA methods. This provides an introduction to how decisions are made in public health settings, one of the aims of thesis’ framework. It also provides a basis (and hopefully a useful reference) for key concepts in all future chapters. </w:t>
      </w:r>
    </w:p>
    <w:p w14:paraId="79897B4A" w14:textId="77777777" w:rsidR="00D22CE3" w:rsidRPr="00F10391" w:rsidRDefault="00D22CE3">
      <w:r w:rsidRPr="00F10391">
        <w:rPr>
          <w:lang w:eastAsia="en-US"/>
        </w:rPr>
        <w:t>The next chapter is a systematic review of the literature, investigating where MCDA has been used in public health settings, defined broadly. A wide variety of approaches introduced in this chapter are explained further. It was last updated in 2013, though an updated bibliographic analysis of papers published up until the end of 2014 is included as a postscript.</w:t>
      </w:r>
    </w:p>
    <w:p w14:paraId="2A4BC0C4" w14:textId="77777777" w:rsidR="00D22CE3" w:rsidRPr="00F10391" w:rsidRDefault="00D22CE3"/>
    <w:p w14:paraId="372EF4D9" w14:textId="77777777" w:rsidR="00D22CE3" w:rsidRPr="00F10391" w:rsidRDefault="00D22CE3"/>
    <w:p w14:paraId="1F73F3EA" w14:textId="77777777" w:rsidR="00D22CE3" w:rsidRPr="00F10391" w:rsidRDefault="00D22CE3" w:rsidP="0063065F">
      <w:r w:rsidRPr="00F10391">
        <w:br w:type="page"/>
      </w:r>
    </w:p>
    <w:p w14:paraId="3E610BA2" w14:textId="77777777" w:rsidR="00D22CE3" w:rsidRPr="00F10391" w:rsidRDefault="00D22CE3" w:rsidP="00494A9A">
      <w:pPr>
        <w:pStyle w:val="Heading1"/>
      </w:pPr>
      <w:bookmarkStart w:id="185" w:name="_Toc453235374"/>
      <w:bookmarkStart w:id="186" w:name="_Toc453595447"/>
      <w:bookmarkStart w:id="187" w:name="_Toc476241544"/>
      <w:r w:rsidRPr="00F10391">
        <w:lastRenderedPageBreak/>
        <w:t>:</w:t>
      </w:r>
      <w:r w:rsidRPr="00F10391">
        <w:tab/>
        <w:t>Systematic review of the previous use of MCDA techniques in public health</w:t>
      </w:r>
      <w:bookmarkEnd w:id="185"/>
      <w:bookmarkEnd w:id="186"/>
      <w:bookmarkEnd w:id="187"/>
    </w:p>
    <w:p w14:paraId="2C082576" w14:textId="77777777" w:rsidR="00D22CE3" w:rsidRPr="00F10391" w:rsidRDefault="00D22CE3" w:rsidP="00494A9A"/>
    <w:p w14:paraId="4F91F104" w14:textId="443B18B2" w:rsidR="00D22CE3" w:rsidRPr="00F10391" w:rsidRDefault="00D22CE3" w:rsidP="00490B5D">
      <w:r w:rsidRPr="00F10391">
        <w:t xml:space="preserve">This chapter forms the second part of the research question of </w:t>
      </w:r>
      <w:r w:rsidR="008A7437">
        <w:t>‘</w:t>
      </w:r>
      <w:r w:rsidR="001C2F16">
        <w:rPr>
          <w:i/>
        </w:rPr>
        <w:t>W</w:t>
      </w:r>
      <w:r w:rsidRPr="00F10391">
        <w:rPr>
          <w:i/>
        </w:rPr>
        <w:t>hich relevant techniques are available and where have they been used in public health settings?</w:t>
      </w:r>
      <w:r w:rsidR="008A7437">
        <w:t>’</w:t>
      </w:r>
      <w:r w:rsidRPr="00F10391">
        <w:t xml:space="preserve"> outlined in section 1.4.</w:t>
      </w:r>
      <w:r w:rsidRPr="00F10391">
        <w:rPr>
          <w:i/>
        </w:rPr>
        <w:t xml:space="preserve"> </w:t>
      </w:r>
      <w:r w:rsidRPr="00F10391">
        <w:t>As with the other problem specification stages, it describes why such approaches are used, though in this case it also addresses in part how we might use MCDA in such settings. It is hoped that this chapter will be useful in providing a snapshot of the research previously carried out in the broader area, the methods available and the lessons learned for the public health context. It also reflects upon the pattern of MCDA use in public health reported so far and was particularly helpful in informing choices of appropriate studies over the following chapters.</w:t>
      </w:r>
    </w:p>
    <w:p w14:paraId="2CD7F56E" w14:textId="743B0CFA" w:rsidR="00D22CE3" w:rsidRPr="00F10391" w:rsidRDefault="00F10391" w:rsidP="00490B5D">
      <w:pPr>
        <w:rPr>
          <w:i/>
        </w:rPr>
      </w:pPr>
      <w:r w:rsidRPr="00F10391">
        <w:t>The review</w:t>
      </w:r>
      <w:r w:rsidR="00D22CE3" w:rsidRPr="00F10391">
        <w:t xml:space="preserve"> </w:t>
      </w:r>
      <w:r w:rsidRPr="00F10391">
        <w:t>describes</w:t>
      </w:r>
      <w:r w:rsidR="00D22CE3" w:rsidRPr="00F10391">
        <w:t xml:space="preserve"> all known uses of MCDA in public health in published academic literature. The papers generally followed independent, case-study style formats, making comparisons of quantifiable outcome measures impractical.</w:t>
      </w:r>
      <w:r w:rsidR="00D22CE3" w:rsidRPr="00F10391" w:rsidDel="001D02DE">
        <w:t xml:space="preserve"> </w:t>
      </w:r>
      <w:r w:rsidR="00D22CE3" w:rsidRPr="00F10391">
        <w:t xml:space="preserve">Quantitative synthesis of results was therefore neither possible nor appropriate and instead this review aims to give a broader picture of how such approaches are used. A narrative approach was therefore used, which is appropriate for summarising and synthesising what is known about the topic </w:t>
      </w:r>
      <w:r w:rsidR="00D22CE3"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00D22CE3" w:rsidRPr="00F10391">
        <w:fldChar w:fldCharType="separate"/>
      </w:r>
      <w:r w:rsidR="00700267">
        <w:rPr>
          <w:noProof/>
        </w:rPr>
        <w:t>[13]</w:t>
      </w:r>
      <w:r w:rsidR="00D22CE3" w:rsidRPr="00F10391">
        <w:fldChar w:fldCharType="end"/>
      </w:r>
      <w:r w:rsidR="00D22CE3" w:rsidRPr="00F10391">
        <w:t xml:space="preserve">, and which “relies primarily on the use of words and text to summarise and explain the findings of the synthesis... to ‘tell the story’ of the findings from the included studies” </w:t>
      </w:r>
      <w:r w:rsidR="00D22CE3" w:rsidRPr="00F10391">
        <w:fldChar w:fldCharType="begin"/>
      </w:r>
      <w:r w:rsidR="00700267">
        <w:instrText xml:space="preserve"> ADDIN EN.CITE &lt;EndNote&gt;&lt;Cite&gt;&lt;Author&gt;Popay&lt;/Author&gt;&lt;Year&gt;2006&lt;/Year&gt;&lt;RecNum&gt;401&lt;/RecNum&gt;&lt;DisplayText&gt;[147]&lt;/DisplayText&gt;&lt;record&gt;&lt;rec-number&gt;401&lt;/rec-number&gt;&lt;foreign-keys&gt;&lt;key app="EN" db-id="sz9092dv2s5fpze9wpgx0zxgv5ar00aezrvf" timestamp="1458817450"&gt;401&lt;/key&gt;&lt;/foreign-keys&gt;&lt;ref-type name="Journal Article"&gt;17&lt;/ref-type&gt;&lt;contributors&gt;&lt;authors&gt;&lt;author&gt;Popay, Jennie&lt;/author&gt;&lt;author&gt;Roberts, Helen&lt;/author&gt;&lt;author&gt;Sowden, Amanda&lt;/author&gt;&lt;author&gt;Petticrew, Mark&lt;/author&gt;&lt;author&gt;Arai, Lisa&lt;/author&gt;&lt;author&gt;Rodgers, Mark&lt;/author&gt;&lt;author&gt;Britten, Nicky&lt;/author&gt;&lt;author&gt;Roen, Katrina&lt;/author&gt;&lt;author&gt;Duffy, Steven&lt;/author&gt;&lt;/authors&gt;&lt;/contributors&gt;&lt;titles&gt;&lt;title&gt;Guidance on the conduct of narrative synthesis in systematic reviews&lt;/title&gt;&lt;secondary-title&gt;ESRC methods programme&lt;/secondary-title&gt;&lt;/titles&gt;&lt;periodical&gt;&lt;full-title&gt;ESRC methods programme&lt;/full-title&gt;&lt;/periodical&gt;&lt;pages&gt;047-71&lt;/pages&gt;&lt;volume&gt;15&lt;/volume&gt;&lt;number&gt;1&lt;/number&gt;&lt;dates&gt;&lt;year&gt;2006&lt;/year&gt;&lt;/dates&gt;&lt;urls&gt;&lt;/urls&gt;&lt;/record&gt;&lt;/Cite&gt;&lt;/EndNote&gt;</w:instrText>
      </w:r>
      <w:r w:rsidR="00D22CE3" w:rsidRPr="00F10391">
        <w:fldChar w:fldCharType="separate"/>
      </w:r>
      <w:r w:rsidR="00700267">
        <w:rPr>
          <w:noProof/>
        </w:rPr>
        <w:t>[147]</w:t>
      </w:r>
      <w:r w:rsidR="00D22CE3" w:rsidRPr="00F10391">
        <w:fldChar w:fldCharType="end"/>
      </w:r>
      <w:r w:rsidR="00FF4251">
        <w:t xml:space="preserve"> (p.1)</w:t>
      </w:r>
      <w:r w:rsidR="00D22CE3" w:rsidRPr="00F10391">
        <w:t>.</w:t>
      </w:r>
    </w:p>
    <w:p w14:paraId="73EF41AB" w14:textId="77777777" w:rsidR="00D22CE3" w:rsidRPr="00F10391" w:rsidRDefault="00D22CE3" w:rsidP="00D24504">
      <w:r w:rsidRPr="00F10391">
        <w:t xml:space="preserve">Case studies of the type described are particularly useful in incorporating the context of the decision, and highlighting pragmatic concerns </w:t>
      </w:r>
      <w:r w:rsidRPr="00F10391">
        <w:fldChar w:fldCharType="begin"/>
      </w:r>
      <w:r w:rsidR="00700267">
        <w:instrText xml:space="preserve"> ADDIN EN.CITE &lt;EndNote&gt;&lt;Cite&gt;&lt;Author&gt;Eckstein&lt;/Author&gt;&lt;Year&gt;2000&lt;/Year&gt;&lt;RecNum&gt;359&lt;/RecNum&gt;&lt;DisplayText&gt;[18]&lt;/DisplayText&gt;&lt;record&gt;&lt;rec-number&gt;359&lt;/rec-number&gt;&lt;foreign-keys&gt;&lt;key app="EN" db-id="sz9092dv2s5fpze9wpgx0zxgv5ar00aezrvf" timestamp="0"&gt;359&lt;/key&gt;&lt;/foreign-keys&gt;&lt;ref-type name="Journal Article"&gt;17&lt;/ref-type&gt;&lt;contributors&gt;&lt;authors&gt;&lt;author&gt;Eckstein, Harry&lt;/author&gt;&lt;/authors&gt;&lt;/contributors&gt;&lt;titles&gt;&lt;title&gt;Case study and theory in political science&lt;/title&gt;&lt;secondary-title&gt;Case study method&lt;/secondary-title&gt;&lt;/titles&gt;&lt;pages&gt;119-164&lt;/pages&gt;&lt;dates&gt;&lt;year&gt;2000&lt;/year&gt;&lt;/dates&gt;&lt;urls&gt;&lt;/urls&gt;&lt;/record&gt;&lt;/Cite&gt;&lt;/EndNote&gt;</w:instrText>
      </w:r>
      <w:r w:rsidRPr="00F10391">
        <w:fldChar w:fldCharType="separate"/>
      </w:r>
      <w:r w:rsidR="00700267">
        <w:rPr>
          <w:noProof/>
        </w:rPr>
        <w:t>[18]</w:t>
      </w:r>
      <w:r w:rsidRPr="00F10391">
        <w:fldChar w:fldCharType="end"/>
      </w:r>
      <w:r w:rsidRPr="00F10391">
        <w:t xml:space="preserve">. They allow for a depth of understanding to be reported </w:t>
      </w:r>
      <w:r w:rsidRPr="00F10391">
        <w:rPr>
          <w:lang w:eastAsia="en-US"/>
        </w:rPr>
        <w:fldChar w:fldCharType="begin"/>
      </w:r>
      <w:r w:rsidR="00700267">
        <w:rPr>
          <w:lang w:eastAsia="en-US"/>
        </w:rPr>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rPr>
          <w:lang w:eastAsia="en-US"/>
        </w:rPr>
        <w:fldChar w:fldCharType="separate"/>
      </w:r>
      <w:r w:rsidR="00700267">
        <w:rPr>
          <w:noProof/>
          <w:lang w:eastAsia="en-US"/>
        </w:rPr>
        <w:t>[19]</w:t>
      </w:r>
      <w:r w:rsidRPr="00F10391">
        <w:rPr>
          <w:lang w:eastAsia="en-US"/>
        </w:rPr>
        <w:fldChar w:fldCharType="end"/>
      </w:r>
      <w:r w:rsidRPr="00F10391">
        <w:rPr>
          <w:lang w:eastAsia="en-US"/>
        </w:rPr>
        <w:t xml:space="preserve"> </w:t>
      </w:r>
      <w:r w:rsidRPr="00F10391">
        <w:t xml:space="preserve">and for idiosyncrasies of the case study to come through to the reader </w:t>
      </w:r>
      <w:r w:rsidRPr="00F10391">
        <w:fldChar w:fldCharType="begin"/>
      </w:r>
      <w:r w:rsidR="00700267">
        <w:instrText xml:space="preserve"> ADDIN EN.CITE &lt;EndNote&gt;&lt;Cite&gt;&lt;Author&gt;Booth&lt;/Author&gt;&lt;Year&gt;2011&lt;/Year&gt;&lt;RecNum&gt;404&lt;/RecNum&gt;&lt;DisplayText&gt;[148]&lt;/DisplayText&gt;&lt;record&gt;&lt;rec-number&gt;404&lt;/rec-number&gt;&lt;foreign-keys&gt;&lt;key app="EN" db-id="sz9092dv2s5fpze9wpgx0zxgv5ar00aezrvf" timestamp="1458819102"&gt;404&lt;/key&gt;&lt;/foreign-keys&gt;&lt;ref-type name="Book"&gt;6&lt;/ref-type&gt;&lt;contributors&gt;&lt;authors&gt;&lt;author&gt;Booth, Andrew&lt;/author&gt;&lt;author&gt;Papaioannou, Diana&lt;/author&gt;&lt;author&gt;Sutton, Anthea&lt;/author&gt;&lt;/authors&gt;&lt;/contributors&gt;&lt;titles&gt;&lt;title&gt;Systematic approaches to a successful literature review&lt;/title&gt;&lt;/titles&gt;&lt;section&gt;147&lt;/section&gt;&lt;dates&gt;&lt;year&gt;2011&lt;/year&gt;&lt;/dates&gt;&lt;publisher&gt;Sage&lt;/publisher&gt;&lt;isbn&gt;1446289443&lt;/isbn&gt;&lt;urls&gt;&lt;/urls&gt;&lt;/record&gt;&lt;/Cite&gt;&lt;/EndNote&gt;</w:instrText>
      </w:r>
      <w:r w:rsidRPr="00F10391">
        <w:fldChar w:fldCharType="separate"/>
      </w:r>
      <w:r w:rsidR="00700267">
        <w:rPr>
          <w:noProof/>
        </w:rPr>
        <w:t>[148]</w:t>
      </w:r>
      <w:r w:rsidRPr="00F10391">
        <w:fldChar w:fldCharType="end"/>
      </w:r>
      <w:r w:rsidRPr="00F10391">
        <w:t xml:space="preserve">. Sufficiently well reported case studies can be considered exemplars </w:t>
      </w:r>
      <w:r w:rsidRPr="00F10391">
        <w:fldChar w:fldCharType="begin"/>
      </w:r>
      <w:r w:rsidR="00700267">
        <w:instrText xml:space="preserve"> ADDIN EN.CITE &lt;EndNote&gt;&lt;Cite&gt;&lt;Author&gt;Kuhn&lt;/Author&gt;&lt;Year&gt;1982&lt;/Year&gt;&lt;RecNum&gt;360&lt;/RecNum&gt;&lt;DisplayText&gt;[21]&lt;/DisplayText&gt;&lt;record&gt;&lt;rec-number&gt;360&lt;/rec-number&gt;&lt;foreign-keys&gt;&lt;key app="EN" db-id="sz9092dv2s5fpze9wpgx0zxgv5ar00aezrvf" timestamp="0"&gt;360&lt;/key&gt;&lt;/foreign-keys&gt;&lt;ref-type name="Book"&gt;6&lt;/ref-type&gt;&lt;contributors&gt;&lt;authors&gt;&lt;author&gt;Kuhn, Thomas S&lt;/author&gt;&lt;/authors&gt;&lt;/contributors&gt;&lt;titles&gt;&lt;title&gt;What are Scientific Revolutions?&lt;/title&gt;&lt;/titles&gt;&lt;dates&gt;&lt;year&gt;1982&lt;/year&gt;&lt;/dates&gt;&lt;publisher&gt;Centre for Cognitive Science, Massachusetts Institute of Technology&lt;/publisher&gt;&lt;urls&gt;&lt;/urls&gt;&lt;/record&gt;&lt;/Cite&gt;&lt;/EndNote&gt;</w:instrText>
      </w:r>
      <w:r w:rsidRPr="00F10391">
        <w:fldChar w:fldCharType="separate"/>
      </w:r>
      <w:r w:rsidR="00700267">
        <w:rPr>
          <w:noProof/>
        </w:rPr>
        <w:t>[21]</w:t>
      </w:r>
      <w:r w:rsidRPr="00F10391">
        <w:fldChar w:fldCharType="end"/>
      </w:r>
      <w:r w:rsidRPr="00F10391">
        <w:t xml:space="preserve">, against which other reports can be compared. Literature reviews of such studies can be used to draw these findings together into a more general picture, from which new theories can be built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xml:space="preserve">. </w:t>
      </w:r>
    </w:p>
    <w:p w14:paraId="3CB72C9D" w14:textId="5F2BC598" w:rsidR="00D22CE3" w:rsidRPr="00F10391" w:rsidRDefault="00D22CE3" w:rsidP="00D24504">
      <w:r w:rsidRPr="00F10391">
        <w:t xml:space="preserve">It is debatable whether the approach used in this chapter is better described as a </w:t>
      </w:r>
      <w:r w:rsidR="00C4401A">
        <w:t>‘</w:t>
      </w:r>
      <w:r w:rsidRPr="00F10391">
        <w:t>narrative review</w:t>
      </w:r>
      <w:r w:rsidR="00C4401A">
        <w:t>’</w:t>
      </w:r>
      <w:r w:rsidRPr="00F10391">
        <w:t xml:space="preserve"> or </w:t>
      </w:r>
      <w:r w:rsidR="00C4401A">
        <w:t>‘</w:t>
      </w:r>
      <w:r w:rsidRPr="00F10391">
        <w:t>narrative synthesis</w:t>
      </w:r>
      <w:r w:rsidR="00C4401A">
        <w:t>’</w:t>
      </w:r>
      <w:r w:rsidRPr="00F10391">
        <w:t xml:space="preserve"> (aka </w:t>
      </w:r>
      <w:r w:rsidR="00C4401A">
        <w:t>‘</w:t>
      </w:r>
      <w:r w:rsidRPr="00F10391">
        <w:t>systematic narrative review</w:t>
      </w:r>
      <w:r w:rsidR="00C4401A">
        <w:t>’</w:t>
      </w:r>
      <w:r w:rsidRPr="00F10391">
        <w:t xml:space="preserve">). Cooper </w:t>
      </w:r>
      <w:r w:rsidRPr="00F10391">
        <w:fldChar w:fldCharType="begin"/>
      </w:r>
      <w:r w:rsidR="00700267">
        <w:instrText xml:space="preserve"> ADDIN EN.CITE &lt;EndNote&gt;&lt;Cite&gt;&lt;Author&gt;Cooper&lt;/Author&gt;&lt;Year&gt;1988&lt;/Year&gt;&lt;RecNum&gt;402&lt;/RecNum&gt;&lt;DisplayText&gt;[149]&lt;/DisplayText&gt;&lt;record&gt;&lt;rec-number&gt;402&lt;/rec-number&gt;&lt;foreign-keys&gt;&lt;key app="EN" db-id="sz9092dv2s5fpze9wpgx0zxgv5ar00aezrvf" timestamp="1458817844"&gt;402&lt;/key&gt;&lt;/foreign-keys&gt;&lt;ref-type name="Journal Article"&gt;17&lt;/ref-type&gt;&lt;contributors&gt;&lt;authors&gt;&lt;author&gt;Cooper, Harris M&lt;/author&gt;&lt;/authors&gt;&lt;/contributors&gt;&lt;titles&gt;&lt;title&gt;Organizing knowledge syntheses: A taxonomy of literature reviews&lt;/title&gt;&lt;secondary-title&gt;Knowledge in Society&lt;/secondary-title&gt;&lt;/titles&gt;&lt;periodical&gt;&lt;full-title&gt;Knowledge in Society&lt;/full-title&gt;&lt;/periodical&gt;&lt;pages&gt;104-126&lt;/pages&gt;&lt;volume&gt;1&lt;/volume&gt;&lt;number&gt;1&lt;/number&gt;&lt;dates&gt;&lt;year&gt;1988&lt;/year&gt;&lt;/dates&gt;&lt;isbn&gt;0897-1986&lt;/isbn&gt;&lt;urls&gt;&lt;/urls&gt;&lt;/record&gt;&lt;/Cite&gt;&lt;/EndNote&gt;</w:instrText>
      </w:r>
      <w:r w:rsidRPr="00F10391">
        <w:fldChar w:fldCharType="separate"/>
      </w:r>
      <w:r w:rsidR="00700267">
        <w:rPr>
          <w:noProof/>
        </w:rPr>
        <w:t>[149]</w:t>
      </w:r>
      <w:r w:rsidRPr="00F10391">
        <w:fldChar w:fldCharType="end"/>
      </w:r>
      <w:r w:rsidRPr="00F10391">
        <w:t xml:space="preserve"> offers four possible approaches to literature reviews: </w:t>
      </w:r>
    </w:p>
    <w:p w14:paraId="5A3767AA" w14:textId="77777777" w:rsidR="00D22CE3" w:rsidRPr="00F10391" w:rsidRDefault="00D22CE3" w:rsidP="006A5AA3">
      <w:pPr>
        <w:pStyle w:val="ListParagraph"/>
        <w:numPr>
          <w:ilvl w:val="0"/>
          <w:numId w:val="39"/>
        </w:numPr>
      </w:pPr>
      <w:r w:rsidRPr="00F10391">
        <w:t>Exhaustive coverage, citing all relevant literature;</w:t>
      </w:r>
    </w:p>
    <w:p w14:paraId="1A90BC6D" w14:textId="77777777" w:rsidR="00D22CE3" w:rsidRPr="00F10391" w:rsidRDefault="00D22CE3" w:rsidP="006942ED">
      <w:pPr>
        <w:pStyle w:val="ListParagraph"/>
        <w:numPr>
          <w:ilvl w:val="0"/>
          <w:numId w:val="39"/>
        </w:numPr>
      </w:pPr>
      <w:r w:rsidRPr="00F10391">
        <w:t>Exhaustive coverage, with a selected sample of works described;</w:t>
      </w:r>
    </w:p>
    <w:p w14:paraId="3D996901" w14:textId="77777777" w:rsidR="00D22CE3" w:rsidRPr="00F10391" w:rsidRDefault="00D22CE3">
      <w:pPr>
        <w:pStyle w:val="ListParagraph"/>
        <w:numPr>
          <w:ilvl w:val="0"/>
          <w:numId w:val="39"/>
        </w:numPr>
      </w:pPr>
      <w:r w:rsidRPr="00F10391">
        <w:t>A representative sample, illustrative of the larger group; and</w:t>
      </w:r>
    </w:p>
    <w:p w14:paraId="415E292C" w14:textId="77777777" w:rsidR="00D22CE3" w:rsidRPr="00F10391" w:rsidRDefault="00D22CE3">
      <w:pPr>
        <w:pStyle w:val="ListParagraph"/>
        <w:numPr>
          <w:ilvl w:val="0"/>
          <w:numId w:val="39"/>
        </w:numPr>
      </w:pPr>
      <w:r w:rsidRPr="00F10391">
        <w:t>Coverage of pivotal works.</w:t>
      </w:r>
    </w:p>
    <w:p w14:paraId="545E66B5" w14:textId="77777777" w:rsidR="00D22CE3" w:rsidRPr="00F10391" w:rsidRDefault="00D22CE3">
      <w:r w:rsidRPr="00F10391">
        <w:t xml:space="preserve">The approach used in the chapter seems to fit firmly into the first category. It goes beyond a narrative review by describing clearly the protocol used, including reproducible search terms and in attempting to describe all papers discovered. However, this does not necessarily make it ‘systematic’, which requires that the “synthesis of primary research studies that use (and describe) specific, explicit, and therefore reproducible methodological strategies to identify, assemble, critical (sic) appraise and synthesise all relevant issues on a specific topic” </w:t>
      </w:r>
      <w:r w:rsidRPr="00F10391">
        <w:fldChar w:fldCharType="begin"/>
      </w:r>
      <w:r w:rsidR="00700267">
        <w:instrText xml:space="preserve"> ADDIN EN.CITE &lt;EndNote&gt;&lt;Cite&gt;&lt;Author&gt;Carney SM&lt;/Author&gt;&lt;Year&gt;2002&lt;/Year&gt;&lt;RecNum&gt;403&lt;/RecNum&gt;&lt;DisplayText&gt;[150]&lt;/DisplayText&gt;&lt;record&gt;&lt;rec-number&gt;403&lt;/rec-number&gt;&lt;foreign-keys&gt;&lt;key app="EN" db-id="sz9092dv2s5fpze9wpgx0zxgv5ar00aezrvf" timestamp="1458818816"&gt;403&lt;/key&gt;&lt;/foreign-keys&gt;&lt;ref-type name="Book Section"&gt;5&lt;/ref-type&gt;&lt;contributors&gt;&lt;authors&gt;&lt;author&gt;Carney SM, Geddes JR&lt;/author&gt;&lt;/authors&gt;&lt;secondary-authors&gt;&lt;author&gt; Priebe S, Slade M &lt;/author&gt;&lt;/secondary-authors&gt;&lt;/contributors&gt;&lt;titles&gt;&lt;title&gt;Systematic Reviews and Meta-analyses&lt;/title&gt;&lt;secondary-title&gt; Evidence in Mental Health Care&lt;/secondary-title&gt;&lt;/titles&gt;&lt;dates&gt;&lt;year&gt;2002&lt;/year&gt;&lt;/dates&gt;&lt;pub-location&gt;Hove&lt;/pub-location&gt;&lt;publisher&gt;Brunner Routledge&lt;/publisher&gt;&lt;urls&gt;&lt;/urls&gt;&lt;/record&gt;&lt;/Cite&gt;&lt;/EndNote&gt;</w:instrText>
      </w:r>
      <w:r w:rsidRPr="00F10391">
        <w:fldChar w:fldCharType="separate"/>
      </w:r>
      <w:r w:rsidR="00700267">
        <w:rPr>
          <w:noProof/>
        </w:rPr>
        <w:t>[150]</w:t>
      </w:r>
      <w:r w:rsidRPr="00F10391">
        <w:fldChar w:fldCharType="end"/>
      </w:r>
      <w:r w:rsidR="00FF4251">
        <w:t xml:space="preserve"> </w:t>
      </w:r>
      <w:r w:rsidR="00D24504">
        <w:t xml:space="preserve"> (quoted in </w:t>
      </w:r>
      <w:r w:rsidR="00D24504">
        <w:fldChar w:fldCharType="begin"/>
      </w:r>
      <w:r w:rsidR="00700267">
        <w:instrText xml:space="preserve"> ADDIN EN.CITE &lt;EndNote&gt;&lt;Cite&gt;&lt;Author&gt;Booth&lt;/Author&gt;&lt;Year&gt;2011&lt;/Year&gt;&lt;RecNum&gt;404&lt;/RecNum&gt;&lt;DisplayText&gt;[148]&lt;/DisplayText&gt;&lt;record&gt;&lt;rec-number&gt;404&lt;/rec-number&gt;&lt;foreign-keys&gt;&lt;key app="EN" db-id="sz9092dv2s5fpze9wpgx0zxgv5ar00aezrvf" timestamp="1458819102"&gt;404&lt;/key&gt;&lt;/foreign-keys&gt;&lt;ref-type name="Book"&gt;6&lt;/ref-type&gt;&lt;contributors&gt;&lt;authors&gt;&lt;author&gt;Booth, Andrew&lt;/author&gt;&lt;author&gt;Papaioannou, Diana&lt;/author&gt;&lt;author&gt;Sutton, Anthea&lt;/author&gt;&lt;/authors&gt;&lt;/contributors&gt;&lt;titles&gt;&lt;title&gt;Systematic approaches to a successful literature review&lt;/title&gt;&lt;/titles&gt;&lt;section&gt;147&lt;/section&gt;&lt;dates&gt;&lt;year&gt;2011&lt;/year&gt;&lt;/dates&gt;&lt;publisher&gt;Sage&lt;/publisher&gt;&lt;isbn&gt;1446289443&lt;/isbn&gt;&lt;urls&gt;&lt;/urls&gt;&lt;/record&gt;&lt;/Cite&gt;&lt;/EndNote&gt;</w:instrText>
      </w:r>
      <w:r w:rsidR="00D24504">
        <w:fldChar w:fldCharType="separate"/>
      </w:r>
      <w:r w:rsidR="00700267">
        <w:rPr>
          <w:noProof/>
        </w:rPr>
        <w:t>[148]</w:t>
      </w:r>
      <w:r w:rsidR="00D24504">
        <w:fldChar w:fldCharType="end"/>
      </w:r>
      <w:r w:rsidR="00CB52C4">
        <w:t xml:space="preserve"> (p.19))</w:t>
      </w:r>
      <w:r w:rsidRPr="00F10391">
        <w:t>. Rather than describing each study individually, narrative synthesis normally attempts to characterise papers</w:t>
      </w:r>
      <w:r w:rsidRPr="00F10391">
        <w:softHyphen/>
        <w:t xml:space="preserve"> in terms of multiple groupings </w:t>
      </w:r>
      <w:r w:rsidRPr="00F10391">
        <w:fldChar w:fldCharType="begin"/>
      </w:r>
      <w:r w:rsidR="00700267">
        <w:instrText xml:space="preserve"> ADDIN EN.CITE &lt;EndNote&gt;&lt;Cite&gt;&lt;Author&gt;Booth&lt;/Author&gt;&lt;Year&gt;2011&lt;/Year&gt;&lt;RecNum&gt;404&lt;/RecNum&gt;&lt;DisplayText&gt;[148]&lt;/DisplayText&gt;&lt;record&gt;&lt;rec-number&gt;404&lt;/rec-number&gt;&lt;foreign-keys&gt;&lt;key app="EN" db-id="sz9092dv2s5fpze9wpgx0zxgv5ar00aezrvf" timestamp="1458819102"&gt;404&lt;/key&gt;&lt;/foreign-keys&gt;&lt;ref-type name="Book"&gt;6&lt;/ref-type&gt;&lt;contributors&gt;&lt;authors&gt;&lt;author&gt;Booth, Andrew&lt;/author&gt;&lt;author&gt;Papaioannou, Diana&lt;/author&gt;&lt;author&gt;Sutton, Anthea&lt;/author&gt;&lt;/authors&gt;&lt;/contributors&gt;&lt;titles&gt;&lt;title&gt;Systematic approaches to a successful literature review&lt;/title&gt;&lt;/titles&gt;&lt;section&gt;147&lt;/section&gt;&lt;dates&gt;&lt;year&gt;2011&lt;/year&gt;&lt;/dates&gt;&lt;publisher&gt;Sage&lt;/publisher&gt;&lt;isbn&gt;1446289443&lt;/isbn&gt;&lt;urls&gt;&lt;/urls&gt;&lt;/record&gt;&lt;/Cite&gt;&lt;/EndNote&gt;</w:instrText>
      </w:r>
      <w:r w:rsidRPr="00F10391">
        <w:fldChar w:fldCharType="separate"/>
      </w:r>
      <w:r w:rsidR="00700267">
        <w:rPr>
          <w:noProof/>
        </w:rPr>
        <w:t>[148]</w:t>
      </w:r>
      <w:r w:rsidRPr="00F10391">
        <w:fldChar w:fldCharType="end"/>
      </w:r>
      <w:r w:rsidRPr="00F10391">
        <w:t>.</w:t>
      </w:r>
    </w:p>
    <w:p w14:paraId="449712E8" w14:textId="77777777" w:rsidR="00D22CE3" w:rsidRPr="00F10391" w:rsidRDefault="00D22CE3">
      <w:r w:rsidRPr="00F10391">
        <w:lastRenderedPageBreak/>
        <w:t>This is only arguably the case in Part 1 of the chapter, in which case studies broken down by MCDA family, but generally described in isolation because of the small number of papers involved. The PBMA section (3.4.5) in particular compares and contrasts between papers very much in this style. The final section also allows for some conclusions to be draw</w:t>
      </w:r>
      <w:r w:rsidRPr="00F10391">
        <w:softHyphen/>
        <w:t>n. The case for this chapter being considered a systematic review is strengthened by the further discussion in Parts 2 and 3 of this chapter, which offer a more holistic approach to describing the outputs and their implications for the thesis.</w:t>
      </w:r>
    </w:p>
    <w:p w14:paraId="72BD305C" w14:textId="462B15D2" w:rsidR="00D22CE3" w:rsidRPr="00F10391" w:rsidRDefault="00D22CE3">
      <w:r w:rsidRPr="00F10391">
        <w:t xml:space="preserve">Regardless of what we might call the approach used, the review aimed </w:t>
      </w:r>
      <w:r w:rsidRPr="00F10391">
        <w:rPr>
          <w:i/>
        </w:rPr>
        <w:t xml:space="preserve">to identify and summarise all academics paper published in English </w:t>
      </w:r>
      <w:r w:rsidRPr="00F10391">
        <w:t>(initially up until 2011</w:t>
      </w:r>
      <w:r w:rsidR="005D3F11">
        <w:t>,</w:t>
      </w:r>
      <w:r w:rsidRPr="00F10391">
        <w:t xml:space="preserve"> but later extended</w:t>
      </w:r>
      <w:r w:rsidR="0084499D">
        <w:t xml:space="preserve"> via pearl growing in 2013 and using a bibliometric analysis approach up until December 2014</w:t>
      </w:r>
      <w:r w:rsidRPr="00F10391">
        <w:t xml:space="preserve">) </w:t>
      </w:r>
      <w:r w:rsidRPr="00F10391">
        <w:rPr>
          <w:i/>
        </w:rPr>
        <w:t>that related to the use of MCDA methods (including PBMA) in public health settings</w:t>
      </w:r>
      <w:r w:rsidRPr="00F10391">
        <w:t xml:space="preserve">. Papers that failed to fully address both MCDA and public health were excluded – such as those that referred to either approach in passing or others that employed a definition of </w:t>
      </w:r>
      <w:r w:rsidR="00C4401A">
        <w:t>‘</w:t>
      </w:r>
      <w:r w:rsidRPr="00F10391">
        <w:t>public health</w:t>
      </w:r>
      <w:r w:rsidR="00C4401A">
        <w:t>’</w:t>
      </w:r>
      <w:r w:rsidRPr="00F10391">
        <w:t xml:space="preserve"> which was clearly outside the scope of the thesis. Some papers which were ambiguous with regards to whether they were public health interventions were included to illustrate certain methods. The exact search terms used are described in Section 3.3.3. The research aims of the chapter can therefore be summarised as:</w:t>
      </w:r>
    </w:p>
    <w:p w14:paraId="5EF530B5" w14:textId="77777777" w:rsidR="00D22CE3" w:rsidRPr="00F10391" w:rsidRDefault="00D22CE3">
      <w:pPr>
        <w:pStyle w:val="ListParagraph"/>
        <w:numPr>
          <w:ilvl w:val="0"/>
          <w:numId w:val="21"/>
        </w:numPr>
      </w:pPr>
      <w:r w:rsidRPr="00F10391">
        <w:t>Which MCDA techniques have been reported as being used in public health?</w:t>
      </w:r>
    </w:p>
    <w:p w14:paraId="7F5A702F" w14:textId="77777777" w:rsidR="00D22CE3" w:rsidRPr="00F10391" w:rsidRDefault="00D22CE3">
      <w:pPr>
        <w:pStyle w:val="ListParagraph"/>
        <w:numPr>
          <w:ilvl w:val="0"/>
          <w:numId w:val="21"/>
        </w:numPr>
      </w:pPr>
      <w:r w:rsidRPr="00F10391">
        <w:t>And subsequently what conclusions can be drawn about:</w:t>
      </w:r>
    </w:p>
    <w:p w14:paraId="4B8EB282" w14:textId="77777777" w:rsidR="00D22CE3" w:rsidRPr="00F10391" w:rsidRDefault="00D22CE3">
      <w:pPr>
        <w:pStyle w:val="ListParagraph"/>
        <w:numPr>
          <w:ilvl w:val="1"/>
          <w:numId w:val="21"/>
        </w:numPr>
      </w:pPr>
      <w:r w:rsidRPr="00F10391">
        <w:t>These patterns of usage?</w:t>
      </w:r>
    </w:p>
    <w:p w14:paraId="3C6313BF" w14:textId="77777777" w:rsidR="00D22CE3" w:rsidRPr="00F10391" w:rsidRDefault="00D22CE3">
      <w:pPr>
        <w:pStyle w:val="ListParagraph"/>
        <w:numPr>
          <w:ilvl w:val="1"/>
          <w:numId w:val="21"/>
        </w:numPr>
      </w:pPr>
      <w:r w:rsidRPr="00F10391">
        <w:t>The areas and approaches not encountered?</w:t>
      </w:r>
    </w:p>
    <w:p w14:paraId="3FF95D27" w14:textId="77777777" w:rsidR="00D22CE3" w:rsidRPr="00F10391" w:rsidRDefault="00D22CE3">
      <w:r w:rsidRPr="00F10391">
        <w:t>Part 1 of the chapter provides a systematic review investigating the use of MCDA techniques in public health. It was originally carried out in late 2011 as part of a mandatory course for PhD students. Its intention at that point was to better inform the project as to how MCDA had been previously used in public health settings and where gaps remained, in order to use these findings to inform what might be suitable areas to pursue in the future. In 2013, it was updated as part of an external project I became involved in</w:t>
      </w:r>
      <w:r w:rsidRPr="00F10391">
        <w:rPr>
          <w:rStyle w:val="FootnoteReference"/>
        </w:rPr>
        <w:footnoteReference w:id="2"/>
      </w:r>
      <w:r w:rsidRPr="00F10391">
        <w:t xml:space="preserve"> </w:t>
      </w:r>
      <w:r w:rsidRPr="00F10391">
        <w:rPr>
          <w:sz w:val="20"/>
          <w:szCs w:val="20"/>
        </w:rPr>
        <w:fldChar w:fldCharType="begin"/>
      </w:r>
      <w:r w:rsidR="00700267">
        <w:rPr>
          <w:sz w:val="20"/>
          <w:szCs w:val="20"/>
        </w:rPr>
        <w:instrText xml:space="preserve"> ADDIN EN.CITE &lt;EndNote&gt;&lt;Cite&gt;&lt;Author&gt;Marks&lt;/Author&gt;&lt;Year&gt;2015&lt;/Year&gt;&lt;RecNum&gt;350&lt;/RecNum&gt;&lt;DisplayText&gt;[151, 152]&lt;/DisplayText&gt;&lt;record&gt;&lt;rec-number&gt;350&lt;/rec-number&gt;&lt;foreign-keys&gt;&lt;key app="EN" db-id="sz9092dv2s5fpze9wpgx0zxgv5ar00aezrvf" timestamp="0"&gt;350&lt;/key&gt;&lt;/foreign-keys&gt;&lt;ref-type name="Journal Article"&gt;17&lt;/ref-type&gt;&lt;contributors&gt;&lt;authors&gt;&lt;author&gt;Marks, L&lt;/author&gt;&lt;author&gt;Hunter, DJ&lt;/author&gt;&lt;author&gt;Scalabrini, S&lt;/author&gt;&lt;author&gt;Gray, J&lt;/author&gt;&lt;author&gt;McCafferty, S&lt;/author&gt;&lt;author&gt;Payne, N&lt;/author&gt;&lt;author&gt;Peckham, Stephen&lt;/author&gt;&lt;author&gt;Salway, S&lt;/author&gt;&lt;author&gt;Thokala, P&lt;/author&gt;&lt;/authors&gt;&lt;/contributors&gt;&lt;titles&gt;&lt;title&gt;The return of public health to local government in England: changing the parameters of the public health prioritization debate?&lt;/title&gt;&lt;secondary-title&gt;Public health&lt;/secondary-title&gt;&lt;/titles&gt;&lt;pages&gt;1194-1203&lt;/pages&gt;&lt;volume&gt;129&lt;/volume&gt;&lt;number&gt;9&lt;/number&gt;&lt;dates&gt;&lt;year&gt;2015&lt;/year&gt;&lt;/dates&gt;&lt;isbn&gt;0033-3506&lt;/isbn&gt;&lt;urls&gt;&lt;related-urls&gt;&lt;url&gt;http://www.publichealthjrnl.com/article/S0033-3506(15)00288-7/abstract&lt;/url&gt;&lt;/related-urls&gt;&lt;/urls&gt;&lt;/record&gt;&lt;/Cite&gt;&lt;Cite&gt;&lt;Author&gt;South&lt;/Author&gt;&lt;Year&gt;2014&lt;/Year&gt;&lt;RecNum&gt;351&lt;/RecNum&gt;&lt;record&gt;&lt;rec-number&gt;351&lt;/rec-number&gt;&lt;foreign-keys&gt;&lt;key app="EN" db-id="sz9092dv2s5fpze9wpgx0zxgv5ar00aezrvf" timestamp="0"&gt;351&lt;/key&gt;&lt;/foreign-keys&gt;&lt;ref-type name="Journal Article"&gt;17&lt;/ref-type&gt;&lt;contributors&gt;&lt;authors&gt;&lt;author&gt;South, J&lt;/author&gt;&lt;author&gt;Hunter, DJ&lt;/author&gt;&lt;author&gt;Gamsu, M&lt;/author&gt;&lt;/authors&gt;&lt;/contributors&gt;&lt;titles&gt;&lt;title&gt;Need to Know Review Number two: What Local Government Needs to Know about Public Health&lt;/title&gt;&lt;/titles&gt;&lt;dates&gt;&lt;year&gt;2014&lt;/year&gt;&lt;/dates&gt;&lt;urls&gt;&lt;/urls&gt;&lt;/record&gt;&lt;/Cite&gt;&lt;/EndNote&gt;</w:instrText>
      </w:r>
      <w:r w:rsidRPr="00F10391">
        <w:rPr>
          <w:sz w:val="20"/>
          <w:szCs w:val="20"/>
        </w:rPr>
        <w:fldChar w:fldCharType="separate"/>
      </w:r>
      <w:r w:rsidR="00700267">
        <w:rPr>
          <w:noProof/>
          <w:sz w:val="20"/>
          <w:szCs w:val="20"/>
        </w:rPr>
        <w:t>[151, 152]</w:t>
      </w:r>
      <w:r w:rsidRPr="00F10391">
        <w:rPr>
          <w:sz w:val="20"/>
          <w:szCs w:val="20"/>
        </w:rPr>
        <w:fldChar w:fldCharType="end"/>
      </w:r>
      <w:r w:rsidRPr="00F10391">
        <w:t xml:space="preserve">, where it was used as a discussion document to illustrate the potential role for MCDA in future local government public health settings. This 2013 update was not carried out systematically using the prior search terms – instead it incorporated known key papers that had been published in the interim, </w:t>
      </w:r>
      <w:r w:rsidRPr="00F10391">
        <w:lastRenderedPageBreak/>
        <w:t xml:space="preserve">effectively loosely following a ‘pearl growing’ strategy </w:t>
      </w:r>
      <w:r w:rsidRPr="00F10391">
        <w:fldChar w:fldCharType="begin"/>
      </w:r>
      <w:r w:rsidR="00700267">
        <w:instrText xml:space="preserve"> ADDIN EN.CITE &lt;EndNote&gt;&lt;Cite&gt;&lt;Author&gt;Papaioannou&lt;/Author&gt;&lt;Year&gt;2010&lt;/Year&gt;&lt;RecNum&gt;347&lt;/RecNum&gt;&lt;DisplayText&gt;[153]&lt;/DisplayText&gt;&lt;record&gt;&lt;rec-number&gt;347&lt;/rec-number&gt;&lt;foreign-keys&gt;&lt;key app="EN" db-id="sz9092dv2s5fpze9wpgx0zxgv5ar00aezrvf" timestamp="0"&gt;347&lt;/key&gt;&lt;/foreign-keys&gt;&lt;ref-type name="Journal Article"&gt;17&lt;/ref-type&gt;&lt;contributors&gt;&lt;authors&gt;&lt;author&gt;Papaioannou, Diana&lt;/author&gt;&lt;author&gt;Sutton, Anthea&lt;/author&gt;&lt;author&gt;Carroll, Christopher&lt;/author&gt;&lt;author&gt;Booth, Andrew&lt;/author&gt;&lt;author&gt;Wong, Ruth&lt;/author&gt;&lt;/authors&gt;&lt;/contributors&gt;&lt;titles&gt;&lt;title&gt;Literature searching for social science systematic reviews: consideration of a range of search techniques&lt;/title&gt;&lt;secondary-title&gt;Health Information &amp;amp; Libraries Journal&lt;/secondary-title&gt;&lt;/titles&gt;&lt;pages&gt;114-122&lt;/pages&gt;&lt;volume&gt;27&lt;/volume&gt;&lt;number&gt;2&lt;/number&gt;&lt;dates&gt;&lt;year&gt;2010&lt;/year&gt;&lt;/dates&gt;&lt;isbn&gt;1471-1842&lt;/isbn&gt;&lt;urls&gt;&lt;/urls&gt;&lt;/record&gt;&lt;/Cite&gt;&lt;/EndNote&gt;</w:instrText>
      </w:r>
      <w:r w:rsidRPr="00F10391">
        <w:fldChar w:fldCharType="separate"/>
      </w:r>
      <w:r w:rsidR="00700267">
        <w:rPr>
          <w:noProof/>
        </w:rPr>
        <w:t>[153]</w:t>
      </w:r>
      <w:r w:rsidRPr="00F10391">
        <w:fldChar w:fldCharType="end"/>
      </w:r>
      <w:r w:rsidRPr="00F10391">
        <w:t>, and Part 1 is based upon this paper presented to the project team in 2013.</w:t>
      </w:r>
    </w:p>
    <w:p w14:paraId="5C77880B" w14:textId="77777777" w:rsidR="00D22CE3" w:rsidRPr="00F10391" w:rsidRDefault="00D22CE3">
      <w:r w:rsidRPr="00F10391">
        <w:t>Part 2 of this chapter provides a bibliometric analysis of the results until the end of 2014, investigating the trends in publication by MCDA family, public health area and geographical setting. Paper-specific summaries are not given in this section.</w:t>
      </w:r>
    </w:p>
    <w:p w14:paraId="70AAF6E5" w14:textId="77777777" w:rsidR="00D22CE3" w:rsidRPr="00F10391" w:rsidRDefault="00D22CE3">
      <w:r w:rsidRPr="00F10391">
        <w:t>Part 3 provides concluding comments, bringing together the two previous sections and describing further the chapter’s role in the context of the rest of the thesis.</w:t>
      </w:r>
    </w:p>
    <w:p w14:paraId="69CE946B" w14:textId="77777777" w:rsidR="00D22CE3" w:rsidRPr="00F10391" w:rsidRDefault="00D22CE3">
      <w:r w:rsidRPr="00F10391">
        <w:t xml:space="preserve">The chapter shows just how varied both MCDA and public health settings can be, and in doing so illustrates how an appropriate MCDA approach can be chosen given the nature of the problem at hand. The results in Part 1 are grouped by the MCDA approach used, as outlined in the previous chapter: overall discussion papers (§3.4.1), value measurement models (§3.4.2), outranking models (§3.4.3), goal programming models (§3.4.4) and programme budgeting and marginal analyses (§3.4.5). Section 3.5 discusses some preliminary implications of the findings, which are expanded upon in Parts 2 and 3. </w:t>
      </w:r>
    </w:p>
    <w:p w14:paraId="3520B5FF" w14:textId="77777777" w:rsidR="00D22CE3" w:rsidRPr="00F10391" w:rsidRDefault="00D22CE3">
      <w:r w:rsidRPr="00F10391">
        <w:t>CPH guidance normally requires that a systematic literature search is undertaken as a starting point for further investigations on any given topic. This is used to help identify if economic modelling will be required in estimating the cost-effectiveness of the interventions under consideration. While this chapter is not used directly in this way, it provides tangible examples of how MCDA can fit into practical public health decision-making settings.</w:t>
      </w:r>
      <w:bookmarkStart w:id="188" w:name="_Toc283984107"/>
      <w:bookmarkStart w:id="189" w:name="_Toc304640197"/>
    </w:p>
    <w:p w14:paraId="42F2CB68" w14:textId="77777777" w:rsidR="00D22CE3" w:rsidRPr="00F10391" w:rsidRDefault="00D22CE3">
      <w:pPr>
        <w:sectPr w:rsidR="00D22CE3" w:rsidRPr="00F10391" w:rsidSect="00D22CE3">
          <w:footerReference w:type="even" r:id="rId14"/>
          <w:footerReference w:type="default" r:id="rId15"/>
          <w:pgSz w:w="11906" w:h="16838" w:code="9"/>
          <w:pgMar w:top="1440" w:right="1440" w:bottom="1440" w:left="1440" w:header="708" w:footer="708" w:gutter="0"/>
          <w:cols w:space="708"/>
          <w:docGrid w:linePitch="360"/>
        </w:sectPr>
      </w:pPr>
    </w:p>
    <w:p w14:paraId="77723177" w14:textId="77777777" w:rsidR="00D22CE3" w:rsidRPr="00F10391" w:rsidRDefault="00D22CE3">
      <w:pPr>
        <w:pStyle w:val="Numberedheading2"/>
      </w:pPr>
      <w:bookmarkStart w:id="190" w:name="_Toc441508937"/>
      <w:bookmarkStart w:id="191" w:name="_Toc453235375"/>
      <w:bookmarkStart w:id="192" w:name="_Toc453595448"/>
      <w:bookmarkStart w:id="193" w:name="_Toc476241545"/>
      <w:r w:rsidRPr="00F10391">
        <w:lastRenderedPageBreak/>
        <w:t xml:space="preserve">Part 1: </w:t>
      </w:r>
      <w:r w:rsidRPr="00F10391">
        <w:tab/>
      </w:r>
      <w:r w:rsidRPr="00F10391">
        <w:tab/>
        <w:t>Narrative review</w:t>
      </w:r>
      <w:bookmarkEnd w:id="188"/>
      <w:bookmarkEnd w:id="189"/>
      <w:bookmarkEnd w:id="190"/>
      <w:bookmarkEnd w:id="191"/>
      <w:bookmarkEnd w:id="192"/>
      <w:bookmarkEnd w:id="193"/>
    </w:p>
    <w:p w14:paraId="72E09684" w14:textId="77777777" w:rsidR="00D22CE3" w:rsidRPr="00F10391" w:rsidRDefault="00D22CE3"/>
    <w:p w14:paraId="2CFB428F" w14:textId="77777777" w:rsidR="00D22CE3" w:rsidRPr="00F10391" w:rsidRDefault="00D22CE3">
      <w:pPr>
        <w:pStyle w:val="Heading3"/>
      </w:pPr>
      <w:bookmarkStart w:id="194" w:name="_Toc283984108"/>
      <w:bookmarkStart w:id="195" w:name="_Toc304640198"/>
      <w:bookmarkStart w:id="196" w:name="_Toc303953401"/>
      <w:bookmarkStart w:id="197" w:name="_Toc441508938"/>
      <w:bookmarkStart w:id="198" w:name="_Toc453235376"/>
      <w:bookmarkStart w:id="199" w:name="_Toc453595449"/>
      <w:bookmarkStart w:id="200" w:name="_Toc476241546"/>
      <w:r w:rsidRPr="00F10391">
        <w:t>3.1</w:t>
      </w:r>
      <w:r w:rsidRPr="00F10391">
        <w:tab/>
      </w:r>
      <w:r w:rsidRPr="00F10391">
        <w:tab/>
        <w:t>Background</w:t>
      </w:r>
      <w:bookmarkEnd w:id="194"/>
      <w:bookmarkEnd w:id="195"/>
      <w:bookmarkEnd w:id="196"/>
      <w:bookmarkEnd w:id="197"/>
      <w:bookmarkEnd w:id="198"/>
      <w:bookmarkEnd w:id="199"/>
      <w:bookmarkEnd w:id="200"/>
    </w:p>
    <w:p w14:paraId="3E35447C" w14:textId="77777777" w:rsidR="00D22CE3" w:rsidRPr="00F10391" w:rsidRDefault="00D22CE3"/>
    <w:p w14:paraId="1C912F67" w14:textId="77777777" w:rsidR="00D22CE3" w:rsidRPr="00F10391" w:rsidRDefault="00D22CE3">
      <w:r w:rsidRPr="00F10391">
        <w:t xml:space="preserve">Because the bulk of research in this section was carried out in 2011, the systematic search only includes papers published up to this date. Other known papers up to 2013 have also been included for discussion but, given the difficulties in precisely defining both public health and MCDA, it was always going to be difficult to be wholly comprehensive in such a review. As such, the results in Part 1 instead should be interpreted for what they are: an attempt to represent the wide variety of areas where such methods have been applied. </w:t>
      </w:r>
    </w:p>
    <w:p w14:paraId="08D43A8B" w14:textId="77777777" w:rsidR="00D22CE3" w:rsidRPr="00F10391" w:rsidRDefault="00D22CE3">
      <w:r w:rsidRPr="00F10391">
        <w:t xml:space="preserve">As described in the previous chapter, MCDA methods are a family of approaches used to help policy makers make better decisions about complex issues featuring conflicting objectives and potentially other competing factors. A variety of methods are available, which attempt to structure the problem and solve it in a transparent and conciliatory manner, ultimately potentially leading to greater accountability, acceptability to the community, a higher level of community enfranchisement and an increased likelihood of success in implementing the findings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w:t>
      </w:r>
    </w:p>
    <w:p w14:paraId="50D69BD8" w14:textId="7DF0E32A" w:rsidR="00D22CE3" w:rsidRPr="00F10391" w:rsidRDefault="00D22CE3">
      <w:r w:rsidRPr="00F10391">
        <w:t xml:space="preserve">The UK Faculty of Public Health defines their field as “the science and art of promoting and protecting health and well-being, preventing ill-health and prolonging life through the organised efforts of society” </w:t>
      </w:r>
      <w:r w:rsidRPr="00F10391">
        <w:fldChar w:fldCharType="begin"/>
      </w:r>
      <w:r w:rsidR="00700267">
        <w:instrText xml:space="preserve"> ADDIN EN.CITE &lt;EndNote&gt;&lt;Cite&gt;&lt;Author&gt;Nutbeam&lt;/Author&gt;&lt;Year&gt;1998&lt;/Year&gt;&lt;RecNum&gt;349&lt;/RecNum&gt;&lt;DisplayText&gt;[154]&lt;/DisplayText&gt;&lt;record&gt;&lt;rec-number&gt;349&lt;/rec-number&gt;&lt;foreign-keys&gt;&lt;key app="EN" db-id="sz9092dv2s5fpze9wpgx0zxgv5ar00aezrvf" timestamp="0"&gt;349&lt;/key&gt;&lt;/foreign-keys&gt;&lt;ref-type name="Journal Article"&gt;17&lt;/ref-type&gt;&lt;contributors&gt;&lt;authors&gt;&lt;author&gt;Nutbeam, D&lt;/author&gt;&lt;/authors&gt;&lt;/contributors&gt;&lt;titles&gt;&lt;title&gt;Health promotion glossary1&lt;/title&gt;&lt;secondary-title&gt;Health promotion international&lt;/secondary-title&gt;&lt;/titles&gt;&lt;volume&gt;13&lt;/volume&gt;&lt;number&gt;4&lt;/number&gt;&lt;dates&gt;&lt;year&gt;1998&lt;/year&gt;&lt;/dates&gt;&lt;urls&gt;&lt;/urls&gt;&lt;/record&gt;&lt;/Cite&gt;&lt;/EndNote&gt;</w:instrText>
      </w:r>
      <w:r w:rsidRPr="00F10391">
        <w:fldChar w:fldCharType="separate"/>
      </w:r>
      <w:r w:rsidR="00700267">
        <w:rPr>
          <w:noProof/>
        </w:rPr>
        <w:t>[154]</w:t>
      </w:r>
      <w:r w:rsidRPr="00F10391">
        <w:fldChar w:fldCharType="end"/>
      </w:r>
      <w:r w:rsidR="00487D45">
        <w:t xml:space="preserve"> (p.352)</w:t>
      </w:r>
      <w:r w:rsidR="007C58DB">
        <w:t>,</w:t>
      </w:r>
      <w:r w:rsidRPr="00F10391">
        <w:t xml:space="preserve"> which can manifest in an eclectic range of topics. Indeed, it can be difficult to clarify whether certain approaches should be described as public health or not. As such, this review has been limited to papers that specifically contain the phrase “public health” or “health intervention”. This will almost inevitably exclude some papers that have a legitimate public health dimension to them, but it would not be feasible with the limited time and resources for this review to carry out a comprehensive search of all potential public health topics. Therefore, this chapter serves to provide an introduction to how and where MCDA approaches are being applied in the area; but it cannot claim to be definitive. In doing so, however, it should convey just how diverse public health can be.</w:t>
      </w:r>
    </w:p>
    <w:p w14:paraId="542593E5" w14:textId="5AF04BEF" w:rsidR="00D22CE3" w:rsidRPr="00F10391" w:rsidRDefault="00C4401A">
      <w:pPr>
        <w:rPr>
          <w:b/>
          <w:bCs/>
        </w:rPr>
      </w:pPr>
      <w:r>
        <w:t>‘</w:t>
      </w:r>
      <w:r w:rsidR="00D22CE3" w:rsidRPr="00F10391">
        <w:t>Public health</w:t>
      </w:r>
      <w:r>
        <w:t>’</w:t>
      </w:r>
      <w:r w:rsidR="00D22CE3" w:rsidRPr="00F10391">
        <w:t xml:space="preserve"> and </w:t>
      </w:r>
      <w:r>
        <w:t>‘</w:t>
      </w:r>
      <w:r w:rsidR="00D22CE3" w:rsidRPr="00F10391">
        <w:t>public healthcare</w:t>
      </w:r>
      <w:r>
        <w:t>’</w:t>
      </w:r>
      <w:r w:rsidR="00D22CE3" w:rsidRPr="00F10391">
        <w:t xml:space="preserve"> have been used largely interchangeably throughout this chapter but, as elsewhere in the thesis, relate solely to the British definition; i.e. what is generally known as population health in the United States. “Population health*” was thereafter included in a revised search strategy outlined in Part 2. The definition was not intended to include primary and secondary care provided by the public purse; any papers which included only these were excluded. Health interventions discovered which did not conform to this definition were similarly excluded.</w:t>
      </w:r>
    </w:p>
    <w:p w14:paraId="40A79DA5" w14:textId="77777777" w:rsidR="00D22CE3" w:rsidRPr="00F10391" w:rsidRDefault="00D22CE3">
      <w:r w:rsidRPr="00F10391">
        <w:t xml:space="preserve">Systematic reviews in public healthcare have become increasingly popular in recent years, and the Cochrane Collaboration has constituted a Public Health Group to investigate a number of topics. The group’s first completed review, on the effects of flexible working conditions on employee wellbeing, was published in 2010 </w:t>
      </w:r>
      <w:r w:rsidRPr="00F10391">
        <w:fldChar w:fldCharType="begin"/>
      </w:r>
      <w:r w:rsidR="00700267">
        <w:instrText xml:space="preserve"> ADDIN EN.CITE &lt;EndNote&gt;&lt;Cite&gt;&lt;Author&gt;Joyce&lt;/Author&gt;&lt;Year&gt;2010&lt;/Year&gt;&lt;RecNum&gt;66&lt;/RecNum&gt;&lt;DisplayText&gt;[155]&lt;/DisplayText&gt;&lt;record&gt;&lt;rec-number&gt;66&lt;/rec-number&gt;&lt;foreign-keys&gt;&lt;key app="EN" db-id="sz9092dv2s5fpze9wpgx0zxgv5ar00aezrvf" timestamp="0"&gt;66&lt;/key&gt;&lt;/foreign-keys&gt;&lt;ref-type name="Journal Article"&gt;17&lt;/ref-type&gt;&lt;contributors&gt;&lt;authors&gt;&lt;author&gt;Joyce, Kerry&lt;/author&gt;&lt;author&gt;Pabayo, Roman&lt;/author&gt;&lt;author&gt;Critchley, Julia A&lt;/author&gt;&lt;author&gt;Bambra, Clare&lt;/author&gt;&lt;/authors&gt;&lt;/contributors&gt;&lt;titles&gt;&lt;title&gt;Flexible working conditions and their effects on employee health and wellbeing&lt;/title&gt;&lt;secondary-title&gt;Cochrane Database Syst Rev&lt;/secondary-title&gt;&lt;/titles&gt;&lt;volume&gt;2&lt;/volume&gt;&lt;dates&gt;&lt;year&gt;2010&lt;/year&gt;&lt;/dates&gt;&lt;urls&gt;&lt;/urls&gt;&lt;/record&gt;&lt;/Cite&gt;&lt;/EndNote&gt;</w:instrText>
      </w:r>
      <w:r w:rsidRPr="00F10391">
        <w:fldChar w:fldCharType="separate"/>
      </w:r>
      <w:r w:rsidR="00700267">
        <w:rPr>
          <w:noProof/>
        </w:rPr>
        <w:t>[155]</w:t>
      </w:r>
      <w:r w:rsidRPr="00F10391">
        <w:fldChar w:fldCharType="end"/>
      </w:r>
      <w:r w:rsidRPr="00F10391">
        <w:t xml:space="preserve">. </w:t>
      </w:r>
    </w:p>
    <w:p w14:paraId="79579A88" w14:textId="77777777" w:rsidR="00D22CE3" w:rsidRPr="00F10391" w:rsidRDefault="00D22CE3">
      <w:r w:rsidRPr="00F10391">
        <w:t xml:space="preserve">This chapter, to my knowledge, was the first attempt to investigate the effects of MCDA in public healthcare. Since its completion, a number of reviews of MCDA in healthcare more </w:t>
      </w:r>
      <w:r w:rsidRPr="00F10391">
        <w:lastRenderedPageBreak/>
        <w:t xml:space="preserve">generally have been published </w:t>
      </w:r>
      <w:r w:rsidRPr="00F10391">
        <w:fldChar w:fldCharType="begin">
          <w:fldData xml:space="preserve">PEVuZE5vdGU+PENpdGU+PEF1dGhvcj5NYXJzaDwvQXV0aG9yPjxZZWFyPjIwMTQ8L1llYXI+PFJl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</w:fldData>
        </w:fldChar>
      </w:r>
      <w:r w:rsidR="00700267">
        <w:instrText xml:space="preserve"> ADDIN EN.CITE </w:instrText>
      </w:r>
      <w:r w:rsidR="00700267">
        <w:fldChar w:fldCharType="begin">
          <w:fldData xml:space="preserve">PEVuZE5vdGU+PENpdGU+PEF1dGhvcj5NYXJzaDwvQXV0aG9yPjxZZWFyPjIwMTQ8L1llYXI+PFJl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</w:fldData>
        </w:fldChar>
      </w:r>
      <w:r w:rsidR="00700267">
        <w:instrText xml:space="preserve"> ADDIN EN.CITE.DATA </w:instrText>
      </w:r>
      <w:r w:rsidR="00700267">
        <w:fldChar w:fldCharType="end"/>
      </w:r>
      <w:r w:rsidRPr="00F10391">
        <w:fldChar w:fldCharType="separate"/>
      </w:r>
      <w:r w:rsidR="00700267">
        <w:rPr>
          <w:noProof/>
        </w:rPr>
        <w:t>[7, 128, 156]</w:t>
      </w:r>
      <w:r w:rsidRPr="00F10391">
        <w:fldChar w:fldCharType="end"/>
      </w:r>
      <w:r w:rsidRPr="00F10391">
        <w:t>, though none have specifically focussed on public health. In the context of increasing emphasis on evidence-based medicine and the growing economic and demographic pressures on healthcare resources, choosing the most appropriate decision-making approach is fundamentally important. This review attempts to provide an introduction to whether MCDA methods might be useful in these circumstances.</w:t>
      </w:r>
    </w:p>
    <w:p w14:paraId="30D03A36" w14:textId="77777777" w:rsidR="00D22CE3" w:rsidRPr="00F10391" w:rsidRDefault="00D22CE3"/>
    <w:p w14:paraId="3F55E530" w14:textId="77777777" w:rsidR="00D22CE3" w:rsidRPr="00F10391" w:rsidRDefault="00D22CE3">
      <w:pPr>
        <w:pStyle w:val="Heading3"/>
      </w:pPr>
      <w:bookmarkStart w:id="201" w:name="_Toc283984109"/>
      <w:bookmarkStart w:id="202" w:name="_Toc304640199"/>
      <w:bookmarkStart w:id="203" w:name="_Toc303953402"/>
      <w:bookmarkStart w:id="204" w:name="_Toc441508939"/>
      <w:bookmarkStart w:id="205" w:name="_Toc453235377"/>
      <w:bookmarkStart w:id="206" w:name="_Toc453595450"/>
      <w:bookmarkStart w:id="207" w:name="_Toc476241547"/>
      <w:r w:rsidRPr="00F10391">
        <w:t>3.2</w:t>
      </w:r>
      <w:r w:rsidRPr="00F10391">
        <w:tab/>
      </w:r>
      <w:r w:rsidRPr="00F10391">
        <w:tab/>
        <w:t>Objectives</w:t>
      </w:r>
      <w:r w:rsidRPr="00F10391">
        <w:softHyphen/>
      </w:r>
      <w:r w:rsidRPr="00F10391">
        <w:softHyphen/>
      </w:r>
      <w:bookmarkEnd w:id="201"/>
      <w:bookmarkEnd w:id="202"/>
      <w:bookmarkEnd w:id="203"/>
      <w:bookmarkEnd w:id="204"/>
      <w:bookmarkEnd w:id="205"/>
      <w:bookmarkEnd w:id="206"/>
      <w:bookmarkEnd w:id="207"/>
    </w:p>
    <w:p w14:paraId="5D46256C" w14:textId="77777777" w:rsidR="00D22CE3" w:rsidRPr="00F10391" w:rsidRDefault="00D22CE3"/>
    <w:p w14:paraId="671688E8" w14:textId="77777777" w:rsidR="00D22CE3" w:rsidRPr="00F10391" w:rsidRDefault="00D22CE3">
      <w:pPr>
        <w:rPr>
          <w:i/>
        </w:rPr>
      </w:pPr>
      <w:r w:rsidRPr="00F10391">
        <w:t>This review attempted to identify all English-language peer-reviewed journal articles using self-described MCDA approaches that have been employed to solve conventional public health issues, whether subsequently implemented or not.</w:t>
      </w:r>
    </w:p>
    <w:p w14:paraId="668F22F7" w14:textId="77777777" w:rsidR="00D22CE3" w:rsidRPr="00F10391" w:rsidRDefault="00D22CE3">
      <w:r w:rsidRPr="00F10391">
        <w:t xml:space="preserve">Its aim was to identify and describe a selection of papers that illustrate the breadth of multi-criteria decision analysis approaches that have been applied to various aspects of public health, in order to show which methods have been applied successfully and how and where they might be applied in the future. </w:t>
      </w:r>
    </w:p>
    <w:p w14:paraId="1C3D5325" w14:textId="78678CEF" w:rsidR="00D22CE3" w:rsidRPr="00F10391" w:rsidRDefault="00D22CE3">
      <w:r w:rsidRPr="00F10391">
        <w:t xml:space="preserve">Formally, the primary research question for this part of the chapter was </w:t>
      </w:r>
      <w:r w:rsidR="00C4401A">
        <w:t>‘</w:t>
      </w:r>
      <w:r w:rsidRPr="00F10391">
        <w:rPr>
          <w:i/>
        </w:rPr>
        <w:t>which MCDA techniques have been reported as being used in public health?</w:t>
      </w:r>
      <w:r w:rsidR="00C4401A">
        <w:t>’</w:t>
      </w:r>
      <w:r w:rsidRPr="00F10391">
        <w:rPr>
          <w:i/>
        </w:rPr>
        <w:t xml:space="preserve"> </w:t>
      </w:r>
      <w:r w:rsidRPr="00F10391">
        <w:t xml:space="preserve">The specific search terms used are given in section 3.3.3. </w:t>
      </w:r>
    </w:p>
    <w:p w14:paraId="77AB7E1E" w14:textId="77777777" w:rsidR="00D22CE3" w:rsidRPr="00F10391" w:rsidRDefault="00D22CE3">
      <w:pPr>
        <w:rPr>
          <w:i/>
        </w:rPr>
      </w:pPr>
      <w:r w:rsidRPr="00F10391">
        <w:rPr>
          <w:lang w:eastAsia="en-US"/>
        </w:rPr>
        <w:t>Some im</w:t>
      </w:r>
      <w:r w:rsidRPr="00F10391">
        <w:t>plications of these findings are discussed at the end of Part 1, and further developed in Part 3.</w:t>
      </w:r>
    </w:p>
    <w:p w14:paraId="09123046" w14:textId="77777777" w:rsidR="00D22CE3" w:rsidRPr="00F10391" w:rsidRDefault="00D22CE3">
      <w:r w:rsidRPr="00F10391">
        <w:t xml:space="preserve"> </w:t>
      </w:r>
      <w:bookmarkStart w:id="208" w:name="_Toc303953403"/>
    </w:p>
    <w:p w14:paraId="19D2AC26" w14:textId="77777777" w:rsidR="00D22CE3" w:rsidRPr="00F10391" w:rsidRDefault="00D22CE3">
      <w:pPr>
        <w:pStyle w:val="Heading3"/>
      </w:pPr>
      <w:bookmarkStart w:id="209" w:name="_Toc441508940"/>
      <w:bookmarkStart w:id="210" w:name="_Toc453235378"/>
      <w:bookmarkStart w:id="211" w:name="_Toc453595451"/>
      <w:bookmarkStart w:id="212" w:name="_Toc476241548"/>
      <w:r w:rsidRPr="00F10391">
        <w:t>3.3</w:t>
      </w:r>
      <w:r w:rsidRPr="00F10391">
        <w:tab/>
      </w:r>
      <w:r w:rsidRPr="00F10391">
        <w:tab/>
        <w:t>Methods</w:t>
      </w:r>
      <w:bookmarkEnd w:id="208"/>
      <w:bookmarkEnd w:id="209"/>
      <w:bookmarkEnd w:id="210"/>
      <w:bookmarkEnd w:id="211"/>
      <w:bookmarkEnd w:id="212"/>
    </w:p>
    <w:p w14:paraId="4222E28E" w14:textId="77777777" w:rsidR="00D22CE3" w:rsidRPr="00F10391" w:rsidRDefault="00D22CE3">
      <w:bookmarkStart w:id="213" w:name="_Toc303953404"/>
    </w:p>
    <w:p w14:paraId="4F5A36A1" w14:textId="77777777" w:rsidR="00D22CE3" w:rsidRPr="00F10391" w:rsidRDefault="00D22CE3">
      <w:pPr>
        <w:pStyle w:val="Heading4"/>
      </w:pPr>
      <w:bookmarkStart w:id="214" w:name="_Toc283984110"/>
      <w:bookmarkStart w:id="215" w:name="_Toc304640200"/>
      <w:bookmarkStart w:id="216" w:name="_Toc441508941"/>
      <w:bookmarkStart w:id="217" w:name="_Toc453235379"/>
      <w:bookmarkStart w:id="218" w:name="_Toc453595452"/>
      <w:bookmarkStart w:id="219" w:name="_Toc476241549"/>
      <w:r w:rsidRPr="00F10391">
        <w:t>3.3.1</w:t>
      </w:r>
      <w:r w:rsidRPr="00F10391">
        <w:tab/>
      </w:r>
      <w:r w:rsidRPr="00F10391">
        <w:tab/>
        <w:t>Types of studies</w:t>
      </w:r>
      <w:bookmarkEnd w:id="213"/>
      <w:bookmarkEnd w:id="214"/>
      <w:bookmarkEnd w:id="215"/>
      <w:bookmarkEnd w:id="216"/>
      <w:bookmarkEnd w:id="217"/>
      <w:bookmarkEnd w:id="218"/>
      <w:bookmarkEnd w:id="219"/>
    </w:p>
    <w:p w14:paraId="52EE9E8C" w14:textId="77777777" w:rsidR="00D22CE3" w:rsidRPr="00F10391" w:rsidRDefault="00D22CE3">
      <w:r w:rsidRPr="00F10391">
        <w:t>Only a small number of papers were anticipated to meet all inclusion criteria. Given this, and difficulties associated with carrying out reviews on the highest levels of the hierarchy of evidence in public health settings, any attempts to pre-emptively exclude papers below a certain level were felt likely to be counter-productive and no such exclusion criteria were therefore employed. Any papers that clearly did not relate to public health topics and/or did not use MCDA approaches were not included.</w:t>
      </w:r>
    </w:p>
    <w:p w14:paraId="27453575" w14:textId="77777777" w:rsidR="00D22CE3" w:rsidRPr="00F10391" w:rsidRDefault="00D22CE3">
      <w:bookmarkStart w:id="220" w:name="_Toc303953405"/>
    </w:p>
    <w:p w14:paraId="25207FC1" w14:textId="77777777" w:rsidR="00D22CE3" w:rsidRPr="00F10391" w:rsidRDefault="00D22CE3">
      <w:pPr>
        <w:pStyle w:val="Heading4"/>
      </w:pPr>
      <w:bookmarkStart w:id="221" w:name="_Toc283984111"/>
      <w:bookmarkStart w:id="222" w:name="_Toc304640201"/>
      <w:bookmarkStart w:id="223" w:name="_Toc441508942"/>
      <w:bookmarkStart w:id="224" w:name="_Toc453235380"/>
      <w:bookmarkStart w:id="225" w:name="_Toc453595453"/>
      <w:bookmarkStart w:id="226" w:name="_Toc476241550"/>
      <w:r w:rsidRPr="00F10391">
        <w:t>3.3.2</w:t>
      </w:r>
      <w:r w:rsidRPr="00F10391">
        <w:tab/>
      </w:r>
      <w:r w:rsidRPr="00F10391">
        <w:tab/>
        <w:t>Outcome measures used</w:t>
      </w:r>
      <w:bookmarkEnd w:id="220"/>
      <w:bookmarkEnd w:id="221"/>
      <w:bookmarkEnd w:id="222"/>
      <w:bookmarkEnd w:id="223"/>
      <w:bookmarkEnd w:id="224"/>
      <w:bookmarkEnd w:id="225"/>
      <w:bookmarkEnd w:id="226"/>
      <w:r w:rsidRPr="00F10391">
        <w:t xml:space="preserve"> </w:t>
      </w:r>
    </w:p>
    <w:p w14:paraId="6AD1D611" w14:textId="77777777" w:rsidR="00D22CE3" w:rsidRPr="00F10391" w:rsidRDefault="00D22CE3">
      <w:r w:rsidRPr="00F10391">
        <w:t xml:space="preserve">Because of the ambiguous nature of what constitutes both public health and MCDA, from the outset it was clear that a comprehensive review could not take place without strict definitions of the criteria. Furthermore because of the difficulties in explicitly comparing outcomes with MCDA versus more conventional approaches, evaluation of the methods is largely based on </w:t>
      </w:r>
      <w:r w:rsidRPr="00F10391">
        <w:lastRenderedPageBreak/>
        <w:t xml:space="preserve">the feedback, opinion and case studies presented by the relevant papers’ authors, making meta-analyses impossible. </w:t>
      </w:r>
    </w:p>
    <w:p w14:paraId="0F0E4AE8" w14:textId="77777777" w:rsidR="00D22CE3" w:rsidRPr="00F10391" w:rsidRDefault="00D22CE3">
      <w:r w:rsidRPr="00F10391">
        <w:t>Instead, the purpose of this review was to discover areas where relevant research has previously been carried out, what methods have been employed and whether the authors draw any useful conclusions from the exercise, using a narrative synthesis approach.</w:t>
      </w:r>
      <w:bookmarkStart w:id="227" w:name="_Toc303953406"/>
      <w:r w:rsidRPr="00F10391">
        <w:t xml:space="preserve"> Such an approach gathers information from a range of sources and perspectives, presenting qualitative results </w:t>
      </w:r>
      <w:r w:rsidRPr="00F10391">
        <w:fldChar w:fldCharType="begin"/>
      </w:r>
      <w:r w:rsidR="00700267">
        <w:instrText xml:space="preserve"> ADDIN EN.CITE &lt;EndNote&gt;&lt;Cite&gt;&lt;Author&gt;Nilsen&lt;/Author&gt;&lt;Year&gt;2015&lt;/Year&gt;&lt;RecNum&gt;304&lt;/RecNum&gt;&lt;DisplayText&gt;[13]&lt;/DisplayText&gt;&lt;record&gt;&lt;rec-number&gt;304&lt;/rec-number&gt;&lt;foreign-keys&gt;&lt;key app="EN" db-id="sz9092dv2s5fpze9wpgx0zxgv5ar00aezrvf" timestamp="0"&gt;304&lt;/key&gt;&lt;/foreign-keys&gt;&lt;ref-type name="Journal Article"&gt;17&lt;/ref-type&gt;&lt;contributors&gt;&lt;authors&gt;&lt;author&gt;Nilsen, Per&lt;/author&gt;&lt;/authors&gt;&lt;/contributors&gt;&lt;titles&gt;&lt;title&gt;Making sense of implementation theories, models and frameworks&lt;/title&gt;&lt;secondary-title&gt;Implementation Science&lt;/secondary-title&gt;&lt;/titles&gt;&lt;pages&gt;53&lt;/pages&gt;&lt;volume&gt;10&lt;/volume&gt;&lt;number&gt;1&lt;/number&gt;&lt;dates&gt;&lt;year&gt;2015&lt;/year&gt;&lt;/dates&gt;&lt;isbn&gt;1748-5908&lt;/isbn&gt;&lt;urls&gt;&lt;related-urls&gt;&lt;url&gt;http://download.springer.com/static/pdf/875/art%253A10.1186%252Fs13012-015-0242-0.pdf?originUrl=http%3A%2F%2Fhttp%3A%2F%2Fimplementationscience.biomedcentral.com%2Farticle%2F10.1186%2Fs13012-015-0242-0&amp;amp;token2=exp=1457714461~acl=%2Fstatic%2Fpdf%2F875%2Fart%25253A10.1186%25252Fs13012-015-0242-0.pdf*~hmac=8fee1ad4a9a4575b438bf38b63bd0f346df75cc2ad042a8b6aa80ac4a4bf3321&lt;/url&gt;&lt;/related-urls&gt;&lt;/urls&gt;&lt;/record&gt;&lt;/Cite&gt;&lt;/EndNote&gt;</w:instrText>
      </w:r>
      <w:r w:rsidRPr="00F10391">
        <w:fldChar w:fldCharType="separate"/>
      </w:r>
      <w:r w:rsidR="00700267">
        <w:rPr>
          <w:noProof/>
        </w:rPr>
        <w:t>[13]</w:t>
      </w:r>
      <w:r w:rsidRPr="00F10391">
        <w:fldChar w:fldCharType="end"/>
      </w:r>
      <w:r w:rsidRPr="00F10391">
        <w:t>, as was necessary given the heterogeneous nature of the papers discovered.</w:t>
      </w:r>
    </w:p>
    <w:p w14:paraId="325C5C28" w14:textId="77777777" w:rsidR="00D22CE3" w:rsidRPr="00F10391" w:rsidRDefault="00D22CE3"/>
    <w:p w14:paraId="1C483503" w14:textId="77777777" w:rsidR="00D22CE3" w:rsidRPr="00F10391" w:rsidRDefault="00D22CE3">
      <w:pPr>
        <w:pStyle w:val="Heading4"/>
      </w:pPr>
      <w:bookmarkStart w:id="228" w:name="_Toc283984112"/>
      <w:bookmarkStart w:id="229" w:name="_Toc304640202"/>
      <w:bookmarkStart w:id="230" w:name="_Toc441508943"/>
      <w:bookmarkStart w:id="231" w:name="_Toc453235381"/>
      <w:bookmarkStart w:id="232" w:name="_Toc453595454"/>
      <w:bookmarkStart w:id="233" w:name="_Toc476241551"/>
      <w:r w:rsidRPr="00F10391">
        <w:t>3.3.3</w:t>
      </w:r>
      <w:r w:rsidRPr="00F10391">
        <w:tab/>
      </w:r>
      <w:r w:rsidRPr="00F10391">
        <w:tab/>
        <w:t>Search methods</w:t>
      </w:r>
      <w:bookmarkEnd w:id="227"/>
      <w:bookmarkEnd w:id="228"/>
      <w:bookmarkEnd w:id="229"/>
      <w:bookmarkEnd w:id="230"/>
      <w:bookmarkEnd w:id="231"/>
      <w:bookmarkEnd w:id="232"/>
      <w:bookmarkEnd w:id="233"/>
    </w:p>
    <w:p w14:paraId="19267CB3" w14:textId="77777777" w:rsidR="00D22CE3" w:rsidRPr="00F10391" w:rsidRDefault="00D22CE3">
      <w:r w:rsidRPr="00F10391">
        <w:t>Searches were carried out in PubMed and ISI Web of Knowledge. The search within each database was initially for the phrase “public health*”, (the asterisk was included to ensure that public health</w:t>
      </w:r>
      <w:r w:rsidRPr="00F10391">
        <w:rPr>
          <w:i/>
        </w:rPr>
        <w:t>care</w:t>
      </w:r>
      <w:r w:rsidRPr="00F10391">
        <w:t xml:space="preserve"> would also be included in the results) with any of the many possible spellings and sub-categories of MCDA. The complete text from the PubMed search was:</w:t>
      </w:r>
    </w:p>
    <w:p w14:paraId="748A92E0" w14:textId="77777777" w:rsidR="00D22CE3" w:rsidRPr="00F10391" w:rsidRDefault="00D22CE3">
      <w:pPr>
        <w:ind w:left="720"/>
        <w:rPr>
          <w:rStyle w:val="apple-style-span"/>
          <w:color w:val="FF0000"/>
        </w:rPr>
      </w:pPr>
      <w:r w:rsidRPr="00F10391">
        <w:rPr>
          <w:rStyle w:val="apple-style-span"/>
          <w:color w:val="000000"/>
        </w:rPr>
        <w:t xml:space="preserve">(((((((((((("multicriteria decision analy*") OR "multi-criteria decision analy*") OR "multi criteria decision analy*") OR "multiple criteria decision analy*") OR "MCDA") OR "MCDM") OR "multicriteria decision-making") OR "multi-criteria decision-making") OR "multi criteria decision-making") OR "multiple criteria decision-making") OR “PBMA”) OR "programme budgeting and marginal analy*”) AND "public health*" </w:t>
      </w:r>
    </w:p>
    <w:p w14:paraId="03318FE4" w14:textId="77777777" w:rsidR="00D22CE3" w:rsidRPr="00F10391" w:rsidRDefault="00D22CE3" w:rsidP="00494A9A">
      <w:pPr>
        <w:rPr>
          <w:rStyle w:val="apple-style-span"/>
          <w:color w:val="000000"/>
        </w:rPr>
      </w:pPr>
      <w:r w:rsidRPr="00F10391">
        <w:rPr>
          <w:rStyle w:val="apple-style-span"/>
          <w:color w:val="000000"/>
        </w:rPr>
        <w:t>It was also decided that health interventions and preventative measures that help to define public health should also be included explicitly in case they were not found in the first search. As such a similar searching text was used:</w:t>
      </w:r>
    </w:p>
    <w:p w14:paraId="1F69E2B1" w14:textId="77777777" w:rsidR="00D22CE3" w:rsidRPr="00F10391" w:rsidRDefault="00D22CE3" w:rsidP="006A5AA3">
      <w:pPr>
        <w:ind w:left="720"/>
        <w:rPr>
          <w:rStyle w:val="apple-style-span"/>
          <w:color w:val="000000"/>
        </w:rPr>
      </w:pPr>
      <w:r w:rsidRPr="00F10391">
        <w:rPr>
          <w:rStyle w:val="apple-style-span"/>
          <w:color w:val="000000"/>
        </w:rPr>
        <w:t>(((((((((((("multicriteria decision analy*") OR "multi-criteria decision analy*") OR "multi criteria decision analy*") OR "multiple criteria decision analy*") OR "MCDA") OR "MCDM") OR "multicriteria decision-making") OR "multi-criteria decision-making") OR "multi criteria decision-making") OR "multiple criteria decision-making") OR “PBMA”) OR "programme budgeting and marginal analy*”) AND "health interventio*”</w:t>
      </w:r>
    </w:p>
    <w:p w14:paraId="3C2A5102" w14:textId="77777777" w:rsidR="00D22CE3" w:rsidRPr="00F10391" w:rsidRDefault="00D22CE3" w:rsidP="00494A9A">
      <w:pPr>
        <w:rPr>
          <w:rStyle w:val="apple-style-span"/>
          <w:color w:val="000000"/>
        </w:rPr>
      </w:pPr>
      <w:r w:rsidRPr="00F10391">
        <w:rPr>
          <w:rStyle w:val="apple-style-span"/>
          <w:color w:val="000000"/>
        </w:rPr>
        <w:t>It was not possible on the ISI Web of Knowledge site to search for such a long string, which instead required that a drop-down list approach be used. Papers were therefore identified using two short strings:</w:t>
      </w:r>
    </w:p>
    <w:p w14:paraId="3E7286C1" w14:textId="77777777" w:rsidR="00D22CE3" w:rsidRPr="00F10391" w:rsidRDefault="00D22CE3" w:rsidP="0063065F">
      <w:pPr>
        <w:ind w:firstLine="720"/>
        <w:rPr>
          <w:rStyle w:val="apple-style-span"/>
          <w:color w:val="000000"/>
        </w:rPr>
      </w:pPr>
      <w:r w:rsidRPr="00F10391">
        <w:rPr>
          <w:rStyle w:val="apple-style-span"/>
          <w:color w:val="000000"/>
        </w:rPr>
        <w:t>(MCDA OR MCDM) AND (“Public health*” OR “Health intervention*”)</w:t>
      </w:r>
    </w:p>
    <w:p w14:paraId="4AA86976" w14:textId="77777777" w:rsidR="00D22CE3" w:rsidRPr="00F10391" w:rsidRDefault="00D22CE3" w:rsidP="006A5AA3">
      <w:pPr>
        <w:ind w:left="720"/>
        <w:rPr>
          <w:rStyle w:val="apple-style-span"/>
          <w:color w:val="000000"/>
        </w:rPr>
      </w:pPr>
      <w:r w:rsidRPr="00F10391">
        <w:rPr>
          <w:rStyle w:val="apple-style-span"/>
          <w:color w:val="000000"/>
        </w:rPr>
        <w:t>(PBMA OR “programme budgeting and marginal analy*”) AND (“Public health*” OR “Health intervention*”)</w:t>
      </w:r>
    </w:p>
    <w:p w14:paraId="39E2BB6B" w14:textId="77777777" w:rsidR="00D22CE3" w:rsidRPr="00F10391" w:rsidRDefault="00D22CE3" w:rsidP="00494A9A">
      <w:r w:rsidRPr="00F10391">
        <w:t>This reduced search was justified on the basis that it would be unlikely (though not impossible) that papers discussing MCDA approaches in this context would not use any of these acronyms throughout the entire length of the article. To ensure the widest possible variety of papers would be available for review, no threshold was imposed to limit the timeframe from which the papers were first published. The publication dates for the included papers described in this section ranged from 1995 to 2012.</w:t>
      </w:r>
    </w:p>
    <w:p w14:paraId="4A3CD2C2" w14:textId="77777777" w:rsidR="00D22CE3" w:rsidRPr="00F10391" w:rsidRDefault="00D22CE3" w:rsidP="00494A9A">
      <w:bookmarkStart w:id="234" w:name="_Toc303953407"/>
    </w:p>
    <w:p w14:paraId="1A6E42FB" w14:textId="77777777" w:rsidR="00D22CE3" w:rsidRPr="00F10391" w:rsidRDefault="00D22CE3" w:rsidP="00494A9A">
      <w:pPr>
        <w:pStyle w:val="Heading4"/>
      </w:pPr>
      <w:bookmarkStart w:id="235" w:name="_Toc283984113"/>
      <w:bookmarkStart w:id="236" w:name="_Toc304640203"/>
      <w:bookmarkStart w:id="237" w:name="_Toc441508944"/>
      <w:bookmarkStart w:id="238" w:name="_Toc453235382"/>
      <w:bookmarkStart w:id="239" w:name="_Toc453595455"/>
      <w:bookmarkStart w:id="240" w:name="_Toc476241552"/>
      <w:r w:rsidRPr="00F10391">
        <w:lastRenderedPageBreak/>
        <w:t>3.3.4</w:t>
      </w:r>
      <w:r w:rsidRPr="00F10391">
        <w:tab/>
      </w:r>
      <w:r w:rsidRPr="00F10391">
        <w:tab/>
        <w:t>Data synthesis</w:t>
      </w:r>
      <w:bookmarkEnd w:id="234"/>
      <w:bookmarkEnd w:id="235"/>
      <w:bookmarkEnd w:id="236"/>
      <w:bookmarkEnd w:id="237"/>
      <w:bookmarkEnd w:id="238"/>
      <w:bookmarkEnd w:id="239"/>
      <w:bookmarkEnd w:id="240"/>
    </w:p>
    <w:p w14:paraId="130C5D3F" w14:textId="77777777" w:rsidR="00D22CE3" w:rsidRPr="00F10391" w:rsidRDefault="00D22CE3" w:rsidP="00490B5D">
      <w:r w:rsidRPr="00F10391">
        <w:t>As previously described, a meta-analysis was not feasible for this review due to the variety of approaches used and the fact that the defined outcome of the review was effectively a broad description of the relevant papers. As such, a narrative synthesis has been used throughout to present the results in the most meaningful and systematic way possible. The review is structured according to the family of the approach defined in the previous chapter.</w:t>
      </w:r>
    </w:p>
    <w:p w14:paraId="5C61E6FE" w14:textId="77777777" w:rsidR="00D22CE3" w:rsidRPr="00F10391" w:rsidRDefault="00D22CE3" w:rsidP="00490B5D">
      <w:bookmarkStart w:id="241" w:name="_Toc283984114"/>
      <w:bookmarkStart w:id="242" w:name="_Toc304640204"/>
    </w:p>
    <w:p w14:paraId="32E78573" w14:textId="77777777" w:rsidR="00D22CE3" w:rsidRPr="00F10391" w:rsidRDefault="00D22CE3" w:rsidP="006A5AA3">
      <w:pPr>
        <w:pStyle w:val="Heading3"/>
      </w:pPr>
      <w:bookmarkStart w:id="243" w:name="_Toc441508945"/>
      <w:bookmarkStart w:id="244" w:name="_Toc453235383"/>
      <w:bookmarkStart w:id="245" w:name="_Toc453595456"/>
      <w:bookmarkStart w:id="246" w:name="_Toc476241553"/>
      <w:r w:rsidRPr="00F10391">
        <w:t>3.</w:t>
      </w:r>
      <w:bookmarkStart w:id="247" w:name="_Toc303953408"/>
      <w:r w:rsidRPr="00F10391">
        <w:t>4</w:t>
      </w:r>
      <w:r w:rsidRPr="00F10391">
        <w:tab/>
      </w:r>
      <w:r w:rsidRPr="00F10391">
        <w:tab/>
        <w:t>Results</w:t>
      </w:r>
      <w:bookmarkEnd w:id="241"/>
      <w:bookmarkEnd w:id="242"/>
      <w:bookmarkEnd w:id="243"/>
      <w:bookmarkEnd w:id="244"/>
      <w:bookmarkEnd w:id="245"/>
      <w:bookmarkEnd w:id="246"/>
      <w:bookmarkEnd w:id="247"/>
    </w:p>
    <w:p w14:paraId="76F76B2F" w14:textId="77777777" w:rsidR="00D22CE3" w:rsidRPr="00F10391" w:rsidRDefault="00D22CE3" w:rsidP="006942ED"/>
    <w:p w14:paraId="0CD7E52F" w14:textId="77777777" w:rsidR="00D22CE3" w:rsidRPr="00F10391" w:rsidRDefault="00D22CE3">
      <w:r w:rsidRPr="00F10391">
        <w:t xml:space="preserve">Literature searches were conducted in two databases: MEDLINE and the ISI Web of Knowledge, using the search strategy presented in the Methods section. 93 papers were found in the 2011 review, of which fifteen were duplicates. After several stages of pruning shown in Figure 3.1 (and Appendix C), 18 suitable papers were initially identified. </w:t>
      </w:r>
    </w:p>
    <w:p w14:paraId="51800055" w14:textId="7AFFB4DE" w:rsidR="00D22CE3" w:rsidRPr="00F10391" w:rsidRDefault="00D22CE3">
      <w:pPr>
        <w:pStyle w:val="Caption"/>
      </w:pPr>
      <w:bookmarkStart w:id="248" w:name="_Toc283984227"/>
      <w:bookmarkStart w:id="249" w:name="_Toc444180809"/>
      <w:bookmarkStart w:id="250" w:name="_Toc476241446"/>
      <w:r w:rsidRPr="00F10391">
        <w:t xml:space="preserve">Figure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PRISMA flowchart of search process, including original 2011 search (left and centre) and subsequent 2013 revision (right), using a pearl growing strategy</w:t>
      </w:r>
      <w:bookmarkEnd w:id="248"/>
      <w:bookmarkEnd w:id="249"/>
      <w:bookmarkEnd w:id="250"/>
      <w:r w:rsidRPr="00F10391">
        <w:t xml:space="preserve"> </w:t>
      </w:r>
    </w:p>
    <w:p w14:paraId="3699A8ED" w14:textId="77777777" w:rsidR="00D22CE3" w:rsidRPr="00F10391" w:rsidRDefault="00D22CE3">
      <w:r w:rsidRPr="00F10391">
        <w:rPr>
          <w:noProof/>
          <w:lang w:val="en-IE" w:eastAsia="en-IE"/>
        </w:rPr>
        <w:drawing>
          <wp:inline distT="0" distB="0" distL="0" distR="0" wp14:anchorId="3158F84A" wp14:editId="3D3A0B0C">
            <wp:extent cx="5730875" cy="37801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780155"/>
                    </a:xfrm>
                    <a:prstGeom prst="rect">
                      <a:avLst/>
                    </a:prstGeom>
                    <a:noFill/>
                  </pic:spPr>
                </pic:pic>
              </a:graphicData>
            </a:graphic>
          </wp:inline>
        </w:drawing>
      </w:r>
    </w:p>
    <w:p w14:paraId="3FF26317" w14:textId="77777777" w:rsidR="00D22CE3" w:rsidRPr="00F10391" w:rsidRDefault="00D22CE3">
      <w:pPr>
        <w:pStyle w:val="Caption"/>
      </w:pPr>
    </w:p>
    <w:p w14:paraId="50D03EC6" w14:textId="77777777" w:rsidR="00D22CE3" w:rsidRPr="00F10391" w:rsidRDefault="00D22CE3">
      <w:r w:rsidRPr="00F10391">
        <w:t>At the time of the 2011 search, 24 full-text articles were screened for eligibility and 6 were not included in that review:</w:t>
      </w:r>
    </w:p>
    <w:p w14:paraId="60050E77" w14:textId="77777777" w:rsidR="00D22CE3" w:rsidRPr="00F10391" w:rsidRDefault="00D22CE3">
      <w:pPr>
        <w:pStyle w:val="ListParagraph"/>
        <w:numPr>
          <w:ilvl w:val="0"/>
          <w:numId w:val="18"/>
        </w:numPr>
      </w:pPr>
      <w:r w:rsidRPr="00F10391">
        <w:t xml:space="preserve">2 of these related to industrial processes in which public health outcomes were secondary objectives, if objectives at all </w:t>
      </w:r>
      <w:r w:rsidRPr="00F10391">
        <w:fldChar w:fldCharType="begin">
          <w:fldData xml:space="preserve">PEVuZE5vdGU+PENpdGU+PEF1dGhvcj5Cb3JzdWs8L0F1dGhvcj48WWVhcj4yMDA4PC9ZZWFyPjxS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==
</w:fldData>
        </w:fldChar>
      </w:r>
      <w:r w:rsidR="00700267">
        <w:instrText xml:space="preserve"> ADDIN EN.CITE </w:instrText>
      </w:r>
      <w:r w:rsidR="00700267">
        <w:fldChar w:fldCharType="begin">
          <w:fldData xml:space="preserve">PEVuZE5vdGU+PENpdGU+PEF1dGhvcj5Cb3JzdWs8L0F1dGhvcj48WWVhcj4yMDA4PC9ZZWFyPjxS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==
</w:fldData>
        </w:fldChar>
      </w:r>
      <w:r w:rsidR="00700267">
        <w:instrText xml:space="preserve"> ADDIN EN.CITE.DATA </w:instrText>
      </w:r>
      <w:r w:rsidR="00700267">
        <w:fldChar w:fldCharType="end"/>
      </w:r>
      <w:r w:rsidRPr="00F10391">
        <w:fldChar w:fldCharType="separate"/>
      </w:r>
      <w:r w:rsidR="00700267">
        <w:rPr>
          <w:noProof/>
        </w:rPr>
        <w:t>[157, 158]</w:t>
      </w:r>
      <w:r w:rsidRPr="00F10391">
        <w:fldChar w:fldCharType="end"/>
      </w:r>
      <w:r w:rsidRPr="00F10391">
        <w:t xml:space="preserve">. </w:t>
      </w:r>
    </w:p>
    <w:p w14:paraId="3D08D195" w14:textId="77777777" w:rsidR="00D22CE3" w:rsidRPr="00F10391" w:rsidRDefault="00D22CE3">
      <w:pPr>
        <w:pStyle w:val="ListParagraph"/>
        <w:numPr>
          <w:ilvl w:val="0"/>
          <w:numId w:val="18"/>
        </w:numPr>
      </w:pPr>
      <w:r w:rsidRPr="00F10391">
        <w:lastRenderedPageBreak/>
        <w:t xml:space="preserve">1 paper described statistical associations between socio-economic and demographic factors and mortality but was not explicitly about priority setting </w:t>
      </w:r>
      <w:r w:rsidRPr="00F10391">
        <w:fldChar w:fldCharType="begin"/>
      </w:r>
      <w:r w:rsidR="00700267">
        <w:instrText xml:space="preserve"> ADDIN EN.CITE &lt;EndNote&gt;&lt;Cite&gt;&lt;Author&gt;Vasconcelos&lt;/Author&gt;&lt;Year&gt;2001&lt;/Year&gt;&lt;RecNum&gt;274&lt;/RecNum&gt;&lt;DisplayText&gt;[159]&lt;/DisplayText&gt;&lt;record&gt;&lt;rec-number&gt;274&lt;/rec-number&gt;&lt;foreign-keys&gt;&lt;key app="EN" db-id="sz9092dv2s5fpze9wpgx0zxgv5ar00aezrvf" timestamp="0"&gt;274&lt;/key&gt;&lt;/foreign-keys&gt;&lt;ref-type name="Journal Article"&gt;17&lt;/ref-type&gt;&lt;contributors&gt;&lt;authors&gt;&lt;author&gt;Vasconcelos, Ana GG&lt;/author&gt;&lt;author&gt;Almeida, Renan&lt;/author&gt;&lt;author&gt;Nobre, Flávio F&lt;/author&gt;&lt;/authors&gt;&lt;/contributors&gt;&lt;titles&gt;&lt;title&gt;Path analysis and multi-criteria decision making: an approach for multivariate model selection and analysis in health&lt;/title&gt;&lt;secondary-title&gt;Annals of epidemiology&lt;/secondary-title&gt;&lt;/titles&gt;&lt;pages&gt;377-384&lt;/pages&gt;&lt;volume&gt;11&lt;/volume&gt;&lt;number&gt;6&lt;/number&gt;&lt;dates&gt;&lt;year&gt;2001&lt;/year&gt;&lt;/dates&gt;&lt;isbn&gt;1047-2797&lt;/isbn&gt;&lt;urls&gt;&lt;related-urls&gt;&lt;url&gt;http://ac.els-cdn.com/S1047279701002320/1-s2.0-S1047279701002320-main.pdf?_tid=22df3646-9592-11e4-bc8e-00000aab0f02&amp;amp;acdnat=1420541741_357f02af289d604ac840b7b9cad4f55d&lt;/url&gt;&lt;url&gt;http://www.annalsofepidemiology.org/article/S1047-2797(01)00232-0/abstract&lt;/url&gt;&lt;/related-urls&gt;&lt;/urls&gt;&lt;/record&gt;&lt;/Cite&gt;&lt;/EndNote&gt;</w:instrText>
      </w:r>
      <w:r w:rsidRPr="00F10391">
        <w:fldChar w:fldCharType="separate"/>
      </w:r>
      <w:r w:rsidR="00700267">
        <w:rPr>
          <w:noProof/>
        </w:rPr>
        <w:t>[159]</w:t>
      </w:r>
      <w:r w:rsidRPr="00F10391">
        <w:fldChar w:fldCharType="end"/>
      </w:r>
      <w:r w:rsidRPr="00F10391">
        <w:t>.</w:t>
      </w:r>
    </w:p>
    <w:p w14:paraId="165D1F9E" w14:textId="2AFA1166" w:rsidR="00D22CE3" w:rsidRPr="00F10391" w:rsidRDefault="00D22CE3">
      <w:pPr>
        <w:pStyle w:val="ListParagraph"/>
        <w:numPr>
          <w:ilvl w:val="0"/>
          <w:numId w:val="18"/>
        </w:numPr>
      </w:pPr>
      <w:r w:rsidRPr="00F10391">
        <w:t xml:space="preserve">1 paper related to what were public health approaches for animals using MCDA </w:t>
      </w:r>
      <w:r w:rsidRPr="00F10391">
        <w:fldChar w:fldCharType="begin"/>
      </w:r>
      <w:r w:rsidR="00700267">
        <w:instrText xml:space="preserve"> ADDIN EN.CITE &lt;EndNote&gt;&lt;Cite&gt;&lt;Author&gt;Mourits&lt;/Author&gt;&lt;Year&gt;2010&lt;/Year&gt;&lt;RecNum&gt;275&lt;/RecNum&gt;&lt;DisplayText&gt;[160]&lt;/DisplayText&gt;&lt;record&gt;&lt;rec-number&gt;275&lt;/rec-number&gt;&lt;foreign-keys&gt;&lt;key app="EN" db-id="sz9092dv2s5fpze9wpgx0zxgv5ar00aezrvf" timestamp="0"&gt;275&lt;/key&gt;&lt;/foreign-keys&gt;&lt;ref-type name="Journal Article"&gt;17&lt;/ref-type&gt;&lt;contributors&gt;&lt;authors&gt;&lt;author&gt;Mourits, MCM&lt;/author&gt;&lt;author&gt;Van Asseldonk, MAPM&lt;/author&gt;&lt;author&gt;Huirne, RBM&lt;/author&gt;&lt;/authors&gt;&lt;/contributors&gt;&lt;titles&gt;&lt;title&gt;Multi Criteria Decision Making to evaluate control strategies of contagious animal diseases&lt;/title&gt;&lt;secondary-title&gt;Preventive veterinary medicine&lt;/secondary-title&gt;&lt;/titles&gt;&lt;pages&gt;201-210&lt;/pages&gt;&lt;volume&gt;96&lt;/volume&gt;&lt;number&gt;3&lt;/number&gt;&lt;dates&gt;&lt;year&gt;2010&lt;/year&gt;&lt;/dates&gt;&lt;isbn&gt;0167-5877&lt;/isbn&gt;&lt;urls&gt;&lt;/urls&gt;&lt;/record&gt;&lt;/Cite&gt;&lt;/EndNote&gt;</w:instrText>
      </w:r>
      <w:r w:rsidRPr="00F10391">
        <w:fldChar w:fldCharType="separate"/>
      </w:r>
      <w:r w:rsidR="00700267">
        <w:rPr>
          <w:noProof/>
        </w:rPr>
        <w:t>[160]</w:t>
      </w:r>
      <w:r w:rsidRPr="00F10391">
        <w:fldChar w:fldCharType="end"/>
      </w:r>
      <w:r w:rsidRPr="00F10391">
        <w:t xml:space="preserve">. It was decided that it was implied from the beginning that the </w:t>
      </w:r>
      <w:r w:rsidR="00C4401A">
        <w:t>‘</w:t>
      </w:r>
      <w:r w:rsidRPr="00F10391">
        <w:t>public health</w:t>
      </w:r>
      <w:r w:rsidR="00C4401A">
        <w:t>’</w:t>
      </w:r>
      <w:r w:rsidRPr="00F10391">
        <w:t xml:space="preserve"> definition for this review related to humans alone (even if this had not been explicitly stated).</w:t>
      </w:r>
    </w:p>
    <w:p w14:paraId="0D92A5C0" w14:textId="77777777" w:rsidR="00D22CE3" w:rsidRPr="00F10391" w:rsidRDefault="00D22CE3">
      <w:pPr>
        <w:pStyle w:val="ListParagraph"/>
        <w:numPr>
          <w:ilvl w:val="0"/>
          <w:numId w:val="18"/>
        </w:numPr>
      </w:pPr>
      <w:r w:rsidRPr="00F10391">
        <w:t xml:space="preserve">“Communitarian claims and community capabilities: furthering priority setting?” </w:t>
      </w:r>
      <w:r w:rsidRPr="00F10391">
        <w:fldChar w:fldCharType="begin"/>
      </w:r>
      <w:r w:rsidR="00700267">
        <w:instrText xml:space="preserve"> ADDIN EN.CITE &lt;EndNote&gt;&lt;Cite&gt;&lt;Author&gt;Mooney&lt;/Author&gt;&lt;Year&gt;2005&lt;/Year&gt;&lt;RecNum&gt;276&lt;/RecNum&gt;&lt;DisplayText&gt;[161]&lt;/DisplayText&gt;&lt;record&gt;&lt;rec-number&gt;276&lt;/rec-number&gt;&lt;foreign-keys&gt;&lt;key app="EN" db-id="sz9092dv2s5fpze9wpgx0zxgv5ar00aezrvf" timestamp="0"&gt;276&lt;/key&gt;&lt;/foreign-keys&gt;&lt;ref-type name="Journal Article"&gt;17&lt;/ref-type&gt;&lt;contributors&gt;&lt;authors&gt;&lt;author&gt;Mooney, Gavin&lt;/author&gt;&lt;/authors&gt;&lt;/contributors&gt;&lt;titles&gt;&lt;title&gt;Communitarian claims and community capabilities: furthering priority setting?&lt;/title&gt;&lt;secondary-title&gt;Social Science &amp;amp; Medicine&lt;/secondary-title&gt;&lt;/titles&gt;&lt;periodical&gt;&lt;full-title&gt;Social science &amp;amp; medicine&lt;/full-title&gt;&lt;/periodical&gt;&lt;pages&gt;247-255&lt;/pages&gt;&lt;volume&gt;60&lt;/volume&gt;&lt;number&gt;2&lt;/number&gt;&lt;dates&gt;&lt;year&gt;2005&lt;/year&gt;&lt;/dates&gt;&lt;isbn&gt;0277-9536&lt;/isbn&gt;&lt;urls&gt;&lt;related-urls&gt;&lt;url&gt;http://www.sciencedirect.com/science/article/pii/S0277953604002242&lt;/url&gt;&lt;/related-urls&gt;&lt;/urls&gt;&lt;/record&gt;&lt;/Cite&gt;&lt;/EndNote&gt;</w:instrText>
      </w:r>
      <w:r w:rsidRPr="00F10391">
        <w:fldChar w:fldCharType="separate"/>
      </w:r>
      <w:r w:rsidR="00700267">
        <w:rPr>
          <w:noProof/>
        </w:rPr>
        <w:t>[161]</w:t>
      </w:r>
      <w:r w:rsidRPr="00F10391">
        <w:fldChar w:fldCharType="end"/>
      </w:r>
      <w:r w:rsidRPr="00F10391">
        <w:t xml:space="preserve"> offered a philosophical critique of PBMA but this was not felt to be compatible with the purposes of the project. </w:t>
      </w:r>
    </w:p>
    <w:p w14:paraId="4DED76D0" w14:textId="77777777" w:rsidR="00D22CE3" w:rsidRPr="00F10391" w:rsidRDefault="00D22CE3">
      <w:pPr>
        <w:pStyle w:val="ListParagraph"/>
        <w:numPr>
          <w:ilvl w:val="0"/>
          <w:numId w:val="18"/>
        </w:numPr>
      </w:pPr>
      <w:r w:rsidRPr="00F10391">
        <w:t xml:space="preserve">“Resource allocation in health care: Health economics and beyond” </w:t>
      </w:r>
      <w:r w:rsidRPr="00F10391">
        <w:fldChar w:fldCharType="begin"/>
      </w:r>
      <w:r w:rsidR="00700267">
        <w:instrText xml:space="preserve"> ADDIN EN.CITE &lt;EndNote&gt;&lt;Cite&gt;&lt;Author&gt;Mitton&lt;/Author&gt;&lt;Year&gt;2003&lt;/Year&gt;&lt;RecNum&gt;277&lt;/RecNum&gt;&lt;DisplayText&gt;[162]&lt;/DisplayText&gt;&lt;record&gt;&lt;rec-number&gt;277&lt;/rec-number&gt;&lt;foreign-keys&gt;&lt;key app="EN" db-id="sz9092dv2s5fpze9wpgx0zxgv5ar00aezrvf" timestamp="0"&gt;277&lt;/key&gt;&lt;/foreign-keys&gt;&lt;ref-type name="Journal Article"&gt;17&lt;/ref-type&gt;&lt;contributors&gt;&lt;authors&gt;&lt;author&gt;Mitton, Craig&lt;/author&gt;&lt;author&gt;Donaldson, Cam&lt;/author&gt;&lt;/authors&gt;&lt;/contributors&gt;&lt;titles&gt;&lt;title&gt;Resource allocation in health care: health economics and beyond&lt;/title&gt;&lt;secondary-title&gt;Health Care Analysis&lt;/secondary-title&gt;&lt;/titles&gt;&lt;pages&gt;245-257&lt;/pages&gt;&lt;volume&gt;11&lt;/volume&gt;&lt;number&gt;3&lt;/number&gt;&lt;dates&gt;&lt;year&gt;2003&lt;/year&gt;&lt;/dates&gt;&lt;isbn&gt;1065-3058&lt;/isbn&gt;&lt;urls&gt;&lt;related-urls&gt;&lt;url&gt;http://download.springer.com/static/pdf/325/art%253A10.1023%252FB%253AHCAN.0000005496.74131.a0.pdf?auth66=1420541565_1150baab62a1ad1523f21934a2e515ad&amp;amp;ext=.pdf&lt;/url&gt;&lt;url&gt;http://download.springer.com/static/pdf/325/art%253A10.1023%252FB%253AHCAN.0000005496.74131.a0.pdf?originUrl=http%3A%2F%2Flink.springer.com%2Farticle%2F10.1023%2FB%3AHCAN.0000005496.74131.a0&amp;amp;token2=exp=1457715086~acl=%2Fstatic%2Fpdf%2F325%2Fart%25253A10.1023%25252FB%25253AHCAN.0000005496.74131.a0.pdf%3ForiginUrl%3Dhttp%253A%252F%252Flink.springer.com%252Farticle%252F10.1023%252FB%253AHCAN.0000005496.74131.a0*~hmac=038ea32e229a64cedc63245cab6bc42ddbe92a1f1484d8edf16561d46ec84afe&lt;/url&gt;&lt;/related-urls&gt;&lt;/urls&gt;&lt;/record&gt;&lt;/Cite&gt;&lt;/EndNote&gt;</w:instrText>
      </w:r>
      <w:r w:rsidRPr="00F10391">
        <w:fldChar w:fldCharType="separate"/>
      </w:r>
      <w:r w:rsidR="00700267">
        <w:rPr>
          <w:noProof/>
        </w:rPr>
        <w:t>[162]</w:t>
      </w:r>
      <w:r w:rsidRPr="00F10391">
        <w:fldChar w:fldCharType="end"/>
      </w:r>
      <w:r w:rsidRPr="00F10391">
        <w:t>, employed a new approach (‘macro-marginal analysis’) and it was unclear whether or not it could be classified reliably as an MCDA; as such, the paper was rejected.</w:t>
      </w:r>
    </w:p>
    <w:p w14:paraId="29F3EF04" w14:textId="77777777" w:rsidR="00D22CE3" w:rsidRPr="00F10391" w:rsidRDefault="00D22CE3">
      <w:r w:rsidRPr="00F10391">
        <w:t xml:space="preserve">The majority of the papers focussed on application of these approaches in the UK, Canada, Australia or New Zealand, who share similar cultures in healthcare and elsewhere. However one was set in Brazil </w:t>
      </w:r>
      <w:r w:rsidRPr="00F10391">
        <w:fldChar w:fldCharType="begin"/>
      </w:r>
      <w:r w:rsidR="00700267">
        <w:instrText xml:space="preserve"> ADDIN EN.CITE &lt;EndNote&gt;&lt;Cite&gt;&lt;Author&gt;Nobre&lt;/Author&gt;&lt;Year&gt;1999&lt;/Year&gt;&lt;RecNum&gt;105&lt;/RecNum&gt;&lt;DisplayText&gt;[163]&lt;/DisplayText&gt;&lt;record&gt;&lt;rec-number&gt;105&lt;/rec-number&gt;&lt;foreign-keys&gt;&lt;key app="EN" db-id="sz9092dv2s5fpze9wpgx0zxgv5ar00aezrvf" timestamp="0"&gt;105&lt;/key&gt;&lt;/foreign-keys&gt;&lt;ref-type name="Journal Article"&gt;17&lt;/ref-type&gt;&lt;contributors&gt;&lt;authors&gt;&lt;author&gt;Nobre, Flavio Fonseca&lt;/author&gt;&lt;author&gt;Trotta, Lilian Terezinha Ferreira&lt;/author&gt;&lt;author&gt;Gomes, Luiz Flavio Autran Monteiro&lt;/author&gt;&lt;/authors&gt;&lt;/contributors&gt;&lt;titles&gt;&lt;</w:instrText>
      </w:r>
      <w:r w:rsidR="00700267">
        <w:rPr>
          <w:rFonts w:hint="eastAsia"/>
        </w:rPr>
        <w:instrText>title&gt;Multi</w:instrText>
      </w:r>
      <w:r w:rsidR="00700267">
        <w:rPr>
          <w:rFonts w:hint="eastAsia"/>
        </w:rPr>
        <w:instrText>‐</w:instrText>
      </w:r>
      <w:r w:rsidR="00700267">
        <w:rPr>
          <w:rFonts w:hint="eastAsia"/>
        </w:rPr>
        <w:instrText>criteria decision making</w:instrText>
      </w:r>
      <w:r w:rsidR="00700267">
        <w:rPr>
          <w:rFonts w:hint="eastAsia"/>
        </w:rPr>
        <w:instrText>–</w:instrText>
      </w:r>
      <w:r w:rsidR="00700267">
        <w:rPr>
          <w:rFonts w:hint="eastAsia"/>
        </w:rPr>
        <w:instrText xml:space="preserve"> an approach to setting priorities in health care&lt;/title&gt;&lt;secondary-title&gt;Statistics in medicine&lt;/secondary-title&gt;&lt;/titles&gt;&lt;pages&gt;3345-3354&lt;/pages&gt;&lt;volume&gt;18&lt;/volume&gt;&lt;number&gt;23&lt;/number&gt;&lt;dates&gt;&lt;year&gt;1999&lt;/year&gt;&lt;/dates&gt;&lt;</w:instrText>
      </w:r>
      <w:r w:rsidR="00700267">
        <w:instrText>isbn&gt;0277-6715&lt;/isbn&gt;&lt;urls&gt;&lt;related-urls&gt;&lt;url&gt;http://onlinelibrary.wiley.com/doi/10.1002/(SICI)1097-0258(19991215)18:23%3C3345::AID-SIM321%3E3.0.CO;2-7/abstract&lt;/url&gt;&lt;url&gt;http://onlinelibrary.wiley.com/store/10.1002/(SICI)1097-0258(19991215)18:23%3C3345::AID-SIM321%3E3.0.CO;2-7/asset/321_ftp.pdf?v=1&amp;amp;t=i4h4b033&amp;amp;s=6b4f1cf4bd663a585f527b96aa67c591b660c878&lt;/url&gt;&lt;url&gt;http://onlinelibrary.wiley.com/doi/10.1002/(SICI)1097-0258(19991215)18:23&amp;lt;3345::AID-SIM321&amp;gt;3.0.CO;2-7/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[163]</w:t>
      </w:r>
      <w:r w:rsidRPr="00F10391">
        <w:fldChar w:fldCharType="end"/>
      </w:r>
      <w:r w:rsidRPr="00F10391">
        <w:t xml:space="preserve">, another in Iran </w:t>
      </w:r>
      <w:r w:rsidRPr="00F10391">
        <w:fldChar w:fldCharType="begin"/>
      </w:r>
      <w:r w:rsidR="00700267">
        <w:instrText xml:space="preserve"> ADDIN EN.CITE &lt;EndNote&gt;&lt;Cite&gt;&lt;Author&gt;Vahidnia&lt;/Author&gt;&lt;Year&gt;2009&lt;/Year&gt;&lt;RecNum&gt;196&lt;/RecNum&gt;&lt;DisplayText&gt;[164]&lt;/DisplayText&gt;&lt;record&gt;&lt;rec-number&gt;196&lt;/rec-number&gt;&lt;foreign-keys&gt;&lt;key app="EN" db-id="sz9092dv2s5fpze9wpgx0zxgv5ar00aezrvf" timestamp="0"&gt;196&lt;/key&gt;&lt;/foreign-keys&gt;&lt;ref-type name="Journal Article"&gt;17&lt;/ref-type&gt;&lt;contributors&gt;&lt;authors&gt;&lt;author&gt;Vahidnia, MH; Alesheikh, AA; Alimohammadi, A&lt;/author&gt;&lt;/authors&gt;&lt;/contributors&gt;&lt;titles&gt;&lt;title&gt;Hospital site selection using fuzzy AHP and its derivatives. &lt;/title&gt;&lt;secondary-title&gt;Journal of Environmental Management&lt;/secondary-title&gt;&lt;/titles&gt;&lt;pages&gt;3048-3056 &lt;/pages&gt;&lt;volume&gt;90&lt;/volume&gt;&lt;number&gt;10&lt;/number&gt;&lt;dates&gt;&lt;year&gt;2009&lt;/year&gt;&lt;/dates&gt;&lt;urls&gt;&lt;related-urls&gt;&lt;url&gt;http://www.sciencedirect.com/science/article/pii/S0301479709001327&lt;/url&gt;&lt;url&gt;http://ac.els-cdn.com/S0301479709001327/1-s2.0-S0301479709001327-main.pdf?_tid=520ddb1a-9359-11e4-8a0a-00000aacb35f&amp;amp;acdnat=1420297436_b192af9fc8dfc18cff8b0c5d2cb7bc6c&lt;/url&gt;&lt;/related-urls&gt;&lt;/urls&gt;&lt;/record&gt;&lt;/Cite&gt;&lt;/EndNote&gt;</w:instrText>
      </w:r>
      <w:r w:rsidRPr="00F10391">
        <w:fldChar w:fldCharType="separate"/>
      </w:r>
      <w:r w:rsidR="00700267">
        <w:rPr>
          <w:noProof/>
        </w:rPr>
        <w:t>[164]</w:t>
      </w:r>
      <w:r w:rsidRPr="00F10391">
        <w:fldChar w:fldCharType="end"/>
      </w:r>
      <w:r w:rsidRPr="00F10391">
        <w:t xml:space="preserve">, while another discusses when best to employ MCDA techniques largely in the context of the developing world </w:t>
      </w:r>
      <w:r w:rsidRPr="00F10391">
        <w:fldChar w:fldCharType="begin"/>
      </w:r>
      <w:r w:rsidR="00700267">
        <w:instrText xml:space="preserve"> ADDIN EN.CITE &lt;EndNote&gt;&lt;Cite&gt;&lt;Author&gt;Baltussen&lt;/Author&gt;&lt;Year&gt;2010&lt;/Year&gt;&lt;RecNum&gt;9&lt;/RecNum&gt;&lt;DisplayText&gt;[165]&lt;/DisplayText&gt;&lt;record&gt;&lt;rec-number&gt;9&lt;/rec-number&gt;&lt;foreign-keys&gt;&lt;key app="EN" db-id="sz9092dv2s5fpze9wpgx0zxgv5ar00aezrvf" timestamp="0"&gt;9&lt;/key&gt;&lt;/foreign-keys&gt;&lt;ref-type name="Journal Article"&gt;17&lt;/ref-type&gt;&lt;contributors&gt;&lt;authors&gt;&lt;author&gt;Baltussen, Rob&lt;/author&gt;&lt;author&gt;Youngkong, Sitapon&lt;/author&gt;&lt;author&gt;Paolucci, Francesco&lt;/author&gt;&lt;author&gt;Niessen, Louis&lt;/author&gt;&lt;/authors&gt;&lt;/contributors&gt;&lt;titles&gt;&lt;title&gt;Multi-criteria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dates&gt;&lt;year&gt;2010&lt;/year&gt;&lt;/dates&gt;&lt;isbn&gt;0168-8510&lt;/isbn&gt;&lt;urls&gt;&lt;related-urls&gt;&lt;url&gt;http://www.healthpolicyjrnl.com/article/S0168-8510(10)00024-2/abstract&lt;/url&gt;&lt;url&gt;http://ac.els-cdn.com/S0168851010000242/1-s2.0-S0168851010000242-main.pdf?_tid=0964ae0c-9359-11e4-be50-00000aab0f26&amp;amp;acdnat=1420297314_a2769ca8c6aa0d2a1c25bfb55722bfe5&lt;/url&gt;&lt;/related-urls&gt;&lt;/urls&gt;&lt;/record&gt;&lt;/Cite&gt;&lt;/EndNote&gt;</w:instrText>
      </w:r>
      <w:r w:rsidRPr="00F10391">
        <w:fldChar w:fldCharType="separate"/>
      </w:r>
      <w:r w:rsidR="00700267">
        <w:rPr>
          <w:noProof/>
        </w:rPr>
        <w:t>[165]</w:t>
      </w:r>
      <w:r w:rsidRPr="00F10391">
        <w:fldChar w:fldCharType="end"/>
      </w:r>
      <w:r w:rsidRPr="00F10391">
        <w:t xml:space="preserve">. The papers cover a broad range of topics and are aimed at decision-makers at a variety of hierarchical levels within the healthcare system. </w:t>
      </w:r>
    </w:p>
    <w:p w14:paraId="0E25440C" w14:textId="77777777" w:rsidR="00D22CE3" w:rsidRPr="00F10391" w:rsidRDefault="00D22CE3">
      <w:bookmarkStart w:id="251" w:name="_Toc303953409"/>
      <w:r w:rsidRPr="00F10391">
        <w:t xml:space="preserve">6 further papers were investigated in early 2013 in order to ensure that the briefing paper for the Fuse project would reflect more recent advances and applications of the techniques. These were identified through pearl growing </w:t>
      </w:r>
      <w:r w:rsidRPr="00F10391">
        <w:fldChar w:fldCharType="begin"/>
      </w:r>
      <w:r w:rsidR="00700267">
        <w:instrText xml:space="preserve"> ADDIN EN.CITE &lt;EndNote&gt;&lt;Cite&gt;&lt;Author&gt;Papaioannou&lt;/Author&gt;&lt;Year&gt;2010&lt;/Year&gt;&lt;RecNum&gt;347&lt;/RecNum&gt;&lt;DisplayText&gt;[153]&lt;/DisplayText&gt;&lt;record&gt;&lt;rec-number&gt;347&lt;/rec-number&gt;&lt;foreign-keys&gt;&lt;key app="EN" db-id="sz9092dv2s5fpze9wpgx0zxgv5ar00aezrvf" timestamp="0"&gt;347&lt;/key&gt;&lt;/foreign-keys&gt;&lt;ref-type name="Journal Article"&gt;17&lt;/ref-type&gt;&lt;contributors&gt;&lt;authors&gt;&lt;author&gt;Papaioannou, Diana&lt;/author&gt;&lt;author&gt;Sutton, Anthea&lt;/author&gt;&lt;author&gt;Carroll, Christopher&lt;/author&gt;&lt;author&gt;Booth, Andrew&lt;/author&gt;&lt;author&gt;Wong, Ruth&lt;/author&gt;&lt;/authors&gt;&lt;/contributors&gt;&lt;titles&gt;&lt;title&gt;Literature searching for social science systematic reviews: consideration of a range of search techniques&lt;/title&gt;&lt;secondary-title&gt;Health Information &amp;amp; Libraries Journal&lt;/secondary-title&gt;&lt;/titles&gt;&lt;pages&gt;114-122&lt;/pages&gt;&lt;volume&gt;27&lt;/volume&gt;&lt;number&gt;2&lt;/number&gt;&lt;dates&gt;&lt;year&gt;2010&lt;/year&gt;&lt;/dates&gt;&lt;isbn&gt;1471-1842&lt;/isbn&gt;&lt;urls&gt;&lt;/urls&gt;&lt;/record&gt;&lt;/Cite&gt;&lt;/EndNote&gt;</w:instrText>
      </w:r>
      <w:r w:rsidRPr="00F10391">
        <w:fldChar w:fldCharType="separate"/>
      </w:r>
      <w:r w:rsidR="00700267">
        <w:rPr>
          <w:noProof/>
        </w:rPr>
        <w:t>[153]</w:t>
      </w:r>
      <w:r w:rsidRPr="00F10391">
        <w:fldChar w:fldCharType="end"/>
      </w:r>
      <w:r w:rsidRPr="00F10391">
        <w:t xml:space="preserve"> and are shown in the right-hand side of Figure 3.1. A proof of concept report by NICE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r w:rsidRPr="00F10391">
        <w:t>, which investigated alternative approaches to presenting public health interventions’ effectiveness at local government level is discussed in the next section. Three further papers investigating value measurement approaches were included:</w:t>
      </w:r>
    </w:p>
    <w:p w14:paraId="46B040CC" w14:textId="77777777" w:rsidR="00D22CE3" w:rsidRPr="00F10391" w:rsidRDefault="00D22CE3">
      <w:pPr>
        <w:pStyle w:val="ListParagraph"/>
        <w:numPr>
          <w:ilvl w:val="0"/>
          <w:numId w:val="42"/>
        </w:numPr>
      </w:pPr>
      <w:r w:rsidRPr="00F10391">
        <w:t xml:space="preserve">Two related papers describing a discrete choice experiment approach to prioritising public health spending </w:t>
      </w:r>
      <w:r w:rsidRPr="00F10391">
        <w:fldChar w:fldCharType="begin"/>
      </w:r>
      <w:r w:rsidR="00700267">
        <w:instrText xml:space="preserve"> ADDIN EN.CITE &lt;EndNote&gt;&lt;Cite&gt;&lt;Author&gt;Marsh&lt;/Author&gt;&lt;Year&gt;2013&lt;/Year&gt;&lt;RecNum&gt;90&lt;/RecNum&gt;&lt;DisplayText&gt;[167, 168]&lt;/DisplayText&gt;&lt;record&gt;&lt;rec-number&gt;90&lt;/rec-number&gt;&lt;foreign-keys&gt;&lt;key app="EN" db-id="sz9092dv2s5fpze9wpgx0zxgv5ar00aezrvf" timestamp="0"&gt;90&lt;/key&gt;&lt;/foreign-keys&gt;&lt;ref-type name="Journal Article"&gt;17&lt;/ref-type&gt;&lt;contributors&gt;&lt;authors&gt;&lt;author&gt;Marsh, K&lt;/author&gt;&lt;author&gt;Dolan, P&lt;/author&gt;&lt;author&gt;Kempster, J&lt;/author&gt;&lt;author&gt;Lugon, M&lt;/author&gt;&lt;/authors&gt;&lt;/contributors&gt;&lt;titles&gt;&lt;title&gt;Prioritizing investments in public health: a multi-criteria decision analysis&lt;/title&gt;&lt;secondary-title&gt;Journal of public health&lt;/secondary-title&gt;&lt;/titles&gt;&lt;periodical&gt;&lt;full-title&gt;Journal of public health&lt;/full-title&gt;&lt;/periodical&gt;&lt;pages&gt;460-466&lt;/pages&gt;&lt;volume&gt;35&lt;/volume&gt;&lt;number&gt;3&lt;/number&gt;&lt;dates&gt;&lt;year&gt;2013&lt;/year&gt;&lt;/dates&gt;&lt;isbn&gt;1741-3842&lt;/isbn&gt;&lt;urls&gt;&lt;related-urls&gt;&lt;url&gt;http://jpubhealth.oxfordjournals.org/content/35/3/460.full.pdf&lt;/url&gt;&lt;/related-urls&gt;&lt;/urls&gt;&lt;/record&gt;&lt;/Cite&gt;&lt;Cite&gt;&lt;Author&gt;Matrix Insight&lt;/Author&gt;&lt;Year&gt;2009&lt;/Year&gt;&lt;RecNum&gt;92&lt;/RecNum&gt;&lt;record&gt;&lt;rec-number&gt;92&lt;/rec-number&gt;&lt;foreign-keys&gt;&lt;key app="EN" db-id="sz9092dv2s5fpze9wpgx0zxgv5ar00aezrvf" timestamp="0"&gt;92&lt;/key&gt;&lt;/foreign-keys&gt;&lt;ref-type name="Journal Article"&gt;17&lt;/ref-type&gt;&lt;contributors&gt;&lt;authors&gt;&lt;author&gt;Matrix Insight, &lt;/author&gt;&lt;/authors&gt;&lt;/contributors&gt;&lt;titles&gt;&lt;title&gt;Prioritising investments in preventative health&lt;/title&gt;&lt;secondary-title&gt;Health England&lt;/secondary-title&gt;&lt;/titles&gt;&lt;dates&gt;&lt;year&gt;2009&lt;/year&gt;&lt;/dates&gt;&lt;urls&gt;&lt;/urls&gt;&lt;/record&gt;&lt;/Cite&gt;&lt;/EndNote&gt;</w:instrText>
      </w:r>
      <w:r w:rsidRPr="00F10391">
        <w:fldChar w:fldCharType="separate"/>
      </w:r>
      <w:r w:rsidR="00700267">
        <w:rPr>
          <w:noProof/>
        </w:rPr>
        <w:t>[167, 168]</w:t>
      </w:r>
      <w:r w:rsidRPr="00F10391">
        <w:fldChar w:fldCharType="end"/>
      </w:r>
      <w:r w:rsidRPr="00F10391">
        <w:t>.</w:t>
      </w:r>
    </w:p>
    <w:p w14:paraId="72B2B40A" w14:textId="77777777" w:rsidR="00D22CE3" w:rsidRPr="00F10391" w:rsidRDefault="00D22CE3">
      <w:pPr>
        <w:pStyle w:val="ListParagraph"/>
        <w:numPr>
          <w:ilvl w:val="0"/>
          <w:numId w:val="42"/>
        </w:numPr>
      </w:pPr>
      <w:r w:rsidRPr="00F10391">
        <w:t xml:space="preserve">An application of the simple multi-attribute rating technique (SMART) to evaluate the seriousness of disease areas to the public and policy makers </w:t>
      </w:r>
      <w:r w:rsidRPr="00F10391">
        <w:fldChar w:fldCharType="begin"/>
      </w:r>
      <w:r w:rsidR="00700267">
        <w:instrText xml:space="preserve"> ADDIN EN.CITE &lt;EndNote&gt;&lt;Cite&gt;&lt;Author&gt;Van Gennip&lt;/Author&gt;&lt;Year&gt;1997&lt;/Year&gt;&lt;RecNum&gt;147&lt;/RecNum&gt;&lt;DisplayText&gt;[169]&lt;/DisplayText&gt;&lt;record&gt;&lt;rec-number&gt;147&lt;/rec-number&gt;&lt;foreign-keys&gt;&lt;key app="EN" db-id="sz9092dv2s5fpze9wpgx0zxgv5ar00aezrvf" timestamp="0"&gt;147&lt;/key&gt;&lt;/foreign-keys&gt;&lt;ref-type name="Journal Article"&gt;17&lt;/ref-type&gt;&lt;contributors&gt;&lt;authors&gt;&lt;author&gt;Van Gennip, CEG&lt;/author&gt;&lt;author&gt;Hulshof, JAM&lt;/author&gt;&lt;author&gt;Lootsma, FA&lt;/author&gt;&lt;/authors&gt;&lt;/contributors&gt;&lt;titles&gt;&lt;title&gt;A multi-criteria evaluation of diseases in a study for public-health planning&lt;/title&gt;&lt;secondary-title&gt;European Journal of Operational Research&lt;/secondary-title&gt;&lt;/titles&gt;&lt;pages&gt;236-240&lt;/pages&gt;&lt;volume&gt;99&lt;/volume&gt;&lt;number&gt;2&lt;/number&gt;&lt;dates&gt;&lt;year&gt;1997&lt;/year&gt;&lt;/dates&gt;&lt;isbn&gt;0377-2217&lt;/isbn&gt;&lt;urls&gt;&lt;related-urls&gt;&lt;url&gt;http://www.sciencedirect.com/science/article/pii/S0377221796003293&lt;/url&gt;&lt;/related-urls&gt;&lt;/urls&gt;&lt;/record&gt;&lt;/Cite&gt;&lt;/EndNote&gt;</w:instrText>
      </w:r>
      <w:r w:rsidRPr="00F10391">
        <w:fldChar w:fldCharType="separate"/>
      </w:r>
      <w:r w:rsidR="00700267">
        <w:rPr>
          <w:noProof/>
        </w:rPr>
        <w:t>[169]</w:t>
      </w:r>
      <w:r w:rsidRPr="00F10391">
        <w:fldChar w:fldCharType="end"/>
      </w:r>
      <w:r w:rsidRPr="00F10391">
        <w:t>.</w:t>
      </w:r>
    </w:p>
    <w:p w14:paraId="4CB1CCFB" w14:textId="77777777" w:rsidR="00D22CE3" w:rsidRPr="00F10391" w:rsidRDefault="00D22CE3">
      <w:r w:rsidRPr="00F10391">
        <w:t xml:space="preserve">Two further papers </w:t>
      </w:r>
      <w:r w:rsidRPr="00F10391">
        <w:fldChar w:fldCharType="begin"/>
      </w:r>
      <w:r w:rsidR="00700267">
        <w:instrText xml:space="preserve"> ADDIN EN.CITE &lt;EndNote&gt;&lt;Cite&gt;&lt;Author&gt;Matrix Evidence&lt;/Author&gt;&lt;Year&gt;2009&lt;/Year&gt;&lt;RecNum&gt;180&lt;/RecNum&gt;&lt;DisplayText&gt;[170, 171]&lt;/DisplayText&gt;&lt;record&gt;&lt;rec-number&gt;180&lt;/rec-number&gt;&lt;foreign-keys&gt;&lt;key app="EN" db-id="sz9092dv2s5fpze9wpgx0zxgv5ar00aezrvf" timestamp="0"&gt;180&lt;/key&gt;&lt;/foreign-keys&gt;&lt;ref-type name="Report"&gt;27&lt;/ref-type&gt;&lt;contributors&gt;&lt;authors&gt;&lt;author&gt;Matrix Evidence,&lt;/author&gt;&lt;/authors&gt;&lt;/contributors&gt;&lt;titles&gt;&lt;title&gt;Valuing Health: developing a business case for health improvement - Final report.&lt;/title&gt;&lt;/titles&gt;&lt;dates&gt;&lt;year&gt;2009&lt;/year&gt;&lt;/dates&gt;&lt;publisher&gt;Improvement and Development Agency&lt;/publisher&gt;&lt;urls&gt;&lt;/urls&gt;&lt;/record&gt;&lt;/Cite&gt;&lt;Cite&gt;&lt;Author&gt;Matrix Insight&lt;/Author&gt;&lt;Year&gt;2011&lt;/Year&gt;&lt;RecNum&gt;181&lt;/RecNum&gt;&lt;record&gt;&lt;rec-number&gt;181&lt;/rec-number&gt;&lt;foreign-keys&gt;&lt;key app="EN" db-id="sz9092dv2s5fpze9wpgx0zxgv5ar00aezrvf" timestamp="0"&gt;181&lt;/key&gt;&lt;/foreign-keys&gt;&lt;ref-type name="Report"&gt;27&lt;/ref-type&gt;&lt;contributors&gt;&lt;authors&gt;&lt;author&gt;Matrix Insight,&lt;/author&gt;&lt;/authors&gt;&lt;/contributors&gt;&lt;titles&gt;&lt;title&gt;Business Case for Health and Wellbeing Pilot Programme - Final report&lt;/title&gt;&lt;/titles&gt;&lt;dates&gt;&lt;year&gt;2011&lt;/year&gt;&lt;/dates&gt;&lt;publisher&gt;Local Government Association&lt;/publisher&gt;&lt;urls&gt;&lt;/urls&gt;&lt;/record&gt;&lt;/Cite&gt;&lt;/EndNote&gt;</w:instrText>
      </w:r>
      <w:r w:rsidRPr="00F10391">
        <w:fldChar w:fldCharType="separate"/>
      </w:r>
      <w:r w:rsidR="00700267">
        <w:rPr>
          <w:noProof/>
        </w:rPr>
        <w:t>[170, 171]</w:t>
      </w:r>
      <w:r w:rsidRPr="00F10391">
        <w:fldChar w:fldCharType="end"/>
      </w:r>
      <w:r w:rsidRPr="00F10391">
        <w:t xml:space="preserve"> also formulated approaches to preparing business cases for public health interventions at local government level, but were deemed outside the scope of this review as they did not directly relate to MCDA techniques.</w:t>
      </w:r>
    </w:p>
    <w:p w14:paraId="5C11A202" w14:textId="77777777" w:rsidR="00D22CE3" w:rsidRPr="00F10391" w:rsidRDefault="00D22CE3"/>
    <w:p w14:paraId="2B8104FD" w14:textId="77777777" w:rsidR="00D22CE3" w:rsidRPr="00F10391" w:rsidRDefault="00D22CE3">
      <w:pPr>
        <w:pStyle w:val="Heading4"/>
      </w:pPr>
      <w:bookmarkStart w:id="252" w:name="_Toc283984115"/>
      <w:bookmarkStart w:id="253" w:name="_Toc304640205"/>
      <w:bookmarkStart w:id="254" w:name="_Toc441508946"/>
      <w:bookmarkStart w:id="255" w:name="_Toc453235384"/>
      <w:bookmarkStart w:id="256" w:name="_Toc453595457"/>
      <w:bookmarkStart w:id="257" w:name="_Toc476241554"/>
      <w:r w:rsidRPr="00F10391">
        <w:t>3.4.1</w:t>
      </w:r>
      <w:r w:rsidRPr="00F10391">
        <w:tab/>
      </w:r>
      <w:r w:rsidRPr="00F10391">
        <w:tab/>
        <w:t>Overall discussion papers</w:t>
      </w:r>
      <w:bookmarkEnd w:id="251"/>
      <w:bookmarkEnd w:id="252"/>
      <w:bookmarkEnd w:id="253"/>
      <w:bookmarkEnd w:id="254"/>
      <w:bookmarkEnd w:id="255"/>
      <w:bookmarkEnd w:id="256"/>
      <w:bookmarkEnd w:id="257"/>
    </w:p>
    <w:p w14:paraId="0FA924B8" w14:textId="77777777" w:rsidR="00D22CE3" w:rsidRPr="00F10391" w:rsidRDefault="00D22CE3">
      <w:r w:rsidRPr="00F10391">
        <w:t xml:space="preserve">Baltussen and Niessen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xml:space="preserve"> provide an overview of MCDA methods employed in healthcare settings. While the sharp rise in the cost of healthcare over the last decades and the increasing realisation of the need for evidence-based medicine approaches have made some form of cost-effectiveness analysis inevitable, the authors argue that relying on any single metric (such as the QALY) is wholly unsatisfactory, as all such methods remain too </w:t>
      </w:r>
      <w:r w:rsidRPr="00F10391">
        <w:rPr>
          <w:i/>
        </w:rPr>
        <w:t>ad hoc</w:t>
      </w:r>
      <w:r w:rsidRPr="00F10391">
        <w:t xml:space="preserve"> and miss the nuances inherent in complex health care decisions. MCDA has been shown to help people to make more rational and better-rounded decisions, and is better suited in this regard to the complicated nature of priority setting for health interventions. There is no reason, however, that the metrics used in CEA approaches, including QALYs, could not be used as part of this </w:t>
      </w:r>
      <w:r w:rsidRPr="00F10391">
        <w:lastRenderedPageBreak/>
        <w:t>broader approach. The authors are in favour of their quantitative nature, which allows a more detailed picture to emerge than with qualitative approaches. They detail how dominance, the linear additive method, AHP and outranking methods could work in practice. Though each problem should be considered on its own merits, in summary they state that:</w:t>
      </w:r>
    </w:p>
    <w:p w14:paraId="66F27345" w14:textId="77777777" w:rsidR="00D22CE3" w:rsidRPr="00F10391" w:rsidRDefault="00D22CE3">
      <w:pPr>
        <w:pStyle w:val="ListParagraph"/>
        <w:numPr>
          <w:ilvl w:val="0"/>
          <w:numId w:val="41"/>
        </w:numPr>
      </w:pPr>
      <w:r w:rsidRPr="00F10391">
        <w:t>Intuitive processing of complex healthcare decisions will inevitably lead to suboptimal decision-making;</w:t>
      </w:r>
    </w:p>
    <w:p w14:paraId="7E3D0264" w14:textId="77777777" w:rsidR="00D22CE3" w:rsidRPr="00F10391" w:rsidRDefault="00D22CE3">
      <w:pPr>
        <w:pStyle w:val="ListParagraph"/>
        <w:numPr>
          <w:ilvl w:val="0"/>
          <w:numId w:val="41"/>
        </w:numPr>
      </w:pPr>
      <w:r w:rsidRPr="00F10391">
        <w:t>The context of public health decision-making typically requires some degree of trade-offs so non-compensatory approaches, which preclude this, should be avoided;</w:t>
      </w:r>
    </w:p>
    <w:p w14:paraId="0591BEDA" w14:textId="77777777" w:rsidR="00D22CE3" w:rsidRPr="00F10391" w:rsidRDefault="00D22CE3">
      <w:pPr>
        <w:pStyle w:val="ListParagraph"/>
        <w:numPr>
          <w:ilvl w:val="0"/>
          <w:numId w:val="41"/>
        </w:numPr>
      </w:pPr>
      <w:r w:rsidRPr="00F10391">
        <w:t>Linear additive models are more useful where the decision-makers require a scaled ranking of the options available rather than a single ‘winner’;</w:t>
      </w:r>
    </w:p>
    <w:p w14:paraId="435362DF" w14:textId="77777777" w:rsidR="00D22CE3" w:rsidRPr="00F10391" w:rsidRDefault="00D22CE3">
      <w:pPr>
        <w:pStyle w:val="ListParagraph"/>
        <w:numPr>
          <w:ilvl w:val="0"/>
          <w:numId w:val="41"/>
        </w:numPr>
      </w:pPr>
      <w:r w:rsidRPr="00F10391">
        <w:t>The priority setting process should be strongly embedded in the organisational context and should be as transparent and systematic as possible.</w:t>
      </w:r>
    </w:p>
    <w:p w14:paraId="7104EF42" w14:textId="058627D7" w:rsidR="00D22CE3" w:rsidRPr="00F10391" w:rsidRDefault="00D22CE3">
      <w:r w:rsidRPr="00F10391">
        <w:t xml:space="preserve">NICE’s report investigating alternate approaches to presenting public health information to local government decision-makers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r w:rsidRPr="00F10391">
        <w:t xml:space="preserve"> highlights the fact that identical information, framed in different ways, may produce different decisions. Furthermore, despite NICE’s supposed reliance on the ICER, its use alone was found to be insufficient to merit investment in local government settings. Decision-makers typically required further information even for very cost-effective techniques. As such, the report suggested that CUA be used in conjunction with cost-consequence analysis (i.e. predicted, </w:t>
      </w:r>
      <w:r w:rsidRPr="00F10391">
        <w:rPr>
          <w:i/>
        </w:rPr>
        <w:t>non-aggregated</w:t>
      </w:r>
      <w:r w:rsidRPr="00F10391">
        <w:t xml:space="preserve"> costs and benefits of interventions) and that all information gathered as part of these steps be made available to local decision-makers so they can perform their own analyses and use their own </w:t>
      </w:r>
      <w:r w:rsidR="001B7ADD">
        <w:t>judgment</w:t>
      </w:r>
      <w:r w:rsidRPr="00F10391">
        <w:t xml:space="preserve"> in prioritising them if they so wished. The authors state that NICE should also explore suitable ways to use MCDA and PBMA techniques for prioritisation in future.</w:t>
      </w:r>
      <w:bookmarkStart w:id="258" w:name="_Toc303953410"/>
    </w:p>
    <w:p w14:paraId="655BA68B" w14:textId="77777777" w:rsidR="00D22CE3" w:rsidRPr="00F10391" w:rsidRDefault="00D22CE3"/>
    <w:p w14:paraId="08110E2C" w14:textId="77777777" w:rsidR="00D22CE3" w:rsidRPr="00F10391" w:rsidRDefault="00D22CE3">
      <w:pPr>
        <w:pStyle w:val="Heading4"/>
      </w:pPr>
      <w:bookmarkStart w:id="259" w:name="_Toc283984116"/>
      <w:bookmarkStart w:id="260" w:name="_Toc304640206"/>
      <w:bookmarkStart w:id="261" w:name="_Toc441508947"/>
      <w:bookmarkStart w:id="262" w:name="_Toc453235385"/>
      <w:bookmarkStart w:id="263" w:name="_Toc453595458"/>
      <w:bookmarkStart w:id="264" w:name="_Toc476241555"/>
      <w:r w:rsidRPr="00F10391">
        <w:t>3.4.2</w:t>
      </w:r>
      <w:r w:rsidRPr="00F10391">
        <w:tab/>
      </w:r>
      <w:r w:rsidRPr="00F10391">
        <w:tab/>
        <w:t>Value measurement models</w:t>
      </w:r>
      <w:bookmarkEnd w:id="258"/>
      <w:bookmarkEnd w:id="259"/>
      <w:bookmarkEnd w:id="260"/>
      <w:bookmarkEnd w:id="261"/>
      <w:bookmarkEnd w:id="262"/>
      <w:bookmarkEnd w:id="263"/>
      <w:bookmarkEnd w:id="264"/>
    </w:p>
    <w:p w14:paraId="11596223" w14:textId="77777777" w:rsidR="00D22CE3" w:rsidRPr="00F10391" w:rsidRDefault="00D22CE3">
      <w:bookmarkStart w:id="265" w:name="_Toc283984117"/>
      <w:bookmarkStart w:id="266" w:name="_Toc304640207"/>
    </w:p>
    <w:p w14:paraId="2D169C60" w14:textId="77777777" w:rsidR="00D22CE3" w:rsidRPr="00F10391" w:rsidRDefault="00D22CE3">
      <w:pPr>
        <w:pStyle w:val="Heading5"/>
      </w:pPr>
      <w:bookmarkStart w:id="267" w:name="_Toc441508948"/>
      <w:bookmarkStart w:id="268" w:name="_Toc453235386"/>
      <w:bookmarkStart w:id="269" w:name="_Toc453595459"/>
      <w:bookmarkStart w:id="270" w:name="_Toc476241556"/>
      <w:r w:rsidRPr="00F10391">
        <w:t>3.4.2.1</w:t>
      </w:r>
      <w:r w:rsidRPr="00F10391">
        <w:tab/>
      </w:r>
      <w:r w:rsidRPr="00F10391">
        <w:tab/>
        <w:t>Linear additive method</w:t>
      </w:r>
      <w:bookmarkEnd w:id="265"/>
      <w:bookmarkEnd w:id="266"/>
      <w:bookmarkEnd w:id="267"/>
      <w:bookmarkEnd w:id="268"/>
      <w:bookmarkEnd w:id="269"/>
      <w:bookmarkEnd w:id="270"/>
    </w:p>
    <w:p w14:paraId="5779E98A" w14:textId="77777777" w:rsidR="00D22CE3" w:rsidRPr="00F10391" w:rsidRDefault="00D22CE3">
      <w:r w:rsidRPr="00F10391">
        <w:t xml:space="preserve">Nutt et al. </w:t>
      </w:r>
      <w:r w:rsidRPr="00F10391">
        <w:fldChar w:fldCharType="begin"/>
      </w:r>
      <w:r w:rsidR="00700267">
        <w:instrText xml:space="preserve"> ADDIN EN.CITE &lt;EndNote&gt;&lt;Cite&gt;&lt;Author&gt;Nutt&lt;/Author&gt;&lt;Year&gt;2010&lt;/Year&gt;&lt;RecNum&gt;106&lt;/RecNum&gt;&lt;DisplayText&gt;[172]&lt;/DisplayText&gt;&lt;record&gt;&lt;rec-number&gt;106&lt;/rec-number&gt;&lt;foreign-keys&gt;&lt;key app="EN" db-id="sz9092dv2s5fpze9wpgx0zxgv5ar00aezrvf" timestamp="0"&gt;106&lt;/key&gt;&lt;/foreign-keys&gt;&lt;ref-type name="Journal Article"&gt;17&lt;/ref-type&gt;&lt;contributors&gt;&lt;authors&gt;&lt;author&gt;Nutt, David J&lt;/author&gt;&lt;author&gt;King, Leslie A&lt;/author&gt;&lt;author&gt;Phillips, Lawrence D&lt;/author&gt;&lt;/authors&gt;&lt;/contributors&gt;&lt;titles&gt;&lt;title&gt;Drug harms in the UK: a multicriteria decision analysis&lt;/title&gt;&lt;secondary-title&gt;The Lancet&lt;/secondary-title&gt;&lt;/titles&gt;&lt;pages&gt;1558-1565&lt;/pages&gt;&lt;volume&gt;376&lt;/volume&gt;&lt;number&gt;9752&lt;/number&gt;&lt;dates&gt;&lt;year&gt;2010&lt;/year&gt;&lt;/dates&gt;&lt;isbn&gt;0140-6736&lt;/isbn&gt;&lt;urls&gt;&lt;related-urls&gt;&lt;url&gt;http://www.thelancet.com/journals/lancet/article/PIIS0140-6736(10)61462-6/abstract&lt;/url&gt;&lt;url&gt;http://ac.els-cdn.com/S0140673610614626/1-s2.0-S0140673610614626-main.pdf?_tid=48fdc6e8-9359-11e4-b82c-00000aacb35d&amp;amp;acdnat=1420297421_0c12f9a05137d3e5034e6f3151c26f07&lt;/url&gt;&lt;/related-urls&gt;&lt;/urls&gt;&lt;/record&gt;&lt;/Cite&gt;&lt;/EndNote&gt;</w:instrText>
      </w:r>
      <w:r w:rsidRPr="00F10391">
        <w:fldChar w:fldCharType="separate"/>
      </w:r>
      <w:r w:rsidR="00700267">
        <w:rPr>
          <w:noProof/>
        </w:rPr>
        <w:t>[172]</w:t>
      </w:r>
      <w:r w:rsidRPr="00F10391">
        <w:fldChar w:fldCharType="end"/>
      </w:r>
      <w:r w:rsidRPr="00F10391">
        <w:t xml:space="preserve"> uses a decision conference setting to elicit the relative harm caused by twenty legal and illegal drugs common in the UK across 16 relevant criteria, 9 of which related to harm to the user and 7 to harms to broader society. The criteria were then swing weighted according to the differences in severity of outcomes within and between these factors. The study was carried out in a deliberative manner, presenting the findings in terms of the criteria and to whom the drug causes most harm. The correlation between the findings and the classification of drugs according to the UK Misuse of Drugs Act, 1971 is 0.04, showing that “it is clear that the UK drug classification system is not simply based on considerations of harm”</w:t>
      </w:r>
      <w:r w:rsidR="00084AC3">
        <w:t xml:space="preserve"> (p.1564)</w:t>
      </w:r>
      <w:r w:rsidRPr="00F10391">
        <w:t xml:space="preserve">. They argue that policing and social care resources could be better prioritised to decrease the harm associated with each of the drugs if legislation were to be amended to allow for these findings. </w:t>
      </w:r>
    </w:p>
    <w:p w14:paraId="7B0124BA" w14:textId="77777777" w:rsidR="00D22CE3" w:rsidRPr="00F10391" w:rsidRDefault="00D22CE3"/>
    <w:p w14:paraId="75EAEC5A" w14:textId="77777777" w:rsidR="00582388" w:rsidRDefault="00582388" w:rsidP="0063065F">
      <w:bookmarkStart w:id="271" w:name="_Toc283984118"/>
      <w:bookmarkStart w:id="272" w:name="_Toc304640208"/>
      <w:bookmarkStart w:id="273" w:name="_Toc441508949"/>
      <w:bookmarkStart w:id="274" w:name="_Toc453235387"/>
      <w:bookmarkStart w:id="275" w:name="_Toc453595460"/>
    </w:p>
    <w:p w14:paraId="507A3167" w14:textId="77777777" w:rsidR="00D22CE3" w:rsidRPr="00F10391" w:rsidRDefault="00D22CE3">
      <w:pPr>
        <w:pStyle w:val="Heading5"/>
      </w:pPr>
      <w:bookmarkStart w:id="276" w:name="_Toc476241557"/>
      <w:r w:rsidRPr="00F10391">
        <w:lastRenderedPageBreak/>
        <w:t>3.4.2.2</w:t>
      </w:r>
      <w:r w:rsidRPr="00F10391">
        <w:tab/>
      </w:r>
      <w:r w:rsidRPr="00F10391">
        <w:tab/>
        <w:t>Analytic Hierarchy Process</w:t>
      </w:r>
      <w:bookmarkEnd w:id="271"/>
      <w:bookmarkEnd w:id="272"/>
      <w:bookmarkEnd w:id="273"/>
      <w:bookmarkEnd w:id="274"/>
      <w:bookmarkEnd w:id="275"/>
      <w:bookmarkEnd w:id="276"/>
    </w:p>
    <w:p w14:paraId="7AC62E3B" w14:textId="77777777" w:rsidR="00D22CE3" w:rsidRPr="00F10391" w:rsidRDefault="00D22CE3">
      <w:r w:rsidRPr="00F10391">
        <w:t xml:space="preserve">Koch and Rowell </w:t>
      </w:r>
      <w:r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Pr="00F10391">
        <w:fldChar w:fldCharType="separate"/>
      </w:r>
      <w:r w:rsidR="00700267">
        <w:rPr>
          <w:noProof/>
        </w:rPr>
        <w:t>[91]</w:t>
      </w:r>
      <w:r w:rsidRPr="00F10391">
        <w:fldChar w:fldCharType="end"/>
      </w:r>
      <w:r w:rsidRPr="00F10391">
        <w:t xml:space="preserve"> use AHP to elicit views of various stakeholder groups (two mixed groups of medical professionals, one of lay people and one of families of a high risk group). They attempt to decide how best to create bioethical inclusion and exclusion criteria for organ transplantation given limited supply, and how to align policy to the findings. The paper tests their hypothesis that well-intentioned groups can find practicable solutions to ethical issues, and the results suggest that MCDA is an appropriate method to employ to achieve this aim. The participants seemed comfortable and capable in using the approach. Broad consensus was reached within and between each of the groups. One problem arose due to differences in perceived definition of a criterion, but broadly it appears that a consensus-based approach could be useful in complex bioethical decisions, and that AHP would be useful in structuring this process. While nominally a prioritisation exercise, this paper highlights that the MCDA process can facilitate such decisions being made by allowing difficult conversations to take place, rather than presenting results alone.</w:t>
      </w:r>
    </w:p>
    <w:p w14:paraId="1FE88A44" w14:textId="77777777" w:rsidR="00D22CE3" w:rsidRPr="00F10391" w:rsidRDefault="00D22CE3">
      <w:r w:rsidRPr="00F10391">
        <w:t xml:space="preserve">Dolan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Pr="00F10391">
        <w:t xml:space="preserve"> discusses the role for MCDA in shared decision-making with individual patients over which colorectal cancer screening technique to employ. The author argues that where no intervention is clearly superior, patients should be involved where possible. Previous studies have provided evidence that patients with chronic diseases who participate in decisions about their healthcare have better outcomes and the author argues that there may be a similar effect with regard to screening. Given the complex nature of deciding which approach is best for the patient, an AHP approach could help patients make better decisions in collaboration with their doctor. Studies have also shown that patients are capable of both eliciting preferences using a shared decision-making approach, and that they are overwhelmingly in favour of doing so. Dolan concludes by stating that by encouraging patients to make these choices for themselves, decision-making, patient outcomes and doctor-patient relationships could all be improved. However, it is time-intensive and may not be feasible in an already extremely busy setting. Where doctors (and other health professionals) could find the time to elicit the preferences from patients this could be a worthwhile approach in interventional contexts. </w:t>
      </w:r>
    </w:p>
    <w:p w14:paraId="370D1DDB" w14:textId="77777777" w:rsidR="00D22CE3" w:rsidRPr="00F10391" w:rsidRDefault="00D22CE3"/>
    <w:p w14:paraId="0D3F3B85" w14:textId="77777777" w:rsidR="00D22CE3" w:rsidRPr="00F10391" w:rsidRDefault="00D22CE3">
      <w:pPr>
        <w:pStyle w:val="Heading5"/>
      </w:pPr>
      <w:bookmarkStart w:id="277" w:name="_Toc283984119"/>
      <w:bookmarkStart w:id="278" w:name="_Toc304640209"/>
      <w:bookmarkStart w:id="279" w:name="_Toc441508950"/>
      <w:bookmarkStart w:id="280" w:name="_Toc453235388"/>
      <w:bookmarkStart w:id="281" w:name="_Toc453595461"/>
      <w:bookmarkStart w:id="282" w:name="_Toc476241558"/>
      <w:r w:rsidRPr="00F10391">
        <w:t>3.4.2.3</w:t>
      </w:r>
      <w:r w:rsidRPr="00F10391">
        <w:tab/>
      </w:r>
      <w:r w:rsidRPr="00F10391">
        <w:tab/>
        <w:t>Fuzzy AHP (FAHP)</w:t>
      </w:r>
      <w:bookmarkEnd w:id="277"/>
      <w:bookmarkEnd w:id="278"/>
      <w:bookmarkEnd w:id="279"/>
      <w:bookmarkEnd w:id="280"/>
      <w:bookmarkEnd w:id="281"/>
      <w:bookmarkEnd w:id="282"/>
    </w:p>
    <w:p w14:paraId="4DDB1271" w14:textId="77777777" w:rsidR="00D22CE3" w:rsidRPr="00F10391" w:rsidRDefault="00D22CE3">
      <w:r w:rsidRPr="00F10391">
        <w:t xml:space="preserve">The paper by Vahidnia et al. </w:t>
      </w:r>
      <w:r w:rsidRPr="00F10391">
        <w:fldChar w:fldCharType="begin"/>
      </w:r>
      <w:r w:rsidR="00700267">
        <w:instrText xml:space="preserve"> ADDIN EN.CITE &lt;EndNote&gt;&lt;Cite&gt;&lt;Author&gt;Vahidnia&lt;/Author&gt;&lt;Year&gt;2009&lt;/Year&gt;&lt;RecNum&gt;196&lt;/RecNum&gt;&lt;DisplayText&gt;[164]&lt;/DisplayText&gt;&lt;record&gt;&lt;rec-number&gt;196&lt;/rec-number&gt;&lt;foreign-keys&gt;&lt;key app="EN" db-id="sz9092dv2s5fpze9wpgx0zxgv5ar00aezrvf" timestamp="0"&gt;196&lt;/key&gt;&lt;/foreign-keys&gt;&lt;ref-type name="Journal Article"&gt;17&lt;/ref-type&gt;&lt;contributors&gt;&lt;authors&gt;&lt;author&gt;Vahidnia, MH; Alesheikh, AA; Alimohammadi, A&lt;/author&gt;&lt;/authors&gt;&lt;/contributors&gt;&lt;titles&gt;&lt;title&gt;Hospital site selection using fuzzy AHP and its derivatives. &lt;/title&gt;&lt;secondary-title&gt;Journal of Environmental Management&lt;/secondary-title&gt;&lt;/titles&gt;&lt;pages&gt;3048-3056 &lt;/pages&gt;&lt;volume&gt;90&lt;/volume&gt;&lt;number&gt;10&lt;/number&gt;&lt;dates&gt;&lt;year&gt;2009&lt;/year&gt;&lt;/dates&gt;&lt;urls&gt;&lt;related-urls&gt;&lt;url&gt;http://www.sciencedirect.com/science/article/pii/S0301479709001327&lt;/url&gt;&lt;url&gt;http://ac.els-cdn.com/S0301479709001327/1-s2.0-S0301479709001327-main.pdf?_tid=520ddb1a-9359-11e4-8a0a-00000aacb35f&amp;amp;acdnat=1420297436_b192af9fc8dfc18cff8b0c5d2cb7bc6c&lt;/url&gt;&lt;/related-urls&gt;&lt;/urls&gt;&lt;/record&gt;&lt;/Cite&gt;&lt;/EndNote&gt;</w:instrText>
      </w:r>
      <w:r w:rsidRPr="00F10391">
        <w:fldChar w:fldCharType="separate"/>
      </w:r>
      <w:r w:rsidR="00700267">
        <w:rPr>
          <w:noProof/>
        </w:rPr>
        <w:t>[164]</w:t>
      </w:r>
      <w:r w:rsidRPr="00F10391">
        <w:fldChar w:fldCharType="end"/>
      </w:r>
      <w:r w:rsidRPr="00F10391">
        <w:t xml:space="preserve"> straddles public health and other areas, but was included partly in the interests of ensuring that a fuzzy AHP approach could be discussed. The authors wished to find the optimal site for a new hospital in Tehran using five criteria and explicitly allowing for uncertainty. AHP has been criticised in the past for using a deterministic model for selecting between alternatives, and this paper uses the FAHP approach to better describe the uncertainty in the decision-making process. Five potential sites were compared in a pair-wise fashion, as was the relative importance of the criteria themselves in much the same manner as with AHP. With FAHP, however, upper and lower limits were also specified in order to create so-called ‘triangular numbers’. The results were calculated using three methods (extent analysis, centre-of-defuzzifying and α-cut based methods), which unanimously decided on one site. A ratio of population density to travel time was also calculated for each site, and the chosen option would have reduced this in total by 6.5% within the urban area. It is unclear from the paper whether or not the findings were implemented. </w:t>
      </w:r>
    </w:p>
    <w:p w14:paraId="2ABCB4DB" w14:textId="77777777" w:rsidR="00D22CE3" w:rsidRPr="00F10391" w:rsidRDefault="00D22CE3">
      <w:pPr>
        <w:pStyle w:val="Heading5"/>
      </w:pPr>
      <w:bookmarkStart w:id="283" w:name="_Toc283984120"/>
      <w:bookmarkStart w:id="284" w:name="_Toc304640210"/>
      <w:bookmarkStart w:id="285" w:name="_Toc441508951"/>
      <w:bookmarkStart w:id="286" w:name="_Toc453235389"/>
      <w:bookmarkStart w:id="287" w:name="_Toc453595462"/>
      <w:bookmarkStart w:id="288" w:name="_Toc476241559"/>
      <w:r w:rsidRPr="00F10391">
        <w:lastRenderedPageBreak/>
        <w:t>3.4.2.4</w:t>
      </w:r>
      <w:r w:rsidRPr="00F10391">
        <w:tab/>
      </w:r>
      <w:r w:rsidRPr="00F10391">
        <w:tab/>
        <w:t>Discrete choice experiments</w:t>
      </w:r>
      <w:bookmarkEnd w:id="283"/>
      <w:bookmarkEnd w:id="284"/>
      <w:bookmarkEnd w:id="285"/>
      <w:bookmarkEnd w:id="286"/>
      <w:bookmarkEnd w:id="287"/>
      <w:bookmarkEnd w:id="288"/>
    </w:p>
    <w:p w14:paraId="24730C07" w14:textId="77777777" w:rsidR="00D22CE3" w:rsidRPr="00F10391" w:rsidRDefault="00D22CE3">
      <w:r w:rsidRPr="00F10391">
        <w:t xml:space="preserve">The Health England Leading Prioritisation (HE.LP) report by Matrix Insight </w:t>
      </w:r>
      <w:r w:rsidRPr="00F10391">
        <w:fldChar w:fldCharType="begin"/>
      </w:r>
      <w:r w:rsidR="00700267">
        <w:instrText xml:space="preserve"> ADDIN EN.CITE &lt;EndNote&gt;&lt;Cite&gt;&lt;Author&gt;Matrix Insight&lt;/Author&gt;&lt;Year&gt;2009&lt;/Year&gt;&lt;RecNum&gt;92&lt;/RecNum&gt;&lt;DisplayText&gt;[168]&lt;/DisplayText&gt;&lt;record&gt;&lt;rec-number&gt;92&lt;/rec-number&gt;&lt;foreign-keys&gt;&lt;key app="EN" db-id="sz9092dv2s5fpze9wpgx0zxgv5ar00aezrvf" timestamp="0"&gt;92&lt;/key&gt;&lt;/foreign-keys&gt;&lt;ref-type name="Journal Article"&gt;17&lt;/ref-type&gt;&lt;contributors&gt;&lt;authors&gt;&lt;author&gt;Matrix Insight, &lt;/author&gt;&lt;/authors&gt;&lt;/contributors&gt;&lt;titles&gt;&lt;title&gt;Prioritising investments in preventative health&lt;/title&gt;&lt;secondary-title&gt;Health England&lt;/secondary-title&gt;&lt;/titles&gt;&lt;dates&gt;&lt;year&gt;2009&lt;/year&gt;&lt;/dates&gt;&lt;urls&gt;&lt;/urls&gt;&lt;/record&gt;&lt;/Cite&gt;&lt;/EndNote&gt;</w:instrText>
      </w:r>
      <w:r w:rsidRPr="00F10391">
        <w:fldChar w:fldCharType="separate"/>
      </w:r>
      <w:r w:rsidR="00700267">
        <w:rPr>
          <w:noProof/>
        </w:rPr>
        <w:t>[168]</w:t>
      </w:r>
      <w:r w:rsidRPr="00F10391">
        <w:fldChar w:fldCharType="end"/>
      </w:r>
      <w:r w:rsidRPr="00F10391">
        <w:t xml:space="preserve">, which was subsequently reported in the Journal for Public Health </w:t>
      </w:r>
      <w:r w:rsidRPr="00F10391">
        <w:fldChar w:fldCharType="begin"/>
      </w:r>
      <w:r w:rsidR="00700267">
        <w:instrText xml:space="preserve"> ADDIN EN.CITE &lt;EndNote&gt;&lt;Cite&gt;&lt;Author&gt;Marsh&lt;/Author&gt;&lt;Year&gt;2013&lt;/Year&gt;&lt;RecNum&gt;90&lt;/RecNum&gt;&lt;DisplayText&gt;[167]&lt;/DisplayText&gt;&lt;record&gt;&lt;rec-number&gt;90&lt;/rec-number&gt;&lt;foreign-keys&gt;&lt;key app="EN" db-id="sz9092dv2s5fpze9wpgx0zxgv5ar00aezrvf" timestamp="0"&gt;90&lt;/key&gt;&lt;/foreign-keys&gt;&lt;ref-type name="Journal Article"&gt;17&lt;/ref-type&gt;&lt;contributors&gt;&lt;authors&gt;&lt;author&gt;Marsh, K&lt;/author&gt;&lt;author&gt;Dolan, P&lt;/author&gt;&lt;author&gt;Kempster, J&lt;/author&gt;&lt;author&gt;Lugon, M&lt;/author&gt;&lt;/authors&gt;&lt;/contributors&gt;&lt;titles&gt;&lt;title&gt;Prioritizing investments in public health: a multi-criteria decision analysis&lt;/title&gt;&lt;secondary-title&gt;Journal of public health&lt;/secondary-title&gt;&lt;/titles&gt;&lt;periodical&gt;&lt;full-title&gt;Journal of public health&lt;/full-title&gt;&lt;/periodical&gt;&lt;pages&gt;460-466&lt;/pages&gt;&lt;volume&gt;35&lt;/volume&gt;&lt;number&gt;3&lt;/number&gt;&lt;dates&gt;&lt;year&gt;2013&lt;/year&gt;&lt;/dates&gt;&lt;isbn&gt;1741-3842&lt;/isbn&gt;&lt;urls&gt;&lt;related-urls&gt;&lt;url&gt;http://jpubhealth.oxfordjournals.org/content/35/3/460.full.pdf&lt;/url&gt;&lt;/related-urls&gt;&lt;/urls&gt;&lt;/record&gt;&lt;/Cite&gt;&lt;/EndNote&gt;</w:instrText>
      </w:r>
      <w:r w:rsidRPr="00F10391">
        <w:fldChar w:fldCharType="separate"/>
      </w:r>
      <w:r w:rsidR="00700267">
        <w:rPr>
          <w:noProof/>
        </w:rPr>
        <w:t>[167]</w:t>
      </w:r>
      <w:r w:rsidRPr="00F10391">
        <w:fldChar w:fldCharType="end"/>
      </w:r>
      <w:r w:rsidRPr="00F10391">
        <w:t>, uses a DCE approach entitled  to prioritise and rank public health interventions. This ranking was consciously used in contrast with NICE’s ‘recommend’ or ‘do not recommend’ approach.</w:t>
      </w:r>
    </w:p>
    <w:p w14:paraId="6CA1338B" w14:textId="77777777" w:rsidR="00D22CE3" w:rsidRPr="00F10391" w:rsidRDefault="00D22CE3">
      <w:r w:rsidRPr="00F10391">
        <w:t>17 interventions were considered across 6 public health areas. A stakeholder workshop produced 40 potentially useful pieces of information that could influence investment decisions. An online survey refined this to 7 key criteria, though 2 of these were deemed unquantifiable and removed from further investigation. Scores for each of the interventions on each of these 5 remaining criteria were generated using literature searches. Three of the five remaining criteria were included in a DCE survey, in which decision-makers were asked to choose between hypothetical interventions with varied scores on each of the criteria. Based on the probability of each of these interventions being chosen, a multinomial regression could be used to calculate the implied importance of each criterion. These weights, combined with the previously derived scores, were used to rank the list of actual interventions.</w:t>
      </w:r>
    </w:p>
    <w:p w14:paraId="7F4354E0" w14:textId="2F841F8B" w:rsidR="00D22CE3" w:rsidRPr="00F10391" w:rsidRDefault="00D22CE3">
      <w:r w:rsidRPr="00F10391">
        <w:t xml:space="preserve">The approach was researcher-led and used quantitative approaches throughout, in contrast to others such as AHP, which seek to use expert </w:t>
      </w:r>
      <w:r w:rsidR="001B7ADD">
        <w:t>judgment</w:t>
      </w:r>
      <w:r w:rsidRPr="00F10391">
        <w:t xml:space="preserve"> directly to prioritise between interventions. This has advantages and drawbacks, but was shown in this example to successfully produce rankings, which is an important finding in itself.</w:t>
      </w:r>
    </w:p>
    <w:p w14:paraId="551C1F78" w14:textId="77777777" w:rsidR="00D22CE3" w:rsidRPr="00F10391" w:rsidRDefault="00D22CE3"/>
    <w:p w14:paraId="32F00F71" w14:textId="77777777" w:rsidR="00D22CE3" w:rsidRPr="00E36845" w:rsidRDefault="00D22CE3">
      <w:pPr>
        <w:pStyle w:val="Heading5"/>
      </w:pPr>
      <w:bookmarkStart w:id="289" w:name="_Toc283984121"/>
      <w:bookmarkStart w:id="290" w:name="_Toc304640211"/>
      <w:bookmarkStart w:id="291" w:name="_Toc441508952"/>
      <w:bookmarkStart w:id="292" w:name="_Toc453235390"/>
      <w:bookmarkStart w:id="293" w:name="_Toc453595463"/>
      <w:bookmarkStart w:id="294" w:name="_Toc476241560"/>
      <w:r w:rsidRPr="00E36845">
        <w:t>3.4.2.5</w:t>
      </w:r>
      <w:r w:rsidRPr="00E36845">
        <w:tab/>
      </w:r>
      <w:r w:rsidRPr="00E36845">
        <w:tab/>
        <w:t>Simple multi attribute rating technique (SMART)</w:t>
      </w:r>
      <w:bookmarkEnd w:id="289"/>
      <w:bookmarkEnd w:id="290"/>
      <w:bookmarkEnd w:id="291"/>
      <w:bookmarkEnd w:id="292"/>
      <w:bookmarkEnd w:id="293"/>
      <w:bookmarkEnd w:id="294"/>
    </w:p>
    <w:p w14:paraId="42FB8BA5" w14:textId="567A2F73" w:rsidR="00054658" w:rsidRPr="00F10391" w:rsidRDefault="00D22CE3">
      <w:r w:rsidRPr="00F10391">
        <w:t xml:space="preserve">The paper by van Gennip et al. </w:t>
      </w:r>
      <w:r w:rsidRPr="00F10391">
        <w:fldChar w:fldCharType="begin"/>
      </w:r>
      <w:r w:rsidR="00700267">
        <w:instrText xml:space="preserve"> ADDIN EN.CITE &lt;EndNote&gt;&lt;Cite&gt;&lt;Author&gt;Van Gennip&lt;/Author&gt;&lt;Year&gt;1997&lt;/Year&gt;&lt;RecNum&gt;147&lt;/RecNum&gt;&lt;DisplayText&gt;[169]&lt;/DisplayText&gt;&lt;record&gt;&lt;rec-number&gt;147&lt;/rec-number&gt;&lt;foreign-keys&gt;&lt;key app="EN" db-id="sz9092dv2s5fpze9wpgx0zxgv5ar00aezrvf" timestamp="0"&gt;147&lt;/key&gt;&lt;/foreign-keys&gt;&lt;ref-type name="Journal Article"&gt;17&lt;/ref-type&gt;&lt;contributors&gt;&lt;authors&gt;&lt;author&gt;Van Gennip, CEG&lt;/author&gt;&lt;author&gt;Hulshof, JAM&lt;/author&gt;&lt;author&gt;Lootsma, FA&lt;/author&gt;&lt;/authors&gt;&lt;/contributors&gt;&lt;titles&gt;&lt;title&gt;A multi-criteria evaluation of diseases in a study for public-health planning&lt;/title&gt;&lt;secondary-title&gt;European Journal of Operational Research&lt;/secondary-title&gt;&lt;/titles&gt;&lt;pages&gt;236-240&lt;/pages&gt;&lt;volume&gt;99&lt;/volume&gt;&lt;number&gt;2&lt;/number&gt;&lt;dates&gt;&lt;year&gt;1997&lt;/year&gt;&lt;/dates&gt;&lt;isbn&gt;0377-2217&lt;/isbn&gt;&lt;urls&gt;&lt;related-urls&gt;&lt;url&gt;http://www.sciencedirect.com/science/article/pii/S0377221796003293&lt;/url&gt;&lt;/related-urls&gt;&lt;/urls&gt;&lt;/record&gt;&lt;/Cite&gt;&lt;/EndNote&gt;</w:instrText>
      </w:r>
      <w:r w:rsidRPr="00F10391">
        <w:fldChar w:fldCharType="separate"/>
      </w:r>
      <w:r w:rsidR="00700267">
        <w:rPr>
          <w:noProof/>
        </w:rPr>
        <w:t>[169]</w:t>
      </w:r>
      <w:r w:rsidRPr="00F10391">
        <w:fldChar w:fldCharType="end"/>
      </w:r>
      <w:r w:rsidRPr="00F10391">
        <w:t xml:space="preserve"> did not turn up in the 2011 systematic review, despite long predating it, and was added for the revised 2013 paper alongside the DCE project described above. It is an early example of attempts to use MCDA in public sector prioritisation, and states in the epilogue that the authors primarily wanted to show that such an approach was “humanly and technically feasible!”</w:t>
      </w:r>
      <w:r w:rsidR="00487D45">
        <w:t xml:space="preserve"> (p.240).</w:t>
      </w:r>
      <w:r w:rsidRPr="00F10391">
        <w:t xml:space="preserve"> Three criteria were used – prevalence, cost and life years lost. Officials from the Dutch Ministry of Health, Welfare and Sport were brought together to define a SMART range, wherein scores on a 0-10 scale would be assigned depending on how each intervention performed on each criterion. The total scores for each health area could be calculated by adding the criterion scores together, and then subsequently ranked. The approach shows clear similarities with the linear additive method. The officials were brought together to perform the approach separately from the perspective of both policy-makers and the patients. It is unclear from the paper whether the rankings had a direct policy impact, though it had support from the Director General of the Ministry and was part of a report submitted to parliament. But it certainly met its aims in showing that the technique could be used in practice in such a setting.</w:t>
      </w:r>
    </w:p>
    <w:p w14:paraId="45BAD070" w14:textId="77777777" w:rsidR="00054658" w:rsidRDefault="00054658">
      <w:pPr>
        <w:spacing w:after="0" w:line="240" w:lineRule="auto"/>
        <w:jc w:val="left"/>
        <w:rPr>
          <w:u w:val="single"/>
        </w:rPr>
      </w:pPr>
      <w:bookmarkStart w:id="295" w:name="_Toc283984122"/>
      <w:bookmarkStart w:id="296" w:name="_Toc304640212"/>
      <w:bookmarkStart w:id="297" w:name="_Toc441508953"/>
      <w:bookmarkStart w:id="298" w:name="_Toc453235391"/>
      <w:bookmarkStart w:id="299" w:name="_Toc453595464"/>
      <w:r>
        <w:br w:type="page"/>
      </w:r>
    </w:p>
    <w:p w14:paraId="6227F60A" w14:textId="61D1B933" w:rsidR="00D22CE3" w:rsidRPr="00F10391" w:rsidRDefault="00D22CE3">
      <w:pPr>
        <w:pStyle w:val="Heading4"/>
      </w:pPr>
      <w:bookmarkStart w:id="300" w:name="_Toc476241561"/>
      <w:r w:rsidRPr="00F10391">
        <w:lastRenderedPageBreak/>
        <w:t>3.4.3</w:t>
      </w:r>
      <w:r w:rsidRPr="00F10391">
        <w:tab/>
      </w:r>
      <w:r w:rsidRPr="00F10391">
        <w:tab/>
        <w:t>Outranking models</w:t>
      </w:r>
      <w:bookmarkStart w:id="301" w:name="_Toc283984123"/>
      <w:bookmarkStart w:id="302" w:name="_Toc304640213"/>
      <w:bookmarkStart w:id="303" w:name="_Toc303953414"/>
      <w:bookmarkEnd w:id="295"/>
      <w:bookmarkEnd w:id="296"/>
      <w:bookmarkEnd w:id="297"/>
      <w:bookmarkEnd w:id="298"/>
      <w:bookmarkEnd w:id="299"/>
      <w:bookmarkEnd w:id="300"/>
    </w:p>
    <w:p w14:paraId="3216BAFF" w14:textId="77777777" w:rsidR="00D22CE3" w:rsidRPr="00F10391" w:rsidRDefault="00D22CE3"/>
    <w:p w14:paraId="2D10888D" w14:textId="77777777" w:rsidR="00D22CE3" w:rsidRPr="00F10391" w:rsidRDefault="00D22CE3">
      <w:pPr>
        <w:pStyle w:val="Heading5"/>
      </w:pPr>
      <w:bookmarkStart w:id="304" w:name="_Toc441508954"/>
      <w:bookmarkStart w:id="305" w:name="_Toc453235392"/>
      <w:bookmarkStart w:id="306" w:name="_Toc453595465"/>
      <w:bookmarkStart w:id="307" w:name="_Toc476241562"/>
      <w:r w:rsidRPr="00F10391">
        <w:t>3.4.3.1</w:t>
      </w:r>
      <w:r w:rsidRPr="00F10391">
        <w:tab/>
      </w:r>
      <w:r w:rsidRPr="00F10391">
        <w:tab/>
        <w:t>PROMETHEE</w:t>
      </w:r>
      <w:bookmarkEnd w:id="301"/>
      <w:bookmarkEnd w:id="302"/>
      <w:bookmarkEnd w:id="304"/>
      <w:bookmarkEnd w:id="305"/>
      <w:bookmarkEnd w:id="306"/>
      <w:bookmarkEnd w:id="307"/>
    </w:p>
    <w:p w14:paraId="6E5360BD" w14:textId="77777777" w:rsidR="00D22CE3" w:rsidRPr="00F10391" w:rsidRDefault="00D22CE3">
      <w:r w:rsidRPr="00F10391">
        <w:t xml:space="preserve">Ruzante et al. </w:t>
      </w:r>
      <w:r w:rsidRPr="00F10391">
        <w:fldChar w:fldCharType="begin"/>
      </w:r>
      <w:r w:rsidR="00700267">
        <w:instrText xml:space="preserve"> ADDIN EN.CITE &lt;EndNote&gt;&lt;Cite&gt;&lt;Author&gt;Ruzante&lt;/Author&gt;&lt;Year&gt;2010&lt;/Year&gt;&lt;RecNum&gt;120&lt;/RecNum&gt;&lt;DisplayText&gt;[173]&lt;/DisplayText&gt;&lt;record&gt;&lt;rec-number&gt;120&lt;/rec-number&gt;&lt;foreign-keys&gt;&lt;key app="EN" db-id="sz9092dv2s5fpze9wpgx0zxgv5ar00aezrvf" timestamp="0"&gt;120&lt;/key&gt;&lt;/foreign-keys&gt;&lt;ref-type name="Journal Article"&gt;17&lt;/ref-type&gt;&lt;contributors&gt;&lt;authors&gt;&lt;author&gt;Ruzante, Juliana Martins&lt;/author&gt;&lt;author&gt;Davidson, Valerie J&lt;/author&gt;&lt;author&gt;Caswell, Julie&lt;/author&gt;&lt;author&gt;Fazil, Aamir&lt;/author&gt;&lt;author&gt;Cranfield, John AL&lt;/author&gt;&lt;author&gt;Henson, Spencer J&lt;/author&gt;&lt;author&gt;Anders, Sven M&lt;/author&gt;&lt;author&gt;Schmidt, Claudia&lt;/author&gt;&lt;author&gt;Farber, Jeffrey M&lt;/author&gt;&lt;/authors&gt;&lt;/contributors&gt;&lt;titles&gt;&lt;title&gt;A multifactorial risk prioritization framework for foodborne pathogens&lt;/title&gt;&lt;secondary-title&gt;Risk Analysis&lt;/secondary-title&gt;&lt;/titles&gt;&lt;periodical&gt;&lt;full-title&gt;Risk analysis&lt;/full-title&gt;&lt;/periodical&gt;&lt;pages&gt;724-742&lt;/pages&gt;&lt;volume&gt;30&lt;/volume&gt;&lt;number&gt;5&lt;/number&gt;&lt;dates&gt;&lt;year&gt;2010&lt;/year&gt;&lt;/dates&gt;&lt;isbn&gt;1539-6924&lt;/isbn&gt;&lt;urls&gt;&lt;related-urls&gt;&lt;url&gt;http://onlinelibrary.wiley.com/doi/10.1111/j.1539-6924.2009.01278.x/abstract&lt;/url&gt;&lt;url&gt;http://onlinelibrary.wiley.com/store/10.1111/j.1539-6924.2009.01278.x/asset/j.1539-6924.2009.01278.x.pdf?v=1&amp;amp;t=i4h4b5oj&amp;amp;s=9f4b395cc6ab946455cc9cec6253a06fcdb6c80e&lt;/url&gt;&lt;url&gt;http://onlinelibrary.wiley.com/doi/10.1111/j.1539-6924.2009.01278.x/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[173]</w:t>
      </w:r>
      <w:r w:rsidRPr="00F10391">
        <w:fldChar w:fldCharType="end"/>
      </w:r>
      <w:r w:rsidRPr="00F10391">
        <w:t xml:space="preserve"> describe a prioritisation framework which considers four risk areas of food-borne disease (public health, market impact, consumer risk acceptance and social sensitivity) to support decision-makers attempting to compare potential pathogens, their multiple potential sources and the multiple stakeholders involved, and carried out in a Canadian context. Six case study pathogen-food combinations are presented to show how the system would work, each one represented by ‘score cards’ documenting how serious the condition is on various sub-criteria. The results presented are then used as the basis for a PROMETHEE analysis. The conditions were ranked according to three basic scenarios: one where all four headings are given equal weightings (and their sub-criteria subsequently proportionally split into equal groups), a similar weighting structure but with social sensitivity removed, and considering only the public health aspects. This led to differing rankings with each set of assumptions. The framework informs decision-makers in a relatively transparent, balanced and scientific manner.</w:t>
      </w:r>
    </w:p>
    <w:p w14:paraId="0FB3127F" w14:textId="77777777" w:rsidR="00D22CE3" w:rsidRPr="00F10391" w:rsidRDefault="00D22CE3"/>
    <w:p w14:paraId="63D951E6" w14:textId="77777777" w:rsidR="00D22CE3" w:rsidRPr="00F10391" w:rsidRDefault="00D22CE3">
      <w:pPr>
        <w:pStyle w:val="Heading5"/>
      </w:pPr>
      <w:bookmarkStart w:id="308" w:name="_Toc283984124"/>
      <w:bookmarkStart w:id="309" w:name="_Toc304640214"/>
      <w:bookmarkStart w:id="310" w:name="_Toc441508955"/>
      <w:bookmarkStart w:id="311" w:name="_Toc453235393"/>
      <w:bookmarkStart w:id="312" w:name="_Toc453595466"/>
      <w:bookmarkStart w:id="313" w:name="_Toc476241563"/>
      <w:r w:rsidRPr="00F10391">
        <w:t>3.4.3.2</w:t>
      </w:r>
      <w:r w:rsidRPr="00F10391">
        <w:tab/>
      </w:r>
      <w:r w:rsidRPr="00F10391">
        <w:tab/>
        <w:t>TODIM</w:t>
      </w:r>
      <w:bookmarkEnd w:id="308"/>
      <w:bookmarkEnd w:id="309"/>
      <w:bookmarkEnd w:id="310"/>
      <w:bookmarkEnd w:id="311"/>
      <w:bookmarkEnd w:id="312"/>
      <w:bookmarkEnd w:id="313"/>
    </w:p>
    <w:p w14:paraId="2327D480" w14:textId="77777777" w:rsidR="00D22CE3" w:rsidRPr="00F10391" w:rsidRDefault="00D22CE3">
      <w:r w:rsidRPr="00F10391">
        <w:t xml:space="preserve">Nobre et al. </w:t>
      </w:r>
      <w:r w:rsidRPr="00F10391">
        <w:fldChar w:fldCharType="begin"/>
      </w:r>
      <w:r w:rsidR="00700267">
        <w:instrText xml:space="preserve"> ADDIN EN.CITE &lt;EndNote&gt;&lt;Cite&gt;&lt;Author&gt;Nobre&lt;/Author&gt;&lt;Year&gt;1999&lt;/Year&gt;&lt;RecNum&gt;105&lt;/RecNum&gt;&lt;DisplayText&gt;[163]&lt;/DisplayText&gt;&lt;record&gt;&lt;rec-number&gt;105&lt;/rec-number&gt;&lt;foreign-keys&gt;&lt;key app="EN" db-id="sz9092dv2s5fpze9wpgx0zxgv5ar00aezrvf" timestamp="0"&gt;105&lt;/key&gt;&lt;/foreign-keys&gt;&lt;ref-type name="Journal Article"&gt;17&lt;/ref-type&gt;&lt;contributors&gt;&lt;authors&gt;&lt;author&gt;Nobre, Flavio Fonseca&lt;/author&gt;&lt;author&gt;Trotta, Lilian Terezinha Ferreira&lt;/author&gt;&lt;author&gt;Gomes, Luiz Flavio Autran Monteiro&lt;/author&gt;&lt;/authors&gt;&lt;/contributors&gt;&lt;titles&gt;&lt;</w:instrText>
      </w:r>
      <w:r w:rsidR="00700267">
        <w:rPr>
          <w:rFonts w:hint="eastAsia"/>
        </w:rPr>
        <w:instrText>title&gt;Multi</w:instrText>
      </w:r>
      <w:r w:rsidR="00700267">
        <w:rPr>
          <w:rFonts w:hint="eastAsia"/>
        </w:rPr>
        <w:instrText>‐</w:instrText>
      </w:r>
      <w:r w:rsidR="00700267">
        <w:rPr>
          <w:rFonts w:hint="eastAsia"/>
        </w:rPr>
        <w:instrText>criteria decision making</w:instrText>
      </w:r>
      <w:r w:rsidR="00700267">
        <w:rPr>
          <w:rFonts w:hint="eastAsia"/>
        </w:rPr>
        <w:instrText>–</w:instrText>
      </w:r>
      <w:r w:rsidR="00700267">
        <w:rPr>
          <w:rFonts w:hint="eastAsia"/>
        </w:rPr>
        <w:instrText xml:space="preserve"> an approach to setting priorities in health care&lt;/title&gt;&lt;secondary-title&gt;Statistics in medicine&lt;/secondary-title&gt;&lt;/titles&gt;&lt;pages&gt;3345-3354&lt;/pages&gt;&lt;volume&gt;18&lt;/volume&gt;&lt;number&gt;23&lt;/number&gt;&lt;dates&gt;&lt;year&gt;1999&lt;/year&gt;&lt;/dates&gt;&lt;</w:instrText>
      </w:r>
      <w:r w:rsidR="00700267">
        <w:instrText>isbn&gt;0277-6715&lt;/isbn&gt;&lt;urls&gt;&lt;related-urls&gt;&lt;url&gt;http://onlinelibrary.wiley.com/doi/10.1002/(SICI)1097-0258(19991215)18:23%3C3345::AID-SIM321%3E3.0.CO;2-7/abstract&lt;/url&gt;&lt;url&gt;http://onlinelibrary.wiley.com/store/10.1002/(SICI)1097-0258(19991215)18:23%3C3345::AID-SIM321%3E3.0.CO;2-7/asset/321_ftp.pdf?v=1&amp;amp;t=i4h4b033&amp;amp;s=6b4f1cf4bd663a585f527b96aa67c591b660c878&lt;/url&gt;&lt;url&gt;http://onlinelibrary.wiley.com/doi/10.1002/(SICI)1097-0258(19991215)18:23&amp;lt;3345::AID-SIM321&amp;gt;3.0.CO;2-7/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[163]</w:t>
      </w:r>
      <w:r w:rsidRPr="00F10391">
        <w:fldChar w:fldCharType="end"/>
      </w:r>
      <w:r w:rsidRPr="00F10391">
        <w:t xml:space="preserve"> prioritised the purchasing of health equipment for a hospital in Rio de Janeiro, identifying a clear winner (the video-laprascope). They used the TODIM approach to capture decision-makers’ preferences, uncertainties and conflicting viewpoints using fuzzy set aggregation rules, measuring eight alternatives across eight criteria. Their approach was rooted in Kahneman and Tversky’s Prospect Theory </w:t>
      </w:r>
      <w:r w:rsidRPr="00F10391">
        <w:fldChar w:fldCharType="begin"/>
      </w:r>
      <w:r w:rsidR="00700267">
        <w:instrText xml:space="preserve"> ADDIN EN.CITE &lt;EndNote&gt;&lt;Cite&gt;&lt;Author&gt;Kahneman&lt;/Author&gt;&lt;Year&gt;1979&lt;/Year&gt;&lt;RecNum&gt;68&lt;/RecNum&gt;&lt;DisplayText&gt;[55]&lt;/DisplayText&gt;&lt;record&gt;&lt;rec-number&gt;68&lt;/rec-number&gt;&lt;foreign-keys&gt;&lt;key app="EN" db-id="sz9092dv2s5fpze9wpgx0zxgv5ar00aezrvf" timestamp="0"&gt;68&lt;/key&gt;&lt;/foreign-keys&gt;&lt;ref-type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Society&lt;/secondary-title&gt;&lt;/titles&gt;&lt;pages&gt;263-291&lt;/pages&gt;&lt;dates&gt;&lt;year&gt;1979&lt;/year&gt;&lt;/dates&gt;&lt;isbn&gt;0012-9682&lt;/isbn&gt;&lt;urls&gt;&lt;/urls&gt;&lt;/record&gt;&lt;/Cite&gt;&lt;/EndNote&gt;</w:instrText>
      </w:r>
      <w:r w:rsidRPr="00F10391">
        <w:fldChar w:fldCharType="separate"/>
      </w:r>
      <w:r w:rsidR="00700267">
        <w:rPr>
          <w:noProof/>
        </w:rPr>
        <w:t>[55]</w:t>
      </w:r>
      <w:r w:rsidRPr="00F10391">
        <w:fldChar w:fldCharType="end"/>
      </w:r>
      <w:r w:rsidRPr="00F10391">
        <w:t xml:space="preserve"> in order to ensure that the risk of equipment failing to have the predicted impact is minimised, by weighting potential losses as more significant than potential gains.</w:t>
      </w:r>
    </w:p>
    <w:p w14:paraId="4A0FF436" w14:textId="77777777" w:rsidR="00D22CE3" w:rsidRPr="00F10391" w:rsidRDefault="00D22CE3">
      <w:r w:rsidRPr="00F10391">
        <w:t xml:space="preserve">The approach seems to have some merit, although the mathematical complexity of the approach may undermine somewhat the transparency associated with MCDA approaches. It concludes that TODIM may be particularly useful for such situations where opinions are polarised though extreme care must be taken to ensure that the methods are carried out appropriately, such as defining the attributes to be measured, questionnaire design and fuzzy aggregation procedures. </w:t>
      </w:r>
    </w:p>
    <w:p w14:paraId="6118A0EB" w14:textId="77777777" w:rsidR="00D22CE3" w:rsidRPr="00F10391" w:rsidRDefault="00D22CE3"/>
    <w:p w14:paraId="08E24764" w14:textId="77777777" w:rsidR="00D22CE3" w:rsidRPr="00F10391" w:rsidRDefault="00D22CE3">
      <w:pPr>
        <w:pStyle w:val="Heading4"/>
      </w:pPr>
      <w:bookmarkStart w:id="314" w:name="_Toc283984125"/>
      <w:bookmarkStart w:id="315" w:name="_Toc304640215"/>
      <w:bookmarkStart w:id="316" w:name="_Toc441508956"/>
      <w:bookmarkStart w:id="317" w:name="_Toc453235394"/>
      <w:bookmarkStart w:id="318" w:name="_Toc453595467"/>
      <w:bookmarkStart w:id="319" w:name="_Toc476241564"/>
      <w:r w:rsidRPr="00F10391">
        <w:t>3.4.4</w:t>
      </w:r>
      <w:r w:rsidRPr="00F10391">
        <w:tab/>
      </w:r>
      <w:r w:rsidRPr="00F10391">
        <w:tab/>
        <w:t>Goal programming</w:t>
      </w:r>
      <w:bookmarkEnd w:id="314"/>
      <w:bookmarkEnd w:id="315"/>
      <w:bookmarkEnd w:id="316"/>
      <w:bookmarkEnd w:id="317"/>
      <w:bookmarkEnd w:id="318"/>
      <w:bookmarkEnd w:id="319"/>
    </w:p>
    <w:p w14:paraId="6BD99002" w14:textId="77777777" w:rsidR="00D22CE3" w:rsidRPr="00F10391" w:rsidRDefault="00D22CE3"/>
    <w:p w14:paraId="14767DE9" w14:textId="77777777" w:rsidR="00D22CE3" w:rsidRPr="00F10391" w:rsidRDefault="00D22CE3">
      <w:r w:rsidRPr="00F10391">
        <w:t xml:space="preserve">No suitable goal programming studies were found for this review. </w:t>
      </w:r>
    </w:p>
    <w:p w14:paraId="20C91DC0" w14:textId="6408A460" w:rsidR="00D22CE3" w:rsidRDefault="00D22CE3"/>
    <w:p w14:paraId="3A96ED56" w14:textId="383B68AF" w:rsidR="00054658" w:rsidRDefault="00054658"/>
    <w:p w14:paraId="5A2BD51E" w14:textId="77777777" w:rsidR="00054658" w:rsidRPr="00F10391" w:rsidRDefault="00054658"/>
    <w:p w14:paraId="001EF233" w14:textId="77777777" w:rsidR="00D22CE3" w:rsidRPr="00F10391" w:rsidRDefault="00D22CE3">
      <w:pPr>
        <w:pStyle w:val="Heading4"/>
      </w:pPr>
      <w:bookmarkStart w:id="320" w:name="_Toc283984126"/>
      <w:bookmarkStart w:id="321" w:name="_Toc304640216"/>
      <w:bookmarkStart w:id="322" w:name="_Toc441508957"/>
      <w:bookmarkStart w:id="323" w:name="_Toc453235395"/>
      <w:bookmarkStart w:id="324" w:name="_Toc453595468"/>
      <w:bookmarkStart w:id="325" w:name="_Toc476241565"/>
      <w:r w:rsidRPr="00F10391">
        <w:lastRenderedPageBreak/>
        <w:t>3.4.5</w:t>
      </w:r>
      <w:r w:rsidRPr="00F10391">
        <w:tab/>
      </w:r>
      <w:r w:rsidRPr="00F10391">
        <w:tab/>
        <w:t>Other methods – PBMA</w:t>
      </w:r>
      <w:bookmarkEnd w:id="320"/>
      <w:bookmarkEnd w:id="321"/>
      <w:bookmarkEnd w:id="322"/>
      <w:bookmarkEnd w:id="323"/>
      <w:bookmarkEnd w:id="324"/>
      <w:bookmarkEnd w:id="325"/>
      <w:r w:rsidRPr="00F10391">
        <w:t xml:space="preserve"> </w:t>
      </w:r>
    </w:p>
    <w:p w14:paraId="3E3E3471" w14:textId="77777777" w:rsidR="00D22CE3" w:rsidRPr="00F10391" w:rsidRDefault="00D22CE3"/>
    <w:p w14:paraId="736EA971" w14:textId="77777777" w:rsidR="00D22CE3" w:rsidRPr="00F10391" w:rsidRDefault="00D22CE3">
      <w:r w:rsidRPr="00F10391">
        <w:t xml:space="preserve">PBMA has been applied to a wide range of topics. Understandably, some of the early papers are devoted to describing exactly what PBMA actually is </w:t>
      </w:r>
      <w:r w:rsidRPr="00F10391">
        <w:fldChar w:fldCharType="begin">
          <w:fldData xml:space="preserve">PEVuZE5vdGU+PENpdGU+PEF1dGhvcj5XaWxzb248L0F1dGhvcj48WWVhcj4xOTk1PC9ZZWFyPjxS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</w:fldData>
        </w:fldChar>
      </w:r>
      <w:r w:rsidR="00700267">
        <w:instrText xml:space="preserve"> ADDIN EN.CITE </w:instrText>
      </w:r>
      <w:r w:rsidR="00700267">
        <w:fldChar w:fldCharType="begin">
          <w:fldData xml:space="preserve">PEVuZE5vdGU+PENpdGU+PEF1dGhvcj5XaWxzb248L0F1dGhvcj48WWVhcj4xOTk1PC9ZZWFyPjxS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</w:fldData>
        </w:fldChar>
      </w:r>
      <w:r w:rsidR="00700267">
        <w:instrText xml:space="preserve"> ADDIN EN.CITE.DATA </w:instrText>
      </w:r>
      <w:r w:rsidR="00700267">
        <w:fldChar w:fldCharType="end"/>
      </w:r>
      <w:r w:rsidRPr="00F10391">
        <w:fldChar w:fldCharType="separate"/>
      </w:r>
      <w:r w:rsidR="00700267">
        <w:rPr>
          <w:noProof/>
        </w:rPr>
        <w:t>[137, 174, 175]</w:t>
      </w:r>
      <w:r w:rsidRPr="00F10391">
        <w:fldChar w:fldCharType="end"/>
      </w:r>
      <w:r w:rsidRPr="00F10391">
        <w:t xml:space="preserve">. Some of the most recent papers are still reconciling the best available approaches for its use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xml:space="preserve"> and which contexts are suitable for PBMA rather than other MCDA approaches </w:t>
      </w:r>
      <w:r w:rsidRPr="00F10391">
        <w:fldChar w:fldCharType="begin"/>
      </w:r>
      <w:r w:rsidR="00700267">
        <w:instrText xml:space="preserve"> ADDIN EN.CITE &lt;EndNote&gt;&lt;Cite&gt;&lt;Author&gt;Baltussen&lt;/Author&gt;&lt;Year&gt;2010&lt;/Year&gt;&lt;RecNum&gt;9&lt;/RecNum&gt;&lt;DisplayText&gt;[165]&lt;/DisplayText&gt;&lt;record&gt;&lt;rec-number&gt;9&lt;/rec-number&gt;&lt;foreign-keys&gt;&lt;key app="EN" db-id="sz9092dv2s5fpze9wpgx0zxgv5ar00aezrvf" timestamp="0"&gt;9&lt;/key&gt;&lt;/foreign-keys&gt;&lt;ref-type name="Journal Article"&gt;17&lt;/ref-type&gt;&lt;contributors&gt;&lt;authors&gt;&lt;author&gt;Baltussen, Rob&lt;/author&gt;&lt;author&gt;Youngkong, Sitapon&lt;/author&gt;&lt;author&gt;Paolucci, Francesco&lt;/author&gt;&lt;author&gt;Niessen, Louis&lt;/author&gt;&lt;/authors&gt;&lt;/contributors&gt;&lt;titles&gt;&lt;title&gt;Multi-criteria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dates&gt;&lt;year&gt;2010&lt;/year&gt;&lt;/dates&gt;&lt;isbn&gt;0168-8510&lt;/isbn&gt;&lt;urls&gt;&lt;related-urls&gt;&lt;url&gt;http://www.healthpolicyjrnl.com/article/S0168-8510(10)00024-2/abstract&lt;/url&gt;&lt;url&gt;http://ac.els-cdn.com/S0168851010000242/1-s2.0-S0168851010000242-main.pdf?_tid=0964ae0c-9359-11e4-be50-00000aab0f26&amp;amp;acdnat=1420297314_a2769ca8c6aa0d2a1c25bfb55722bfe5&lt;/url&gt;&lt;/related-urls&gt;&lt;/urls&gt;&lt;/record&gt;&lt;/Cite&gt;&lt;/EndNote&gt;</w:instrText>
      </w:r>
      <w:r w:rsidRPr="00F10391">
        <w:fldChar w:fldCharType="separate"/>
      </w:r>
      <w:r w:rsidR="00700267">
        <w:rPr>
          <w:noProof/>
        </w:rPr>
        <w:t>[165]</w:t>
      </w:r>
      <w:r w:rsidRPr="00F10391">
        <w:fldChar w:fldCharType="end"/>
      </w:r>
      <w:r w:rsidRPr="00F10391">
        <w:t xml:space="preserve">. A useful guide employing a transaction cost economic interpretation of PBMA is discussed by Jan </w:t>
      </w:r>
      <w:r w:rsidRPr="00F10391">
        <w:fldChar w:fldCharType="begin"/>
      </w:r>
      <w:r w:rsidR="00700267">
        <w:instrText xml:space="preserve"> ADDIN EN.CITE &lt;EndNote&gt;&lt;Cite&gt;&lt;Author&gt;Jan&lt;/Author&gt;&lt;Year&gt;2000&lt;/Year&gt;&lt;RecNum&gt;61&lt;/RecNum&gt;&lt;DisplayText&gt;[176]&lt;/DisplayText&gt;&lt;record&gt;&lt;rec-number&gt;61&lt;/rec-number&gt;&lt;foreign-keys&gt;&lt;key app="EN" db-id="sz9092dv2s5fpze9wpgx0zxgv5ar00aezrvf" timestamp="0"&gt;61&lt;/key&gt;&lt;/foreign-keys&gt;&lt;ref-type name="Journal Article"&gt;17&lt;/ref-type&gt;&lt;contributors&gt;&lt;authors&gt;&lt;author&gt;Jan, Stephen&lt;/author&gt;&lt;/authors&gt;&lt;/contributors&gt;&lt;titles&gt;&lt;title&gt;Institutional considerations in priority setting: transactions cost perspective on PBMA&lt;/title&gt;&lt;secondary-title&gt;Health Economics&lt;/secondary-title&gt;&lt;/titles&gt;&lt;periodical&gt;&lt;full-title&gt;Health economics&lt;/full-title&gt;&lt;/periodical&gt;&lt;pages&gt;631-641&lt;/pages&gt;&lt;volume&gt;9&lt;/volume&gt;&lt;number&gt;7&lt;/number&gt;&lt;dates&gt;&lt;year&gt;2000&lt;/year&gt;&lt;/dates&gt;&lt;isbn&gt;1099-1050&lt;/isbn&gt;&lt;urls&gt;&lt;related-urls&gt;&lt;url&gt;http://onlinelibrary.wiley.com/doi/10.1002/1099-1050(200010)9:7%3C631::AID-HEC531%3E3.0.CO;2-N/abstract&lt;/url&gt;&lt;url&gt;http://onlinelibrary.wiley.com/store/10.1002/1099-1050(200010)9:7%3C631::AID-HEC531%3E3.0.CO;2-N/asset/531_ftp.pdf?v=1&amp;amp;t=i4h4a6iq&amp;amp;s=c795fa059ebe67e34f1b9ba56b4aaa2da654ccf5&lt;/url&gt;&lt;url&gt;http://onlinelibrary.wiley.com/doi/10.1002/1099-1050(200010)9:7&amp;lt;631::AID-HEC531&amp;gt;3.0.CO;2-N/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[176]</w:t>
      </w:r>
      <w:r w:rsidRPr="00F10391">
        <w:fldChar w:fldCharType="end"/>
      </w:r>
      <w:r w:rsidRPr="00F10391">
        <w:t xml:space="preserve"> and a broad framework as to how to apply PBMA is presented by Mitton and Donaldson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which had initially been intended for application to a wide range of listed topics in Canada. Other areas to which is has been applied include gynaecological services </w:t>
      </w:r>
      <w:r w:rsidRPr="00F10391">
        <w:fldChar w:fldCharType="begin"/>
      </w:r>
      <w:r w:rsidR="00700267">
        <w:instrText xml:space="preserve"> ADDIN EN.CITE &lt;EndNote&gt;&lt;Cite&gt;&lt;Author&gt;Twaddle&lt;/Author&gt;&lt;Year&gt;1995&lt;/Year&gt;&lt;RecNum&gt;144&lt;/RecNum&gt;&lt;DisplayText&gt;[177]&lt;/DisplayText&gt;&lt;record&gt;&lt;rec-number&gt;144&lt;/rec-number&gt;&lt;foreign-keys&gt;&lt;key app="EN" db-id="sz9092dv2s5fpze9wpgx0zxgv5ar00aezrvf" timestamp="0"&gt;144&lt;/key&gt;&lt;/foreign-keys&gt;&lt;ref-type name="Journal Article"&gt;17&lt;/ref-type&gt;&lt;contributors&gt;&lt;authors&gt;&lt;author&gt;Twaddle, Sara&lt;/author&gt;&lt;author&gt;Walker, Andrew&lt;/author&gt;&lt;/authors&gt;&lt;/contributors&gt;&lt;titles&gt;&lt;title&gt;Programme budgeting and marginal analysis: application within programmes to assist purchasing in Greater Glasgow Health Board&lt;/title&gt;&lt;secondary-title&gt;Health Policy&lt;/secondary-title&gt;&lt;/titles&gt;&lt;periodical&gt;&lt;full-title&gt;Health Policy&lt;/full-title&gt;&lt;/periodical&gt;&lt;pages&gt;91-105&lt;/pages&gt;&lt;volume&gt;33&lt;/volume&gt;&lt;number&gt;2&lt;/number&gt;&lt;dates&gt;&lt;year&gt;1995&lt;/year&gt;&lt;/dates&gt;&lt;isbn&gt;0168-8510&lt;/isbn&gt;&lt;urls&gt;&lt;related-urls&gt;&lt;url&gt;http://www.healthpolicyjrnl.com/article/0168-8510(95)93671-M/abstract&lt;/url&gt;&lt;/related-urls&gt;&lt;/urls&gt;&lt;/record&gt;&lt;/Cite&gt;&lt;/EndNote&gt;</w:instrText>
      </w:r>
      <w:r w:rsidRPr="00F10391">
        <w:fldChar w:fldCharType="separate"/>
      </w:r>
      <w:r w:rsidR="00700267">
        <w:rPr>
          <w:noProof/>
        </w:rPr>
        <w:t>[177]</w:t>
      </w:r>
      <w:r w:rsidRPr="00F10391">
        <w:fldChar w:fldCharType="end"/>
      </w:r>
      <w:r w:rsidRPr="00F10391">
        <w:t xml:space="preserve">, diabetes care in general practices </w:t>
      </w:r>
      <w:r w:rsidRPr="00F10391">
        <w:fldChar w:fldCharType="begin"/>
      </w:r>
      <w:r w:rsidR="00700267">
        <w:instrText xml:space="preserve"> ADDIN EN.CITE &lt;EndNote&gt;&lt;Cite&gt;&lt;Author&gt;Scott&lt;/Author&gt;&lt;Year&gt;1998&lt;/Year&gt;&lt;RecNum&gt;129&lt;/RecNum&gt;&lt;DisplayText&gt;[178]&lt;/DisplayText&gt;&lt;record&gt;&lt;rec-number&gt;129&lt;/rec-number&gt;&lt;foreign-keys&gt;&lt;key app="EN" db-id="sz9092dv2s5fpze9wpgx0zxgv5ar00aezrvf" timestamp="0"&gt;129&lt;/key&gt;&lt;/foreign-keys&gt;&lt;ref-type name="Journal Article"&gt;17&lt;/ref-type&gt;&lt;contributors&gt;&lt;authors&gt;&lt;author&gt;Scott, Anthony&lt;/author&gt;&lt;author&gt;Currie, Norma&lt;/author&gt;&lt;author&gt;Donaldson, Cam&lt;/author&gt;&lt;/authors&gt;&lt;/contributors&gt;&lt;titles&gt;&lt;title&gt;Evaluating innovation in general practice: a pragmatic framework using programme budgeting and marginal analysis&lt;/title&gt;&lt;secondary-title&gt;Family Practice&lt;/secondary-title&gt;&lt;/titles&gt;&lt;pages&gt;216-222&lt;/pages&gt;&lt;volume&gt;15&lt;/volume&gt;&lt;number&gt;3&lt;/number&gt;&lt;dates&gt;&lt;year&gt;1998&lt;/year&gt;&lt;/dates&gt;&lt;isbn&gt;0263-2136&lt;/isbn&gt;&lt;urls&gt;&lt;related-urls&gt;&lt;url&gt;http://fampra.oxfordjournals.org/content/15/3/216.full.pdf&lt;/url&gt;&lt;/related-urls&gt;&lt;/urls&gt;&lt;/record&gt;&lt;/Cite&gt;&lt;/EndNote&gt;</w:instrText>
      </w:r>
      <w:r w:rsidRPr="00F10391">
        <w:fldChar w:fldCharType="separate"/>
      </w:r>
      <w:r w:rsidR="00700267">
        <w:rPr>
          <w:noProof/>
        </w:rPr>
        <w:t>[178]</w:t>
      </w:r>
      <w:r w:rsidRPr="00F10391">
        <w:fldChar w:fldCharType="end"/>
      </w:r>
      <w:r w:rsidRPr="00F10391">
        <w:t xml:space="preserve">, respiratory disease </w:t>
      </w:r>
      <w:r w:rsidRPr="00F10391">
        <w:fldChar w:fldCharType="begin"/>
      </w:r>
      <w:r w:rsidR="00700267">
        <w:instrText xml:space="preserve"> ADDIN EN.CITE &lt;EndNote&gt;&lt;Cite&gt;&lt;Author&gt;Bohmer&lt;/Author&gt;&lt;Year&gt;2001&lt;/Year&gt;&lt;RecNum&gt;15&lt;/RecNum&gt;&lt;DisplayText&gt;[179]&lt;/DisplayText&gt;&lt;record&gt;&lt;rec-number&gt;15&lt;/rec-number&gt;&lt;foreign-keys&gt;&lt;key app="EN" db-id="sz9092dv2s5fpze9wpgx0zxgv5ar00aezrvf" timestamp="0"&gt;15&lt;/key&gt;&lt;/foreign-keys&gt;&lt;ref-type name="Journal Article"&gt;17&lt;/ref-type&gt;&lt;contributors&gt;&lt;authors&gt;&lt;author&gt;Bohmer, Paul&lt;/author&gt;&lt;author&gt;Pain, Charles&lt;/author&gt;&lt;author&gt;Watt, Alex&lt;/author&gt;&lt;author&gt;Abernethy, Paul&lt;/author&gt;&lt;author&gt;Sceats, Janet&lt;/author&gt;&lt;/authors&gt;&lt;/contributors&gt;&lt;titles&gt;&lt;title&gt;Maximising health gain within available resources in the New Zealand public health system&lt;/title&gt;&lt;secondary-title&gt;Health Policy&lt;/secondary-title&gt;&lt;/titles&gt;&lt;periodical&gt;&lt;full-title&gt;Health Policy&lt;/full-title&gt;&lt;/periodical&gt;&lt;pages&gt;37-50&lt;/pages&gt;&lt;volume&gt;55&lt;/volume&gt;&lt;number&gt;1&lt;/number&gt;&lt;dates&gt;&lt;year&gt;2001&lt;/year&gt;&lt;/dates&gt;&lt;isbn&gt;0168-8510&lt;/isbn&gt;&lt;urls&gt;&lt;related-urls&gt;&lt;url&gt;http://www.healthpolicyjrnl.com/article/S0168-8510(00)00107-X/abstract&lt;/url&gt;&lt;url&gt;http://ac.els-cdn.com/S016885100000107X/1-s2.0-S016885100000107X-main.pdf?_tid=17087340-9359-11e4-a7bd-00000aab0f6c&amp;amp;acdnat=1420297337_732bc5c64d8d0d313d48527d1825d106&lt;/url&gt;&lt;/related-urls&gt;&lt;/urls&gt;&lt;/record&gt;&lt;/Cite&gt;&lt;/EndNote&gt;</w:instrText>
      </w:r>
      <w:r w:rsidRPr="00F10391">
        <w:fldChar w:fldCharType="separate"/>
      </w:r>
      <w:r w:rsidR="00700267">
        <w:rPr>
          <w:noProof/>
        </w:rPr>
        <w:t>[179]</w:t>
      </w:r>
      <w:r w:rsidRPr="00F10391">
        <w:fldChar w:fldCharType="end"/>
      </w:r>
      <w:r w:rsidRPr="00F10391">
        <w:t xml:space="preserve"> and coronary heart disease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w:t>
      </w:r>
    </w:p>
    <w:p w14:paraId="77674CD5" w14:textId="77777777" w:rsidR="00D22CE3" w:rsidRPr="00F10391" w:rsidRDefault="00D22CE3">
      <w:r w:rsidRPr="00F10391">
        <w:t xml:space="preserve">The tone of these papers is subtly - but nonetheless noticeably - different from those of the other methods. While traditional MCDA approaches undoubtedly emphasise finding practical and ‘requisite’ models to inform decision-makers, in PBMA papers there seems to be a clear desire to ensure that the method will be specifically helpful to management-level decision-makers. Advice as to how to carry out PBMAs seems more practical in tone, lacking in mathematical equations but containing flow-charts and language familiar to managers. The point is tangentially addressed in Mitton and Donaldson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00993BDE">
        <w:t xml:space="preserve"> (p.337)</w:t>
      </w:r>
      <w:r w:rsidRPr="00F10391">
        <w:t xml:space="preserve">, who consider success to be measured as “whether managers continue to support the priority setting approach taken”. As with other MCDA approaches, the fact that it is ultimately the same decision-makers that have to identify cost savings to match any extra increased expenditure should make it all the more likely that the findings will be implemented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xml:space="preserve">. </w:t>
      </w:r>
    </w:p>
    <w:p w14:paraId="50FB8016" w14:textId="216864E2" w:rsidR="00D22CE3" w:rsidRPr="00F10391" w:rsidRDefault="00D22CE3">
      <w:r w:rsidRPr="00F10391">
        <w:t xml:space="preserve">PBMA explicitly measures the change in need as the primary outcome measure as opposed to intangible (i.e. potentially inefficient) concepts such as “burden of illness”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 It is often “compared favourably with historical funding mechanisms, first, because of its transparency and second, because it is geared toward a defined objective of efficiency”</w:t>
      </w:r>
      <w:r w:rsidR="00220BD6">
        <w:t xml:space="preserve"> </w:t>
      </w:r>
      <w:r w:rsidR="007C58DB">
        <w:fldChar w:fldCharType="begin"/>
      </w:r>
      <w:r w:rsidR="00700267">
        <w:instrText xml:space="preserve"> ADDIN EN.CITE &lt;EndNote&gt;&lt;Cite&gt;&lt;Author&gt;Jan&lt;/Author&gt;&lt;Year&gt;2000&lt;/Year&gt;&lt;RecNum&gt;61&lt;/RecNum&gt;&lt;DisplayText&gt;[176]&lt;/DisplayText&gt;&lt;record&gt;&lt;rec-number&gt;61&lt;/rec-number&gt;&lt;foreign-keys&gt;&lt;key app="EN" db-id="sz9092dv2s5fpze9wpgx0zxgv5ar00aezrvf" timestamp="0"&gt;61&lt;/key&gt;&lt;/foreign-keys&gt;&lt;ref-type name="Journal Article"&gt;17&lt;/ref-type&gt;&lt;contributors&gt;&lt;authors&gt;&lt;author&gt;Jan, Stephen&lt;/author&gt;&lt;/authors&gt;&lt;/contributors&gt;&lt;titles&gt;&lt;title&gt;Institutional considerations in priority setting: transactions cost perspective on PBMA&lt;/title&gt;&lt;secondary-title&gt;Health Economics&lt;/secondary-title&gt;&lt;/titles&gt;&lt;periodical&gt;&lt;full-title&gt;Health economics&lt;/full-title&gt;&lt;/periodical&gt;&lt;pages&gt;631-641&lt;/pages&gt;&lt;volume&gt;9&lt;/volume&gt;&lt;number&gt;7&lt;/number&gt;&lt;dates&gt;&lt;year&gt;2000&lt;/year&gt;&lt;/dates&gt;&lt;isbn&gt;1099-1050&lt;/isbn&gt;&lt;urls&gt;&lt;related-urls&gt;&lt;url&gt;http://onlinelibrary.wiley.com/doi/10.1002/1099-1050(200010)9:7%3C631::AID-HEC531%3E3.0.CO;2-N/abstract&lt;/url&gt;&lt;url&gt;http://onlinelibrary.wiley.com/store/10.1002/1099-1050(200010)9:7%3C631::AID-HEC531%3E3.0.CO;2-N/asset/531_ftp.pdf?v=1&amp;amp;t=i4h4a6iq&amp;amp;s=c795fa059ebe67e34f1b9ba56b4aaa2da654ccf5&lt;/url&gt;&lt;url&gt;http://onlinelibrary.wiley.com/doi/10.1002/1099-1050(200010)9:7&amp;lt;631::AID-HEC531&amp;gt;3.0.CO;2-N/abstract?systemMessage=Wiley+Online+Library+will+be+unavailable+for+up+to+3+hours+on+Saturday+19th+March+2016+from++11%3A00-14%3A00+GMT+%2F+07%3A00-10%3A00+EDT+%2F+19%3A00-22%3A00+SGT+for+essential+maintenance.++Apologies+for+the+inconvenience.&lt;/url&gt;&lt;/related-urls&gt;&lt;/urls&gt;&lt;/record&gt;&lt;/Cite&gt;&lt;/EndNote&gt;</w:instrText>
      </w:r>
      <w:r w:rsidR="007C58DB">
        <w:fldChar w:fldCharType="separate"/>
      </w:r>
      <w:r w:rsidR="00700267">
        <w:rPr>
          <w:noProof/>
        </w:rPr>
        <w:t>[176]</w:t>
      </w:r>
      <w:r w:rsidR="007C58DB">
        <w:fldChar w:fldCharType="end"/>
      </w:r>
      <w:r w:rsidR="007C58DB">
        <w:t xml:space="preserve"> </w:t>
      </w:r>
      <w:r w:rsidR="00220BD6">
        <w:t>(p.633)</w:t>
      </w:r>
      <w:r w:rsidR="007C58DB">
        <w:t xml:space="preserve">. </w:t>
      </w:r>
      <w:r w:rsidRPr="00F10391">
        <w:t xml:space="preserve">It is also argued that the approach is likely to increase “accountability, credibility and acceptability of results by [broader] society” </w:t>
      </w:r>
      <w:r w:rsidRPr="00F10391">
        <w:fldChar w:fldCharType="begin"/>
      </w:r>
      <w:r w:rsidR="00700267">
        <w:instrText xml:space="preserve"> ADDIN EN.CITE &lt;EndNote&gt;&lt;Cite&gt;&lt;Author&gt;Baltussen&lt;/Author&gt;&lt;Year&gt;2010&lt;/Year&gt;&lt;RecNum&gt;9&lt;/RecNum&gt;&lt;DisplayText&gt;[165]&lt;/DisplayText&gt;&lt;record&gt;&lt;rec-number&gt;9&lt;/rec-number&gt;&lt;foreign-keys&gt;&lt;key app="EN" db-id="sz9092dv2s5fpze9wpgx0zxgv5ar00aezrvf" timestamp="0"&gt;9&lt;/key&gt;&lt;/foreign-keys&gt;&lt;ref-type name="Journal Article"&gt;17&lt;/ref-type&gt;&lt;contributors&gt;&lt;authors&gt;&lt;author&gt;Baltussen, Rob&lt;/author&gt;&lt;author&gt;Youngkong, Sitapon&lt;/author&gt;&lt;author&gt;Paolucci, Francesco&lt;/author&gt;&lt;author&gt;Niessen, Louis&lt;/author&gt;&lt;/authors&gt;&lt;/contributors&gt;&lt;titles&gt;&lt;title&gt;Multi-criteria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dates&gt;&lt;year&gt;2010&lt;/year&gt;&lt;/dates&gt;&lt;isbn&gt;0168-8510&lt;/isbn&gt;&lt;urls&gt;&lt;related-urls&gt;&lt;url&gt;http://www.healthpolicyjrnl.com/article/S0168-8510(10)00024-2/abstract&lt;/url&gt;&lt;url&gt;http://ac.els-cdn.com/S0168851010000242/1-s2.0-S0168851010000242-main.pdf?_tid=0964ae0c-9359-11e4-be50-00000aab0f26&amp;amp;acdnat=1420297314_a2769ca8c6aa0d2a1c25bfb55722bfe5&lt;/url&gt;&lt;/related-urls&gt;&lt;/urls&gt;&lt;/record&gt;&lt;/Cite&gt;&lt;/EndNote&gt;</w:instrText>
      </w:r>
      <w:r w:rsidRPr="00F10391">
        <w:fldChar w:fldCharType="separate"/>
      </w:r>
      <w:r w:rsidR="00700267">
        <w:rPr>
          <w:noProof/>
        </w:rPr>
        <w:t>[165]</w:t>
      </w:r>
      <w:r w:rsidRPr="00F10391">
        <w:fldChar w:fldCharType="end"/>
      </w:r>
      <w:r w:rsidR="004D16EC">
        <w:t xml:space="preserve"> (p.263)</w:t>
      </w:r>
      <w:r w:rsidRPr="00F10391">
        <w:t xml:space="preserve">, as with other MCDA approaches. Conventional forms of economic analysis can produce a blinkered view of healthcare without considering explicitly its objectives </w:t>
      </w:r>
      <w:r w:rsidRPr="00F10391">
        <w:fldChar w:fldCharType="begin">
          <w:fldData xml:space="preserve">PEVuZE5vdGU+PENpdGU+PEF1dGhvcj5XaWxzb248L0F1dGhvcj48WWVhcj4yMDA5PC9ZZWFyPjxS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</w:fldData>
        </w:fldChar>
      </w:r>
      <w:r w:rsidR="00700267">
        <w:instrText xml:space="preserve"> ADDIN EN.CITE </w:instrText>
      </w:r>
      <w:r w:rsidR="00700267">
        <w:fldChar w:fldCharType="begin">
          <w:fldData xml:space="preserve">PEVuZE5vdGU+PENpdGU+PEF1dGhvcj5XaWxzb248L0F1dGhvcj48WWVhcj4yMDA5PC9ZZWFyPjxS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</w:fldData>
        </w:fldChar>
      </w:r>
      <w:r w:rsidR="00700267">
        <w:instrText xml:space="preserve"> ADDIN EN.CITE.DATA </w:instrText>
      </w:r>
      <w:r w:rsidR="00700267">
        <w:fldChar w:fldCharType="end"/>
      </w:r>
      <w:r w:rsidRPr="00F10391">
        <w:fldChar w:fldCharType="separate"/>
      </w:r>
      <w:r w:rsidR="00700267">
        <w:rPr>
          <w:noProof/>
        </w:rPr>
        <w:t>[126, 176]</w:t>
      </w:r>
      <w:r w:rsidRPr="00F10391">
        <w:fldChar w:fldCharType="end"/>
      </w:r>
      <w:r w:rsidRPr="00F10391">
        <w:t xml:space="preserve">. Without the input of stakeholders of PBMA, these approaches could encourage ‘short-termist’ views on spending, rather than long-term cost savings and health benefits </w:t>
      </w:r>
      <w:r w:rsidRPr="00F10391">
        <w:fldChar w:fldCharType="begin"/>
      </w:r>
      <w:r w:rsidR="00700267">
        <w:instrText xml:space="preserve"> ADDIN EN.CITE &lt;EndNote&gt;&lt;Cite&gt;&lt;Author&gt;Twaddle&lt;/Author&gt;&lt;Year&gt;1995&lt;/Year&gt;&lt;RecNum&gt;144&lt;/RecNum&gt;&lt;DisplayText&gt;[177]&lt;/DisplayText&gt;&lt;record&gt;&lt;rec-number&gt;144&lt;/rec-number&gt;&lt;foreign-keys&gt;&lt;key app="EN" db-id="sz9092dv2s5fpze9wpgx0zxgv5ar00aezrvf" timestamp="0"&gt;144&lt;/key&gt;&lt;/foreign-keys&gt;&lt;ref-type name="Journal Article"&gt;17&lt;/ref-type&gt;&lt;contributors&gt;&lt;authors&gt;&lt;author&gt;Twaddle, Sara&lt;/author&gt;&lt;author&gt;Walker, Andrew&lt;/author&gt;&lt;/authors&gt;&lt;/contributors&gt;&lt;titles&gt;&lt;title&gt;Programme budgeting and marginal analysis: application within programmes to assist purchasing in Greater Glasgow Health Board&lt;/title&gt;&lt;secondary-title&gt;Health Policy&lt;/secondary-title&gt;&lt;/titles&gt;&lt;periodical&gt;&lt;full-title&gt;Health Policy&lt;/full-title&gt;&lt;/periodical&gt;&lt;pages&gt;91-105&lt;/pages&gt;&lt;volume&gt;33&lt;/volume&gt;&lt;number&gt;2&lt;/number&gt;&lt;dates&gt;&lt;year&gt;1995&lt;/year&gt;&lt;/dates&gt;&lt;isbn&gt;0168-8510&lt;/isbn&gt;&lt;urls&gt;&lt;related-urls&gt;&lt;url&gt;http://www.healthpolicyjrnl.com/article/0168-8510(95)93671-M/abstract&lt;/url&gt;&lt;/related-urls&gt;&lt;/urls&gt;&lt;/record&gt;&lt;/Cite&gt;&lt;/EndNote&gt;</w:instrText>
      </w:r>
      <w:r w:rsidRPr="00F10391">
        <w:fldChar w:fldCharType="separate"/>
      </w:r>
      <w:r w:rsidR="00700267">
        <w:rPr>
          <w:noProof/>
        </w:rPr>
        <w:t>[177]</w:t>
      </w:r>
      <w:r w:rsidRPr="00F10391">
        <w:fldChar w:fldCharType="end"/>
      </w:r>
      <w:r w:rsidRPr="00F10391">
        <w:t xml:space="preserve">. Issues for consideration may be too broadly defined for economic analysis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 removing the possibility of meaningfully weighing up its constituent sub-programmes.</w:t>
      </w:r>
    </w:p>
    <w:p w14:paraId="5B6DBDCF" w14:textId="77777777" w:rsidR="00D22CE3" w:rsidRPr="00F10391" w:rsidRDefault="00D22CE3">
      <w:r w:rsidRPr="00F10391">
        <w:t xml:space="preserve">PBMA, (as with the other MCDA methods) should primarily inform the decision-makers rather than remove their responsibility to consider the final decision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xml:space="preserve">. PBMA does not try to maximise benefits across all programmes at the same time – to do so would not be feasible – but attempts to rank a subset of options in a given year to maximise the benefits provided by that subgroup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xml:space="preserve">. Baltussen et al. </w:t>
      </w:r>
      <w:r w:rsidRPr="00F10391">
        <w:fldChar w:fldCharType="begin"/>
      </w:r>
      <w:r w:rsidR="00700267">
        <w:instrText xml:space="preserve"> ADDIN EN.CITE &lt;EndNote&gt;&lt;Cite&gt;&lt;Author&gt;Baltussen&lt;/Author&gt;&lt;Year&gt;2010&lt;/Year&gt;&lt;RecNum&gt;9&lt;/RecNum&gt;&lt;DisplayText&gt;[165]&lt;/DisplayText&gt;&lt;record&gt;&lt;rec-number&gt;9&lt;/rec-number&gt;&lt;foreign-keys&gt;&lt;key app="EN" db-id="sz9092dv2s5fpze9wpgx0zxgv5ar00aezrvf" timestamp="0"&gt;9&lt;/key&gt;&lt;/foreign-keys&gt;&lt;ref-type name="Journal Article"&gt;17&lt;/ref-type&gt;&lt;contributors&gt;&lt;authors&gt;&lt;author&gt;Baltussen, Rob&lt;/author&gt;&lt;author&gt;Youngkong, Sitapon&lt;/author&gt;&lt;author&gt;Paolucci, Francesco&lt;/author&gt;&lt;author&gt;Niessen, Louis&lt;/author&gt;&lt;/authors&gt;&lt;/contributors&gt;&lt;titles&gt;&lt;title&gt;Multi-criteria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dates&gt;&lt;year&gt;2010&lt;/year&gt;&lt;/dates&gt;&lt;isbn&gt;0168-8510&lt;/isbn&gt;&lt;urls&gt;&lt;related-urls&gt;&lt;url&gt;http://www.healthpolicyjrnl.com/article/S0168-8510(10)00024-2/abstract&lt;/url&gt;&lt;url&gt;http://ac.els-cdn.com/S0168851010000242/1-s2.0-S0168851010000242-main.pdf?_tid=0964ae0c-9359-11e4-be50-00000aab0f26&amp;amp;acdnat=1420297314_a2769ca8c6aa0d2a1c25bfb55722bfe5&lt;/url&gt;&lt;/related-urls&gt;&lt;/urls&gt;&lt;/record&gt;&lt;/Cite&gt;&lt;/EndNote&gt;</w:instrText>
      </w:r>
      <w:r w:rsidRPr="00F10391">
        <w:fldChar w:fldCharType="separate"/>
      </w:r>
      <w:r w:rsidR="00700267">
        <w:rPr>
          <w:noProof/>
        </w:rPr>
        <w:t>[165]</w:t>
      </w:r>
      <w:r w:rsidRPr="00F10391">
        <w:fldChar w:fldCharType="end"/>
      </w:r>
      <w:r w:rsidRPr="00F10391">
        <w:t xml:space="preserve"> argue that PBMA is particularly useful for choosing between a small set of alternatives in a specific context, but that studies that aim to inform prioritisation discussion on a larger scale are better suited to other forms of MCDA. </w:t>
      </w:r>
    </w:p>
    <w:p w14:paraId="1C1784AB" w14:textId="77777777" w:rsidR="00D22CE3" w:rsidRPr="00F10391" w:rsidRDefault="00D22CE3">
      <w:r w:rsidRPr="00F10391">
        <w:t xml:space="preserve">One major difficulty in carrying out a PBMA is that the information collection stage can be very difficult and so must be carried out carefully </w:t>
      </w:r>
      <w:r w:rsidRPr="00F10391">
        <w:fldChar w:fldCharType="begin">
          <w:fldData xml:space="preserve">PEVuZE5vdGU+PENpdGU+PEF1dGhvcj5Eb25hbGRzb248L0F1dGhvcj48WWVhcj4xOTk1PC9ZZWFy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</w:fldData>
        </w:fldChar>
      </w:r>
      <w:r w:rsidR="00700267">
        <w:instrText xml:space="preserve"> ADDIN EN.CITE </w:instrText>
      </w:r>
      <w:r w:rsidR="00700267">
        <w:fldChar w:fldCharType="begin">
          <w:fldData xml:space="preserve">PEVuZE5vdGU+PENpdGU+PEF1dGhvcj5Eb25hbGRzb248L0F1dGhvcj48WWVhcj4xOTk1PC9ZZWFy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</w:fldData>
        </w:fldChar>
      </w:r>
      <w:r w:rsidR="00700267">
        <w:instrText xml:space="preserve"> ADDIN EN.CITE.DATA </w:instrText>
      </w:r>
      <w:r w:rsidR="00700267">
        <w:fldChar w:fldCharType="end"/>
      </w:r>
      <w:r w:rsidRPr="00F10391">
        <w:fldChar w:fldCharType="separate"/>
      </w:r>
      <w:r w:rsidR="00700267">
        <w:rPr>
          <w:noProof/>
        </w:rPr>
        <w:t>[175, 178, 180]</w:t>
      </w:r>
      <w:r w:rsidRPr="00F10391">
        <w:fldChar w:fldCharType="end"/>
      </w:r>
      <w:r w:rsidRPr="00F10391">
        <w:t xml:space="preserve">, whether the details are to be </w:t>
      </w:r>
      <w:r w:rsidRPr="00F10391">
        <w:lastRenderedPageBreak/>
        <w:t xml:space="preserve">provided from the NHS, other organisations, literary searches or expert opinion. However, this is not an excuse not to undertake PBMA; data quality in the NHS is always improving. PBMA use will accelerate this process </w:t>
      </w:r>
      <w:r w:rsidRPr="00F10391">
        <w:fldChar w:fldCharType="begin"/>
      </w:r>
      <w:r w:rsidR="00700267">
        <w:instrText xml:space="preserve"> ADDIN EN.CITE &lt;EndNote&gt;&lt;Cite&gt;&lt;Author&gt;Wilson&lt;/Author&gt;&lt;Year&gt;1995&lt;/Year&gt;&lt;RecNum&gt;162&lt;/RecNum&gt;&lt;DisplayText&gt;[174]&lt;/DisplayText&gt;&lt;record&gt;&lt;rec-number&gt;162&lt;/rec-number&gt;&lt;foreign-keys&gt;&lt;key app="EN" db-id="sz9092dv2s5fpze9wpgx0zxgv5ar00aezrvf" timestamp="0"&gt;162&lt;/key&gt;&lt;/foreign-keys&gt;&lt;ref-type name="Journal Article"&gt;17&lt;/ref-type&gt;&lt;contributors&gt;&lt;authors&gt;&lt;author&gt;Wilson, Hamish&lt;/author&gt;&lt;author&gt;Scott, Sheila&lt;/author&gt;&lt;/authors&gt;&lt;/contributors&gt;&lt;titles&gt;&lt;title&gt;PBMA—its role in the future purchasing arrangements for health care services&lt;/title&gt;&lt;secondary-title&gt;Health policy&lt;/secondary-title&gt;&lt;/titles&gt;&lt;periodical&gt;&lt;full-title&gt;Health Policy&lt;/full-title&gt;&lt;/periodical&gt;&lt;pages&gt;157-160&lt;/pages&gt;&lt;volume&gt;33&lt;/volume&gt;&lt;number&gt;2&lt;/number&gt;&lt;dates&gt;&lt;year&gt;1995&lt;/year&gt;&lt;/dates&gt;&lt;isbn&gt;0168-8510&lt;/isbn&gt;&lt;urls&gt;&lt;related-urls&gt;&lt;url&gt;http://www.healthpolicyjrnl.com/article/0168-8510(95)93675-Q/abstract&lt;/url&gt;&lt;/related-urls&gt;&lt;/urls&gt;&lt;/record&gt;&lt;/Cite&gt;&lt;/EndNote&gt;</w:instrText>
      </w:r>
      <w:r w:rsidRPr="00F10391">
        <w:fldChar w:fldCharType="separate"/>
      </w:r>
      <w:r w:rsidR="00700267">
        <w:rPr>
          <w:noProof/>
        </w:rPr>
        <w:t>[174]</w:t>
      </w:r>
      <w:r w:rsidRPr="00F10391">
        <w:fldChar w:fldCharType="end"/>
      </w:r>
      <w:r w:rsidRPr="00F10391">
        <w:t xml:space="preserve"> and results can still be interpreted where it is suspected that data is likely to be incomplete </w:t>
      </w:r>
      <w:r w:rsidRPr="00F10391">
        <w:fldChar w:fldCharType="begin"/>
      </w:r>
      <w:r w:rsidR="00700267">
        <w:instrText xml:space="preserve"> ADDIN EN.CITE &lt;EndNote&gt;&lt;Cite&gt;&lt;Author&gt;Scott&lt;/Author&gt;&lt;Year&gt;1998&lt;/Year&gt;&lt;RecNum&gt;129&lt;/RecNum&gt;&lt;DisplayText&gt;[178]&lt;/DisplayText&gt;&lt;record&gt;&lt;rec-number&gt;129&lt;/rec-number&gt;&lt;foreign-keys&gt;&lt;key app="EN" db-id="sz9092dv2s5fpze9wpgx0zxgv5ar00aezrvf" timestamp="0"&gt;129&lt;/key&gt;&lt;/foreign-keys&gt;&lt;ref-type name="Journal Article"&gt;17&lt;/ref-type&gt;&lt;contributors&gt;&lt;authors&gt;&lt;author&gt;Scott, Anthony&lt;/author&gt;&lt;author&gt;Currie, Norma&lt;/author&gt;&lt;author&gt;Donaldson, Cam&lt;/author&gt;&lt;/authors&gt;&lt;/contributors&gt;&lt;titles&gt;&lt;title&gt;Evaluating innovation in general practice: a pragmatic framework using programme budgeting and marginal analysis&lt;/title&gt;&lt;secondary-title&gt;Family Practice&lt;/secondary-title&gt;&lt;/titles&gt;&lt;pages&gt;216-222&lt;/pages&gt;&lt;volume&gt;15&lt;/volume&gt;&lt;number&gt;3&lt;/number&gt;&lt;dates&gt;&lt;year&gt;1998&lt;/year&gt;&lt;/dates&gt;&lt;isbn&gt;0263-2136&lt;/isbn&gt;&lt;urls&gt;&lt;related-urls&gt;&lt;url&gt;http://fampra.oxfordjournals.org/content/15/3/216.full.pdf&lt;/url&gt;&lt;/related-urls&gt;&lt;/urls&gt;&lt;/record&gt;&lt;/Cite&gt;&lt;/EndNote&gt;</w:instrText>
      </w:r>
      <w:r w:rsidRPr="00F10391">
        <w:fldChar w:fldCharType="separate"/>
      </w:r>
      <w:r w:rsidR="00700267">
        <w:rPr>
          <w:noProof/>
        </w:rPr>
        <w:t>[178]</w:t>
      </w:r>
      <w:r w:rsidRPr="00F10391">
        <w:fldChar w:fldCharType="end"/>
      </w:r>
      <w:r w:rsidRPr="00F10391">
        <w:t>. It is also likely that data quality has improved substantially since these two papers were written.</w:t>
      </w:r>
    </w:p>
    <w:p w14:paraId="4D495F20" w14:textId="77777777" w:rsidR="00D22CE3" w:rsidRPr="00F10391" w:rsidRDefault="00D22CE3">
      <w:r w:rsidRPr="00F10391">
        <w:t xml:space="preserve">Another difficulty is that PBMA requires a large amount of time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 xml:space="preserve">, and that the stakeholders working in the health sector are likely to already have hectic timetables. However, this is an issue with all MCDA approaches and is not without its own advantages, allowing time for stakeholders to reflect upon the previous meetings. It is also likely that, if repeated over a number of years, participants would become more familiar with the technique and that less such resources will be required. Nonetheless, with so many pressures in this regard, it is vital that somebody is given responsibility to ensure it stays on course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 xml:space="preserve">, as chairman or in a similar role. </w:t>
      </w:r>
    </w:p>
    <w:p w14:paraId="12D321A6" w14:textId="018306AC" w:rsidR="00D22CE3" w:rsidRPr="00F10391" w:rsidRDefault="00D22CE3">
      <w:r w:rsidRPr="00F10391">
        <w:t xml:space="preserve">The group of stakeholders must be large enough to be representative but small enough to be manageable and for decisions to be made within a reasonable timeframe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If necessary, further members of the group should be added after the set of alternatives is identified to ensure there is sufficient expertise to make suitable </w:t>
      </w:r>
      <w:r w:rsidR="001B7ADD">
        <w:t>judgment</w:t>
      </w:r>
      <w:r w:rsidRPr="00F10391">
        <w:t xml:space="preserve">s </w:t>
      </w:r>
      <w:r w:rsidRPr="00F10391">
        <w:fldChar w:fldCharType="begin"/>
      </w:r>
      <w:r w:rsidR="00700267">
        <w:instrText xml:space="preserve"> ADDIN EN.CITE &lt;EndNote&gt;&lt;Cite&gt;&lt;Author&gt;Bohmer&lt;/Author&gt;&lt;Year&gt;2001&lt;/Year&gt;&lt;RecNum&gt;15&lt;/RecNum&gt;&lt;DisplayText&gt;[179]&lt;/DisplayText&gt;&lt;record&gt;&lt;rec-number&gt;15&lt;/rec-number&gt;&lt;foreign-keys&gt;&lt;key app="EN" db-id="sz9092dv2s5fpze9wpgx0zxgv5ar00aezrvf" timestamp="0"&gt;15&lt;/key&gt;&lt;/foreign-keys&gt;&lt;ref-type name="Journal Article"&gt;17&lt;/ref-type&gt;&lt;contributors&gt;&lt;authors&gt;&lt;author&gt;Bohmer, Paul&lt;/author&gt;&lt;author&gt;Pain, Charles&lt;/author&gt;&lt;author&gt;Watt, Alex&lt;/author&gt;&lt;author&gt;Abernethy, Paul&lt;/author&gt;&lt;author&gt;Sceats, Janet&lt;/author&gt;&lt;/authors&gt;&lt;/contributors&gt;&lt;titles&gt;&lt;title&gt;Maximising health gain within available resources in the New Zealand public health system&lt;/title&gt;&lt;secondary-title&gt;Health Policy&lt;/secondary-title&gt;&lt;/titles&gt;&lt;periodical&gt;&lt;full-title&gt;Health Policy&lt;/full-title&gt;&lt;/periodical&gt;&lt;pages&gt;37-50&lt;/pages&gt;&lt;volume&gt;55&lt;/volume&gt;&lt;number&gt;1&lt;/number&gt;&lt;dates&gt;&lt;year&gt;2001&lt;/year&gt;&lt;/dates&gt;&lt;isbn&gt;0168-8510&lt;/isbn&gt;&lt;urls&gt;&lt;related-urls&gt;&lt;url&gt;http://www.healthpolicyjrnl.com/article/S0168-8510(00)00107-X/abstract&lt;/url&gt;&lt;url&gt;http://ac.els-cdn.com/S016885100000107X/1-s2.0-S016885100000107X-main.pdf?_tid=17087340-9359-11e4-a7bd-00000aab0f6c&amp;amp;acdnat=1420297337_732bc5c64d8d0d313d48527d1825d106&lt;/url&gt;&lt;/related-urls&gt;&lt;/urls&gt;&lt;/record&gt;&lt;/Cite&gt;&lt;/EndNote&gt;</w:instrText>
      </w:r>
      <w:r w:rsidRPr="00F10391">
        <w:fldChar w:fldCharType="separate"/>
      </w:r>
      <w:r w:rsidR="00700267">
        <w:rPr>
          <w:noProof/>
        </w:rPr>
        <w:t>[179]</w:t>
      </w:r>
      <w:r w:rsidRPr="00F10391">
        <w:fldChar w:fldCharType="end"/>
      </w:r>
      <w:r w:rsidRPr="00F10391">
        <w:t xml:space="preserve">. Group dynamics also have to be carefully managed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xml:space="preserve">. One such approach that proved useful in overcoming this was the identification of potential disinvestments through one-on-one meetings with stakeholders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to remove any stigma or reluctance on their part to question programmes openly.</w:t>
      </w:r>
    </w:p>
    <w:p w14:paraId="48BE9AAC" w14:textId="77777777" w:rsidR="00D22CE3" w:rsidRPr="00F10391" w:rsidRDefault="00D22CE3">
      <w:r w:rsidRPr="00F10391">
        <w:t xml:space="preserve">There is a clear risk of gaming occurring in PBMA, as stakeholders may be tempted to ensure that their particular field is better catered for by behaving dishonestly. This is potentially exacerbated by asymmetry of information between purchasers and providers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 xml:space="preserve">, where such a system exists. Even the fact that the costs and benefits of a given decision may impact in other disease areas or programmes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xml:space="preserve"> could be manipulated by unscrupulous stakeholders. However, by “establishing PBMA as a continual, on-going process, the incentive for gaming is diminished because it brings into consideration, for each individual, reputation effects” </w:t>
      </w:r>
      <w:r w:rsidRPr="00F10391">
        <w:fldChar w:fldCharType="begin"/>
      </w:r>
      <w:r w:rsidR="00700267">
        <w:instrText xml:space="preserve"> ADDIN EN.CITE &lt;EndNote&gt;&lt;Cite&gt;&lt;Author&gt;Jan&lt;/Author&gt;&lt;Year&gt;2000&lt;/Year&gt;&lt;RecNum&gt;61&lt;/RecNum&gt;&lt;DisplayText&gt;[176]&lt;/DisplayText&gt;&lt;record&gt;&lt;rec-number&gt;61&lt;/rec-number&gt;&lt;foreign-keys&gt;&lt;key app="EN" db-id="sz9092dv2s5fpze9wpgx0zxgv5ar00aezrvf" timestamp="0"&gt;61&lt;/key&gt;&lt;/foreign-keys&gt;&lt;ref-type name="Journal Article"&gt;17&lt;/ref-type&gt;&lt;contributors&gt;&lt;authors&gt;&lt;author&gt;Jan, Stephen&lt;/author&gt;&lt;/authors&gt;&lt;/contributors&gt;&lt;titles&gt;&lt;title&gt;Institutional considerations in priority setting: transactions cost perspective on PBMA&lt;/title&gt;&lt;secondary-title&gt;Health Economics&lt;/secondary-title&gt;&lt;/titles&gt;&lt;periodical&gt;&lt;full-title&gt;Health economics&lt;/full-title&gt;&lt;/periodical&gt;&lt;pages&gt;631-641&lt;/pages&gt;&lt;volume&gt;9&lt;/volume&gt;&lt;number&gt;7&lt;/number&gt;&lt;dates&gt;&lt;year&gt;2000&lt;/year&gt;&lt;/dates&gt;&lt;isbn&gt;1099-1050&lt;/isbn&gt;&lt;urls&gt;&lt;related-urls&gt;&lt;url&gt;http://onlinelibrary.wiley.com/doi/10.1002/1099-1050(200010)9:7%3C631::AID-HEC531%3E3.0.CO;2-N/abstract&lt;/url&gt;&lt;url&gt;http://onlinelibrary.wiley.com/store/10.1002/1099-1050(200010)9:7%3C631::AID-HEC531%3E3.0.CO;2-N/asset/531_ftp.pdf?v=1&amp;amp;t=i4h4a6iq&amp;amp;s=c795fa059ebe67e34f1b9ba56b4aaa2da654ccf5&lt;/url&gt;&lt;url&gt;http://onlinelibrary.wiley.com/doi/10.1002/1099-1050(200010)9:7&amp;lt;631::AID-HEC531&amp;gt;3.0.CO;2-N/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[176]</w:t>
      </w:r>
      <w:r w:rsidRPr="00F10391">
        <w:fldChar w:fldCharType="end"/>
      </w:r>
      <w:r w:rsidR="00220BD6">
        <w:t xml:space="preserve"> (p.636)</w:t>
      </w:r>
      <w:r w:rsidRPr="00F10391">
        <w:t xml:space="preserve">. Regular PBMA reviews should ensure that better decisions are being made, and should also foster a commitment and compliance to the process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xml:space="preserve">. </w:t>
      </w:r>
    </w:p>
    <w:p w14:paraId="53408942" w14:textId="3CF2ED85" w:rsidR="00D22CE3" w:rsidRPr="00F10391" w:rsidRDefault="00D22CE3">
      <w:r w:rsidRPr="00F10391">
        <w:t xml:space="preserve">The method used to calculate scores is important, and the balance must be made between simplicity and complexity: “an overly simple form will ignore important subtleties in the decision-making process, whilst an overly complex form may acquire a ‘false legitimacy’ by virtue of it ‘looking mathematical’”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00220BD6">
        <w:t xml:space="preserve"> (p.470).</w:t>
      </w:r>
      <w:r w:rsidRPr="00F10391">
        <w:t xml:space="preserve"> This is an important issue throughout MCDA, and issues relating to parsimony and requisiteness have been widely discussed in the literature.</w:t>
      </w:r>
    </w:p>
    <w:p w14:paraId="6DDE7B78" w14:textId="77777777" w:rsidR="00D22CE3" w:rsidRPr="00F10391" w:rsidRDefault="00D22CE3">
      <w:r w:rsidRPr="00F10391">
        <w:t xml:space="preserve">At the time of the review, there were apparently no published attempts at evaluating PBMA as an approach </w:t>
      </w:r>
      <w:r w:rsidRPr="00F10391">
        <w:fldChar w:fldCharType="begin">
          <w:fldData xml:space="preserve">PEVuZE5vdGU+PENpdGU+PEF1dGhvcj5NaXR0b248L0F1dGhvcj48WWVhcj4yMDAzPC9ZZWFyPjxS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</w:fldData>
        </w:fldChar>
      </w:r>
      <w:r w:rsidR="00700267">
        <w:instrText xml:space="preserve"> ADDIN EN.CITE </w:instrText>
      </w:r>
      <w:r w:rsidR="00700267">
        <w:fldChar w:fldCharType="begin">
          <w:fldData xml:space="preserve">PEVuZE5vdGU+PENpdGU+PEF1dGhvcj5NaXR0b248L0F1dGhvcj48WWVhcj4yMDAzPC9ZZWFyPjxS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</w:fldData>
        </w:fldChar>
      </w:r>
      <w:r w:rsidR="00700267">
        <w:instrText xml:space="preserve"> ADDIN EN.CITE.DATA </w:instrText>
      </w:r>
      <w:r w:rsidR="00700267">
        <w:fldChar w:fldCharType="end"/>
      </w:r>
      <w:r w:rsidRPr="00F10391">
        <w:fldChar w:fldCharType="separate"/>
      </w:r>
      <w:r w:rsidR="00700267">
        <w:rPr>
          <w:noProof/>
        </w:rPr>
        <w:t>[139, 176]</w:t>
      </w:r>
      <w:r w:rsidRPr="00F10391">
        <w:fldChar w:fldCharType="end"/>
      </w:r>
      <w:r w:rsidRPr="00F10391">
        <w:t>. However, there is a surprising consensus in PBMA being described as a significant help for decision-makers in helping to define objectives or in discovering appropriate courses of action. Clearly this may reflect some publication bias and a review, if not yet completed, would be an interesting path for further research in future.</w:t>
      </w:r>
    </w:p>
    <w:bookmarkEnd w:id="303"/>
    <w:p w14:paraId="0B33AA46" w14:textId="77777777" w:rsidR="00D22CE3" w:rsidRPr="00F10391" w:rsidRDefault="00D22CE3"/>
    <w:p w14:paraId="581806AF" w14:textId="77777777" w:rsidR="00D22CE3" w:rsidRPr="00F10391" w:rsidRDefault="00D22CE3">
      <w:pPr>
        <w:pStyle w:val="Heading3"/>
      </w:pPr>
      <w:bookmarkStart w:id="326" w:name="_Toc283984127"/>
      <w:bookmarkStart w:id="327" w:name="_Toc304640217"/>
      <w:bookmarkStart w:id="328" w:name="_Toc303953415"/>
      <w:bookmarkStart w:id="329" w:name="_Toc441508958"/>
      <w:bookmarkStart w:id="330" w:name="_Toc453235396"/>
      <w:bookmarkStart w:id="331" w:name="_Toc453595469"/>
      <w:bookmarkStart w:id="332" w:name="_Toc476241566"/>
      <w:r w:rsidRPr="00F10391">
        <w:lastRenderedPageBreak/>
        <w:t>3.5</w:t>
      </w:r>
      <w:r w:rsidRPr="00F10391">
        <w:tab/>
      </w:r>
      <w:r w:rsidRPr="00F10391">
        <w:tab/>
        <w:t>Discussion</w:t>
      </w:r>
      <w:bookmarkEnd w:id="326"/>
      <w:bookmarkEnd w:id="327"/>
      <w:bookmarkEnd w:id="328"/>
      <w:bookmarkEnd w:id="329"/>
      <w:bookmarkEnd w:id="330"/>
      <w:bookmarkEnd w:id="331"/>
      <w:bookmarkEnd w:id="332"/>
    </w:p>
    <w:p w14:paraId="2CC55DD0" w14:textId="77777777" w:rsidR="00D22CE3" w:rsidRPr="00F10391" w:rsidRDefault="00D22CE3">
      <w:bookmarkStart w:id="333" w:name="_Toc303953416"/>
    </w:p>
    <w:p w14:paraId="2AACC02B" w14:textId="77777777" w:rsidR="00D22CE3" w:rsidRPr="00F10391" w:rsidRDefault="00D22CE3">
      <w:pPr>
        <w:pStyle w:val="Heading4"/>
      </w:pPr>
      <w:bookmarkStart w:id="334" w:name="_Toc283984128"/>
      <w:bookmarkStart w:id="335" w:name="_Toc304640218"/>
      <w:bookmarkStart w:id="336" w:name="_Toc441508959"/>
      <w:bookmarkStart w:id="337" w:name="_Toc453235397"/>
      <w:bookmarkStart w:id="338" w:name="_Toc453595470"/>
      <w:bookmarkStart w:id="339" w:name="_Toc476241567"/>
      <w:r w:rsidRPr="00F10391">
        <w:t>3.5.1</w:t>
      </w:r>
      <w:r w:rsidRPr="00F10391">
        <w:tab/>
      </w:r>
      <w:r w:rsidRPr="00F10391">
        <w:tab/>
        <w:t>Summary of main results</w:t>
      </w:r>
      <w:bookmarkEnd w:id="333"/>
      <w:bookmarkEnd w:id="334"/>
      <w:bookmarkEnd w:id="335"/>
      <w:bookmarkEnd w:id="336"/>
      <w:bookmarkEnd w:id="337"/>
      <w:bookmarkEnd w:id="338"/>
      <w:bookmarkEnd w:id="339"/>
    </w:p>
    <w:p w14:paraId="4054EFA9" w14:textId="77777777" w:rsidR="00D22CE3" w:rsidRPr="00F10391" w:rsidRDefault="00D22CE3">
      <w:r w:rsidRPr="00F10391">
        <w:t xml:space="preserve">There are a wide variety of approaches to MCDA in use, each of which offers slight variations on the theme of how best to manage and trade-off competing objectives. This variety allows for the most appropriate approach to be employed to solve the specific problem, given the context in which it takes place. These MCDA approaches have themselves been employed in a wide variety of public health areas: bioethics, hospital location, equipment purchasing, the relative harm of various drugs, screening and various types of healthcare provision. </w:t>
      </w:r>
    </w:p>
    <w:p w14:paraId="157B0F86" w14:textId="77777777" w:rsidR="00D22CE3" w:rsidRPr="00F10391" w:rsidRDefault="00D22CE3">
      <w:r w:rsidRPr="00F10391">
        <w:t>The review provides a snapshot of the areas of public health where an MCDA approach has been tested. Though MCDA techniques have been applied in a wide range of settings, if a more comprehensive search strategy had been employed it is likely that other public health areas may also have been included. As it stands, all 93 papers found are shown in Appendix B. More recent papers are described in Part 2 of this chapter, and further explained in Appendices C and D.</w:t>
      </w:r>
    </w:p>
    <w:p w14:paraId="2D0F3516" w14:textId="77777777" w:rsidR="00D22CE3" w:rsidRPr="00F10391" w:rsidRDefault="00D22CE3">
      <w:pPr>
        <w:rPr>
          <w:b/>
        </w:rPr>
      </w:pPr>
      <w:r w:rsidRPr="00F10391">
        <w:t xml:space="preserve">MCDA approaches provide an intuitive approach that break a complex problem into smaller sub-issues that can be better understood by the decision-maker, before reassembling the pieces in order to give insights into the broader picture. Dolan states that by “reducing a complex problem into small, easily managed parts, the analysis helps avoid errors that result from attempts to make highly complex decisions intuitively”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004D16EC">
        <w:t xml:space="preserve"> (p.44)</w:t>
      </w:r>
      <w:r w:rsidRPr="00F10391">
        <w:t>, which seems a key benefit of the MCDA approaches used. On occasions this will result in clear ‘winners’ being unearthed and will offer clear advice to the decision-makers. At other times it may result in similar results between alternatives or counterintuitive findings that require further study and even recalibration of the criteria. These similarities can in themselves also provide valuable insights.</w:t>
      </w:r>
    </w:p>
    <w:p w14:paraId="3B7469AE" w14:textId="77777777" w:rsidR="00D22CE3" w:rsidRPr="00F10391" w:rsidRDefault="00D22CE3">
      <w:r w:rsidRPr="00F10391">
        <w:t>The primary purpose of MCDA is to inform the decision-makers about the relative merit of alternatives rather than remove their responsibility to consider the final decision. There may still be other factors that have to be taken into account that cannot be included at the problem formulation stage, such as changes in circumstances over the time taken to undertake the analysis.</w:t>
      </w:r>
    </w:p>
    <w:p w14:paraId="7C070622" w14:textId="50DC8CFC" w:rsidR="00D22CE3" w:rsidRPr="00F10391" w:rsidRDefault="00D22CE3">
      <w:r w:rsidRPr="00F10391">
        <w:t>MCDA approaches provide an ethical basis for decision-making, as “priority setting is said to be fair if the priority setting process, decisions and rationales are accessible and relevant”</w:t>
      </w:r>
      <w:r w:rsidR="00097A0C">
        <w:t xml:space="preserve"> </w:t>
      </w:r>
      <w:r w:rsidR="00054658">
        <w:fldChar w:fldCharType="begin"/>
      </w:r>
      <w:r w:rsidR="00054658">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00054658">
        <w:fldChar w:fldCharType="separate"/>
      </w:r>
      <w:r w:rsidR="00054658">
        <w:rPr>
          <w:noProof/>
        </w:rPr>
        <w:t>[6]</w:t>
      </w:r>
      <w:r w:rsidR="00054658">
        <w:fldChar w:fldCharType="end"/>
      </w:r>
      <w:r w:rsidR="00054658">
        <w:t xml:space="preserve"> </w:t>
      </w:r>
      <w:r w:rsidR="003A7904">
        <w:t>(</w:t>
      </w:r>
      <w:r w:rsidR="00942A9E">
        <w:t>p.8</w:t>
      </w:r>
      <w:r w:rsidR="008D2FDB">
        <w:t>)</w:t>
      </w:r>
      <w:r w:rsidRPr="00F10391">
        <w:t xml:space="preserve">. The fact that MCDA approaches typically include multiple stakeholders in the decision process may further strengthen these ethical credentials. As seen in Koch and Rowell’s paper </w:t>
      </w:r>
      <w:r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Pr="00F10391">
        <w:fldChar w:fldCharType="separate"/>
      </w:r>
      <w:r w:rsidR="00700267">
        <w:rPr>
          <w:noProof/>
        </w:rPr>
        <w:t>[91]</w:t>
      </w:r>
      <w:r w:rsidRPr="00F10391">
        <w:fldChar w:fldCharType="end"/>
      </w:r>
      <w:r w:rsidRPr="00F10391">
        <w:t>, MCDA approaches can even be used to devise ethical rules.</w:t>
      </w:r>
    </w:p>
    <w:p w14:paraId="348342F5" w14:textId="77777777" w:rsidR="00D22CE3" w:rsidRPr="00F10391" w:rsidRDefault="00D22CE3">
      <w:r w:rsidRPr="00F10391">
        <w:t xml:space="preserve">The MCDA approaches used progress in a deliberate and practical manner, involving multiple stakeholders where appropriate, often the very same decision-makers that will be charged with implementing the decisions that they themselves have recommended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Although the risk of bias in the papers reviewed is very possible, no paper contained significant negative comments about the approach used. Other biases are discussed in the next section.</w:t>
      </w:r>
    </w:p>
    <w:p w14:paraId="2AAC8D8B" w14:textId="77777777" w:rsidR="00D22CE3" w:rsidRPr="00F10391" w:rsidRDefault="00D22CE3">
      <w:r w:rsidRPr="00F10391">
        <w:lastRenderedPageBreak/>
        <w:t xml:space="preserve">One constraining factor that was discussed (sometimes obliquely) is that the approach requires time, patience and other limited resources </w:t>
      </w:r>
      <w:r w:rsidRPr="00F10391">
        <w:fldChar w:fldCharType="begin"/>
      </w:r>
      <w:r w:rsidR="00700267">
        <w:instrText xml:space="preserve"> ADDIN EN.CITE &lt;EndNote&gt;&lt;Cite&gt;&lt;Author&gt;Donaldson&lt;/Author&gt;&lt;Year&gt;1995&lt;/Year&gt;&lt;RecNum&gt;40&lt;/RecNum&gt;&lt;DisplayText&gt;[175, 178]&lt;/DisplayText&gt;&lt;record&gt;&lt;rec-number&gt;40&lt;/rec-number&gt;&lt;foreign-keys&gt;&lt;key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Cite&gt;&lt;Author&gt;Scott&lt;/Author&gt;&lt;Year&gt;1998&lt;/Year&gt;&lt;RecNum&gt;129&lt;/RecNum&gt;&lt;record&gt;&lt;rec-number&gt;129&lt;/rec-number&gt;&lt;foreign-keys&gt;&lt;key app="EN" db-id="sz9092dv2s5fpze9wpgx0zxgv5ar00aezrvf" timestamp="0"&gt;129&lt;/key&gt;&lt;/foreign-keys&gt;&lt;ref-type name="Journal Article"&gt;17&lt;/ref-type&gt;&lt;contributors&gt;&lt;authors&gt;&lt;author&gt;Scott, Anthony&lt;/author&gt;&lt;author&gt;Currie, Norma&lt;/author&gt;&lt;author&gt;Donaldson, Cam&lt;/author&gt;&lt;/authors&gt;&lt;/contributors&gt;&lt;titles&gt;&lt;title&gt;Evaluating innovation in general practice: a pragmatic framework using programme budgeting and marginal analysis&lt;/title&gt;&lt;secondary-title&gt;Family Practice&lt;/secondary-title&gt;&lt;/titles&gt;&lt;pages&gt;216-222&lt;/pages&gt;&lt;volume&gt;15&lt;/volume&gt;&lt;number&gt;3&lt;/number&gt;&lt;dates&gt;&lt;year&gt;1998&lt;/year&gt;&lt;/dates&gt;&lt;isbn&gt;0263-2136&lt;/isbn&gt;&lt;urls&gt;&lt;related-urls&gt;&lt;url&gt;http://fampra.oxfordjournals.org/content/15/3/216.full.pdf&lt;/url&gt;&lt;/related-urls&gt;&lt;/urls&gt;&lt;/record&gt;&lt;/Cite&gt;&lt;/EndNote&gt;</w:instrText>
      </w:r>
      <w:r w:rsidRPr="00F10391">
        <w:fldChar w:fldCharType="separate"/>
      </w:r>
      <w:r w:rsidR="00700267">
        <w:rPr>
          <w:noProof/>
        </w:rPr>
        <w:t>[175, 178]</w:t>
      </w:r>
      <w:r w:rsidRPr="00F10391">
        <w:fldChar w:fldCharType="end"/>
      </w:r>
      <w:r w:rsidRPr="00F10391">
        <w:t xml:space="preserve"> and where these are already particularly limited, it is important to be sure before undertaking an MCDA that the problem merits the resources required. Group size must also be taken into account in designing the process, to ensure the timing of the project’s decisions is appropriate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Issues relating to gaming </w:t>
      </w:r>
      <w:r w:rsidRPr="00F10391">
        <w:fldChar w:fldCharType="begin">
          <w:fldData xml:space="preserve">PEVuZE5vdGU+PENpdGU+PEF1dGhvcj5Eb25hbGRzb248L0F1dGhvcj48WWVhcj4xOTk1PC9ZZWFy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</w:fldData>
        </w:fldChar>
      </w:r>
      <w:r w:rsidR="00700267">
        <w:instrText xml:space="preserve"> ADDIN EN.CITE </w:instrText>
      </w:r>
      <w:r w:rsidR="00700267">
        <w:fldChar w:fldCharType="begin">
          <w:fldData xml:space="preserve">PEVuZE5vdGU+PENpdGU+PEF1dGhvcj5Eb25hbGRzb248L0F1dGhvcj48WWVhcj4xOTk1PC9ZZWFy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</w:fldData>
        </w:fldChar>
      </w:r>
      <w:r w:rsidR="00700267">
        <w:instrText xml:space="preserve"> ADDIN EN.CITE.DATA </w:instrText>
      </w:r>
      <w:r w:rsidR="00700267">
        <w:fldChar w:fldCharType="end"/>
      </w:r>
      <w:r w:rsidRPr="00F10391">
        <w:fldChar w:fldCharType="separate"/>
      </w:r>
      <w:r w:rsidR="00700267">
        <w:rPr>
          <w:noProof/>
        </w:rPr>
        <w:t>[175, 176]</w:t>
      </w:r>
      <w:r w:rsidRPr="00F10391">
        <w:fldChar w:fldCharType="end"/>
      </w:r>
      <w:r w:rsidRPr="00F10391">
        <w:t xml:space="preserve"> and group dynamics </w:t>
      </w:r>
      <w:r w:rsidRPr="00F10391">
        <w:fldChar w:fldCharType="begin">
          <w:fldData xml:space="preserve">PEVuZE5vdGU+PENpdGU+PEF1dGhvcj5IYWFzPC9BdXRob3I+PFllYXI+MjAwMTwvWWVhcj48UmVj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</w:fldData>
        </w:fldChar>
      </w:r>
      <w:r w:rsidR="00700267">
        <w:instrText xml:space="preserve"> ADDIN EN.CITE </w:instrText>
      </w:r>
      <w:r w:rsidR="00700267">
        <w:fldChar w:fldCharType="begin">
          <w:fldData xml:space="preserve">PEVuZE5vdGU+PENpdGU+PEF1dGhvcj5IYWFzPC9BdXRob3I+PFllYXI+MjAwMTwvWWVhcj48UmVj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</w:fldData>
        </w:fldChar>
      </w:r>
      <w:r w:rsidR="00700267">
        <w:instrText xml:space="preserve"> ADDIN EN.CITE.DATA </w:instrText>
      </w:r>
      <w:r w:rsidR="00700267">
        <w:fldChar w:fldCharType="end"/>
      </w:r>
      <w:r w:rsidRPr="00F10391">
        <w:fldChar w:fldCharType="separate"/>
      </w:r>
      <w:r w:rsidR="00700267">
        <w:rPr>
          <w:noProof/>
        </w:rPr>
        <w:t>[139, 180]</w:t>
      </w:r>
      <w:r w:rsidRPr="00F10391">
        <w:fldChar w:fldCharType="end"/>
      </w:r>
      <w:r w:rsidRPr="00F10391">
        <w:t xml:space="preserve"> can also become a problem if not carefully managed by the facilitator or chair </w:t>
      </w:r>
      <w:r w:rsidRPr="00F10391">
        <w:fldChar w:fldCharType="begin"/>
      </w:r>
      <w:r w:rsidR="00700267">
        <w:instrText xml:space="preserve"> ADDIN EN.CITE &lt;EndNote&gt;&lt;Cite&gt;&lt;Author&gt;Donaldson&lt;/Author&gt;&lt;Year&gt;1995&lt;/Year&gt;&lt;RecNum&gt;40&lt;/RecNum&gt;&lt;DisplayText&gt;[175]&lt;/DisplayText&gt;&lt;record&gt;&lt;rec-number&gt;40&lt;/rec-number&gt;&lt;foreign-keys&gt;&lt;key app="EN" db-id="sz9092dv2s5fpze9wpgx0zxgv5ar00aezrvf" timestamp="0"&gt;40&lt;/key&gt;&lt;/foreign-keys&gt;&lt;ref-type name="Journal Article"&gt;17&lt;/ref-type&gt;&lt;contributors&gt;&lt;authors&gt;&lt;author&gt;Donaldson, Cam&lt;/author&gt;&lt;/authors&gt;&lt;/contributors&gt;&lt;titles&gt;&lt;title&gt;Economics, public health and health care purchasing: reinventing the wheel?&lt;/title&gt;&lt;secondary-title&gt;Health Policy&lt;/secondary-title&gt;&lt;/titles&gt;&lt;periodical&gt;&lt;full-title&gt;Health Policy&lt;/full-title&gt;&lt;/periodical&gt;&lt;pages&gt;79-90&lt;/pages&gt;&lt;volume&gt;33&lt;/volume&gt;&lt;number&gt;2&lt;/number&gt;&lt;dates&gt;&lt;year&gt;1995&lt;/year&gt;&lt;/dates&gt;&lt;isbn&gt;0168-8510&lt;/isbn&gt;&lt;urls&gt;&lt;related-urls&gt;&lt;url&gt;http://www.healthpolicyjrnl.com/article/0168-8510(95)93670-V/abstract&lt;/url&gt;&lt;/related-urls&gt;&lt;/urls&gt;&lt;/record&gt;&lt;/Cite&gt;&lt;/EndNote&gt;</w:instrText>
      </w:r>
      <w:r w:rsidRPr="00F10391">
        <w:fldChar w:fldCharType="separate"/>
      </w:r>
      <w:r w:rsidR="00700267">
        <w:rPr>
          <w:noProof/>
        </w:rPr>
        <w:t>[175]</w:t>
      </w:r>
      <w:r w:rsidRPr="00F10391">
        <w:fldChar w:fldCharType="end"/>
      </w:r>
      <w:r w:rsidRPr="00F10391">
        <w:t>.</w:t>
      </w:r>
    </w:p>
    <w:p w14:paraId="38BECD7C" w14:textId="77777777" w:rsidR="00D22CE3" w:rsidRPr="00F10391" w:rsidRDefault="00D22CE3">
      <w:r w:rsidRPr="00F10391">
        <w:t xml:space="preserve">As Mitton and Donaldson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008D2FDB">
        <w:t xml:space="preserve"> (p.345)</w:t>
      </w:r>
      <w:r w:rsidRPr="00F10391">
        <w:t xml:space="preserve"> state, “the first step in overcoming barriers to change is identifying what those barriers are”. MCDA approaches provide a solid foundation not only to discovering answers to complex questions but also to formulating what the aim of the exercise (and even the broader organisation) really is, what attributes are most important and how these can be measured. The process may also identify what were previously ‘unknown unknowns’ and lead to understanding and codification of the organisation’s role and aims in the context of such decisions. </w:t>
      </w:r>
      <w:bookmarkStart w:id="340" w:name="_Toc303953417"/>
    </w:p>
    <w:p w14:paraId="0ADDEC89" w14:textId="77777777" w:rsidR="00D22CE3" w:rsidRPr="00F10391" w:rsidRDefault="00D22CE3"/>
    <w:p w14:paraId="7EC7F91D" w14:textId="77777777" w:rsidR="00D22CE3" w:rsidRPr="00F10391" w:rsidRDefault="00D22CE3">
      <w:pPr>
        <w:pStyle w:val="Heading4"/>
      </w:pPr>
      <w:bookmarkStart w:id="341" w:name="_Toc283984129"/>
      <w:bookmarkStart w:id="342" w:name="_Toc304640219"/>
      <w:bookmarkStart w:id="343" w:name="_Toc441508960"/>
      <w:bookmarkStart w:id="344" w:name="_Toc453235398"/>
      <w:bookmarkStart w:id="345" w:name="_Toc453595471"/>
      <w:bookmarkStart w:id="346" w:name="_Toc476241568"/>
      <w:r w:rsidRPr="00F10391">
        <w:t>3.5.2</w:t>
      </w:r>
      <w:r w:rsidRPr="00F10391">
        <w:tab/>
      </w:r>
      <w:r w:rsidRPr="00F10391">
        <w:tab/>
        <w:t>Quality of evidence and potential biases</w:t>
      </w:r>
      <w:bookmarkEnd w:id="341"/>
      <w:bookmarkEnd w:id="342"/>
      <w:bookmarkEnd w:id="343"/>
      <w:bookmarkEnd w:id="344"/>
      <w:bookmarkEnd w:id="345"/>
      <w:bookmarkEnd w:id="346"/>
      <w:r w:rsidRPr="00F10391">
        <w:t xml:space="preserve"> </w:t>
      </w:r>
      <w:bookmarkEnd w:id="340"/>
    </w:p>
    <w:p w14:paraId="58ACDA53" w14:textId="77777777" w:rsidR="00D22CE3" w:rsidRPr="00F10391" w:rsidRDefault="00D22CE3">
      <w:r w:rsidRPr="00F10391">
        <w:t>Due to the specialised nature of this study and strict search strategy employed, the 18 applicable papers initially found was a higher number than expected. Nonetheless 11 of these were PBMA papers, which are not universally accepted as an MCDA approach and were ultimately out of scope for the rest of the thesis.</w:t>
      </w:r>
    </w:p>
    <w:p w14:paraId="7A4087AD" w14:textId="77777777" w:rsidR="00D22CE3" w:rsidRPr="00F10391" w:rsidRDefault="00D22CE3">
      <w:r w:rsidRPr="00F10391">
        <w:t xml:space="preserve">The fact some studies were found from developing countries was a bonus, but the vast majority (15 of the 18) were set in the English-speaking Western world. This may be partially due to the fact that searches were only carried out in English. It is conceivable that this may have disproportionately reduced the numbers of outranking approaches reported, due to the fact they are often perceived to be more commonly employed in continental Europe </w:t>
      </w:r>
      <w:r w:rsidRPr="00F10391">
        <w:fldChar w:fldCharType="begin"/>
      </w:r>
      <w:r w:rsidR="00700267">
        <w:instrText xml:space="preserve"> ADDIN EN.CITE &lt;EndNote&gt;&lt;Cite&gt;&lt;Author&gt;Roy&lt;/Author&gt;&lt;Year&gt;1996&lt;/Year&gt;&lt;RecNum&gt;379&lt;/RecNum&gt;&lt;DisplayText&gt;[53]&lt;/DisplayText&gt;&lt;record&gt;&lt;rec-number&gt;379&lt;/rec-number&gt;&lt;foreign-keys&gt;&lt;key app="EN" db-id="sz9092dv2s5fpze9wpgx0zxgv5ar00aezrvf" timestamp="1457377295"&gt;379&lt;/key&gt;&lt;/foreign-keys&gt;&lt;ref-type name="Journal Article"&gt;17&lt;/ref-type&gt;&lt;contributors&gt;&lt;authors&gt;&lt;author&gt;Roy, Bernard&lt;/author&gt;&lt;author&gt;Vanderpooten, Daniel&lt;/author&gt;&lt;/authors&gt;&lt;/contributors&gt;&lt;titles&gt;&lt;title&gt;The European school of MCDA: Emergence, basic features and cu</w:instrText>
      </w:r>
      <w:r w:rsidR="00700267">
        <w:rPr>
          <w:rFonts w:hint="eastAsia"/>
        </w:rPr>
        <w:instrText>rrent works&lt;/title&gt;&lt;secondary-title&gt;Journal of Multi</w:instrText>
      </w:r>
      <w:r w:rsidR="00700267">
        <w:rPr>
          <w:rFonts w:hint="eastAsia"/>
        </w:rPr>
        <w:instrText>‐</w:instrText>
      </w:r>
      <w:r w:rsidR="00700267">
        <w:rPr>
          <w:rFonts w:hint="eastAsia"/>
        </w:rPr>
        <w:instrText>Criteria Decision Analysis&lt;/secondary-title&gt;&lt;/titles&gt;&lt;periodical&gt;&lt;full-title&gt;Journal of Multi</w:instrText>
      </w:r>
      <w:r w:rsidR="00700267">
        <w:rPr>
          <w:rFonts w:hint="eastAsia"/>
        </w:rPr>
        <w:instrText>‐</w:instrText>
      </w:r>
      <w:r w:rsidR="00700267">
        <w:rPr>
          <w:rFonts w:hint="eastAsia"/>
        </w:rPr>
        <w:instrText>Criteria Decision Analysis&lt;/full-title&gt;&lt;/periodical&gt;&lt;pages&gt;22-38&lt;/pages&gt;&lt;volume&gt;5&lt;/volume&gt;&lt;number&gt;1&lt;/number&gt;</w:instrText>
      </w:r>
      <w:r w:rsidR="00700267">
        <w:instrText>&lt;dates&gt;&lt;year&gt;1996&lt;/year&gt;&lt;/dates&gt;&lt;isbn&gt;1099-1360&lt;/isbn&gt;&lt;urls&gt;&lt;/urls&gt;&lt;/record&gt;&lt;/Cite&gt;&lt;/EndNote&gt;</w:instrText>
      </w:r>
      <w:r w:rsidRPr="00F10391">
        <w:fldChar w:fldCharType="separate"/>
      </w:r>
      <w:r w:rsidR="00700267">
        <w:rPr>
          <w:noProof/>
        </w:rPr>
        <w:t>[53]</w:t>
      </w:r>
      <w:r w:rsidRPr="00F10391">
        <w:fldChar w:fldCharType="end"/>
      </w:r>
      <w:r w:rsidRPr="00F10391">
        <w:t>.</w:t>
      </w:r>
    </w:p>
    <w:p w14:paraId="18A1FCC6" w14:textId="77777777" w:rsidR="00D22CE3" w:rsidRPr="00F10391" w:rsidRDefault="00D22CE3">
      <w:r w:rsidRPr="00F10391">
        <w:t xml:space="preserve">The fact that both MCDA and public healthcare have definitions that are open to interpretation led to difficulties as to which papers to look for, how to do so and how to establish the relevance of those that were found. Strict criteria were employed to define public health in the search stage, but in doing so it seems likely that some studies that might broadly relate to the relevant topics may have been excluded. </w:t>
      </w:r>
    </w:p>
    <w:p w14:paraId="196AF466" w14:textId="77777777" w:rsidR="00D22CE3" w:rsidRPr="00F10391" w:rsidRDefault="00D22CE3">
      <w:r w:rsidRPr="00F10391">
        <w:t>Though the 18 papers found was higher than expected, it is still a relatively small number of studies, and the results cannot be considered conclusive. The fact that grey literature was not included means that the review may not be fully representative of the types of approaches where MCDA has been used in public health settings. It is credible that many MCDA approaches may not be deemed (whether by referees or potential authors) as having a sufficient level of economic merit to justify publication in health economic journals, while at the same time may be ‘too economic’ for operational research settings.</w:t>
      </w:r>
    </w:p>
    <w:p w14:paraId="372EB6EF" w14:textId="77777777" w:rsidR="00D22CE3" w:rsidRPr="00F10391" w:rsidRDefault="00D22CE3">
      <w:r w:rsidRPr="00F10391">
        <w:t xml:space="preserve">Within the published studies positive publication bias cannot be ruled out as a factor in the unanimous agreement of their usefulness; potential authors with negative experiences of the approach may rightly or wrongly believe that journals would have less interest in publishing their findings, and hence lack the motivation to complete an article. Other papers may never have been submitted with regard to the sensitive and necessarily confidential nature of certain </w:t>
      </w:r>
      <w:r w:rsidRPr="00F10391">
        <w:lastRenderedPageBreak/>
        <w:t xml:space="preserve">aspects of healthcare, such as commercial factors and pressures arising from public opinion. And because of the standalone (and pragmatic) nature of the projects, it may be that the kinds of people involved in many such studies may not have sufficient time for (or a role with sufficient emphasis on) the publication of academic studies. </w:t>
      </w:r>
    </w:p>
    <w:p w14:paraId="162CCC6A" w14:textId="79BBFF84" w:rsidR="00D22CE3" w:rsidRPr="00F10391" w:rsidRDefault="00D22CE3">
      <w:r w:rsidRPr="00F10391">
        <w:t xml:space="preserve">The narrative synthesis approach used throughout this review may lead to biases. The Cochrane handbook </w:t>
      </w:r>
      <w:r w:rsidRPr="00F10391">
        <w:fldChar w:fldCharType="begin"/>
      </w:r>
      <w:r w:rsidR="00B95230">
        <w:instrText xml:space="preserve"> ADDIN EN.CITE &lt;EndNote&gt;&lt;Cite&gt;&lt;Author&gt;Higgins&lt;/Author&gt;&lt;Year&gt;2008&lt;/Year&gt;&lt;RecNum&gt;405&lt;/RecNum&gt;&lt;DisplayText&gt;[181]&lt;/DisplayText&gt;&lt;record&gt;&lt;rec-number&gt;405&lt;/rec-number&gt;&lt;foreign-keys&gt;&lt;key app="EN" db-id="sz9092dv2s5fpze9wpgx0zxgv5ar00aezrvf" timestamp="1458839013"&gt;405&lt;/key&gt;&lt;/foreign-keys&gt;&lt;ref-type name="Book"&gt;6&lt;/ref-type&gt;&lt;contributors&gt;&lt;authors&gt;&lt;author&gt;Higgins, Julian PT&lt;/author&gt;&lt;author&gt;Green, Sally&lt;/author&gt;&lt;/authors&gt;&lt;/contributors&gt;&lt;titles&gt;&lt;title&gt;Cochrane handbook for systematic reviews of interventions&lt;/title&gt;&lt;/titles&gt;&lt;volume&gt;5&lt;/volume&gt;&lt;dates&gt;&lt;year&gt;2008&lt;/year&gt;&lt;/dates&gt;&lt;publisher&gt;Wiley Online Library&lt;/publisher&gt;&lt;urls&gt;&lt;/urls&gt;&lt;/record&gt;&lt;/Cite&gt;&lt;/EndNote&gt;</w:instrText>
      </w:r>
      <w:r w:rsidRPr="00F10391">
        <w:fldChar w:fldCharType="separate"/>
      </w:r>
      <w:r w:rsidR="00B95230">
        <w:rPr>
          <w:noProof/>
        </w:rPr>
        <w:t>[181]</w:t>
      </w:r>
      <w:r w:rsidRPr="00F10391">
        <w:fldChar w:fldCharType="end"/>
      </w:r>
      <w:r w:rsidR="005A65E3">
        <w:t xml:space="preserve"> (from webpage)</w:t>
      </w:r>
      <w:r w:rsidRPr="00F10391">
        <w:t xml:space="preserve"> also warns of the “possibility that systematic reviews adopting a narrative approach to synthesis will be prone to bias, and may generate unsound conclusions leading to harmful decisions”. </w:t>
      </w:r>
      <w:r w:rsidR="001B7ADD">
        <w:t>Judgment</w:t>
      </w:r>
      <w:r w:rsidRPr="00F10391">
        <w:t xml:space="preserve"> was required in deciding on which papers to include and how they have been reported, potentially reducing the transparency and repeatability of the findings. It is also possible that my own views will subconsciously be imprinted in the document. The protocol is however relatively clear and such issues are not necessarily confined to narrative syntheses </w:t>
      </w:r>
      <w:r w:rsidRPr="00F10391">
        <w:fldChar w:fldCharType="begin"/>
      </w:r>
      <w:r w:rsidR="00700267">
        <w:instrText xml:space="preserve"> ADDIN EN.CITE &lt;EndNote&gt;&lt;Cite&gt;&lt;Author&gt;Popay&lt;/Author&gt;&lt;Year&gt;2006&lt;/Year&gt;&lt;RecNum&gt;401&lt;/RecNum&gt;&lt;DisplayText&gt;[147]&lt;/DisplayText&gt;&lt;record&gt;&lt;rec-number&gt;401&lt;/rec-number&gt;&lt;foreign-keys&gt;&lt;key app="EN" db-id="sz9092dv2s5fpze9wpgx0zxgv5ar00aezrvf" timestamp="1458817450"&gt;401&lt;/key&gt;&lt;/foreign-keys&gt;&lt;ref-type name="Journal Article"&gt;17&lt;/ref-type&gt;&lt;contributors&gt;&lt;authors&gt;&lt;author&gt;Popay, Jennie&lt;/author&gt;&lt;author&gt;Roberts, Helen&lt;/author&gt;&lt;author&gt;Sowden, Amanda&lt;/author&gt;&lt;author&gt;Petticrew, Mark&lt;/author&gt;&lt;author&gt;Arai, Lisa&lt;/author&gt;&lt;author&gt;Rodgers, Mark&lt;/author&gt;&lt;author&gt;Britten, Nicky&lt;/author&gt;&lt;author&gt;Roen, Katrina&lt;/author&gt;&lt;author&gt;Duffy, Steven&lt;/author&gt;&lt;/authors&gt;&lt;/contributors&gt;&lt;titles&gt;&lt;title&gt;Guidance on the conduct of narrative synthesis in systematic reviews&lt;/title&gt;&lt;secondary-title&gt;ESRC methods programme&lt;/secondary-title&gt;&lt;/titles&gt;&lt;periodical&gt;&lt;full-title&gt;ESRC methods programme&lt;/full-title&gt;&lt;/periodical&gt;&lt;pages&gt;047-71&lt;/pages&gt;&lt;volume&gt;15&lt;/volume&gt;&lt;number&gt;1&lt;/number&gt;&lt;dates&gt;&lt;year&gt;2006&lt;/year&gt;&lt;/dates&gt;&lt;urls&gt;&lt;/urls&gt;&lt;/record&gt;&lt;/Cite&gt;&lt;/EndNote&gt;</w:instrText>
      </w:r>
      <w:r w:rsidRPr="00F10391">
        <w:fldChar w:fldCharType="separate"/>
      </w:r>
      <w:r w:rsidR="00700267">
        <w:rPr>
          <w:noProof/>
        </w:rPr>
        <w:t>[147]</w:t>
      </w:r>
      <w:r w:rsidRPr="00F10391">
        <w:fldChar w:fldCharType="end"/>
      </w:r>
      <w:r w:rsidRPr="00F10391">
        <w:t>.</w:t>
      </w:r>
    </w:p>
    <w:p w14:paraId="4FAAACF6" w14:textId="77777777" w:rsidR="00D22CE3" w:rsidRPr="00F10391" w:rsidRDefault="00D22CE3">
      <w:r w:rsidRPr="00F10391">
        <w:t xml:space="preserve">Given that the approach used allows for context to be more fully explored than meta-analyses </w:t>
      </w:r>
      <w:r w:rsidRPr="00F10391">
        <w:fldChar w:fldCharType="begin"/>
      </w:r>
      <w:r w:rsidR="00700267">
        <w:instrText xml:space="preserve"> ADDIN EN.CITE &lt;EndNote&gt;&lt;Cite&gt;&lt;Author&gt;Booth&lt;/Author&gt;&lt;Year&gt;2011&lt;/Year&gt;&lt;RecNum&gt;404&lt;/RecNum&gt;&lt;DisplayText&gt;[148]&lt;/DisplayText&gt;&lt;record&gt;&lt;rec-number&gt;404&lt;/rec-number&gt;&lt;foreign-keys&gt;&lt;key app="EN" db-id="sz9092dv2s5fpze9wpgx0zxgv5ar00aezrvf" timestamp="1458819102"&gt;404&lt;/key&gt;&lt;/foreign-keys&gt;&lt;ref-type name="Book"&gt;6&lt;/ref-type&gt;&lt;contributors&gt;&lt;authors&gt;&lt;author&gt;Booth, Andrew&lt;/author&gt;&lt;author&gt;Papaioannou, Diana&lt;/author&gt;&lt;author&gt;Sutton, Anthea&lt;/author&gt;&lt;/authors&gt;&lt;/contributors&gt;&lt;titles&gt;&lt;title&gt;Systematic approaches to a successful literature review&lt;/title&gt;&lt;/titles&gt;&lt;section&gt;147&lt;/section&gt;&lt;dates&gt;&lt;year&gt;2011&lt;/year&gt;&lt;/dates&gt;&lt;publisher&gt;Sage&lt;/publisher&gt;&lt;isbn&gt;1446289443&lt;/isbn&gt;&lt;urls&gt;&lt;/urls&gt;&lt;/record&gt;&lt;/Cite&gt;&lt;/EndNote&gt;</w:instrText>
      </w:r>
      <w:r w:rsidRPr="00F10391">
        <w:fldChar w:fldCharType="separate"/>
      </w:r>
      <w:r w:rsidR="00700267">
        <w:rPr>
          <w:noProof/>
        </w:rPr>
        <w:t>[148]</w:t>
      </w:r>
      <w:r w:rsidRPr="00F10391">
        <w:fldChar w:fldCharType="end"/>
      </w:r>
      <w:r w:rsidRPr="00F10391">
        <w:t xml:space="preserve">, it is also possible that the finding that context is fundamental to the success of these approaches is a self-fulfilling prophecy. At the same time, the chances of this seem relatively small, given how crucial context is in the evaluation of public health interventions more broadly </w:t>
      </w:r>
      <w:r w:rsidRPr="00F10391">
        <w:fldChar w:fldCharType="begin"/>
      </w:r>
      <w:r w:rsidR="00700267">
        <w:instrText xml:space="preserve"> ADDIN EN.CITE &lt;EndNote&gt;&lt;Cite&gt;&lt;Author&gt;Fischer&lt;/Author&gt;&lt;Year&gt;2012&lt;/Year&gt;&lt;RecNum&gt;175&lt;/RecNum&gt;&lt;DisplayText&gt;[182]&lt;/DisplayText&gt;&lt;record&gt;&lt;rec-number&gt;175&lt;/rec-number&gt;&lt;foreign-keys&gt;&lt;key app="EN" db-id="sz9092dv2s5fpze9wpgx0zxgv5ar00aezrvf" timestamp="0"&gt;175&lt;/key&gt;&lt;/foreign-keys&gt;&lt;ref-type name="Report"&gt;27&lt;/ref-type&gt;&lt;contributors&gt;&lt;authors&gt;&lt;author&gt;Fischer, A; Phillips, C; Varney, J&lt;/author&gt;&lt;/authors&gt;&lt;/contributors&gt;&lt;titles&gt;&lt;title&gt;Obesity – working with local communities economic modelling; Cost-effectiveness analysis in partnership working for reducing obesity and other long-term conditions. &lt;/title&gt;&lt;secondary-title&gt;Obesity – working with local communities&lt;/secondary-title&gt;&lt;/titles&gt;&lt;dates&gt;&lt;year&gt;2012&lt;/year&gt;&lt;/dates&gt;&lt;pub-location&gt;London&lt;/pub-location&gt;&lt;publisher&gt;National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[182]</w:t>
      </w:r>
      <w:r w:rsidRPr="00F10391">
        <w:fldChar w:fldCharType="end"/>
      </w:r>
      <w:r w:rsidRPr="00F10391">
        <w:t xml:space="preserve"> and in the fundamental importance of understanding fully the decision context prior to applying MCDA techniques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w:t>
      </w:r>
    </w:p>
    <w:p w14:paraId="61BA4AE2" w14:textId="77777777" w:rsidR="00D22CE3" w:rsidRPr="00F10391" w:rsidRDefault="00D22CE3">
      <w:r w:rsidRPr="00F10391">
        <w:t xml:space="preserve">Due to the reasons listed above, the findings in this review should be interpreted with some degree of caution. </w:t>
      </w:r>
    </w:p>
    <w:p w14:paraId="42D7A10F" w14:textId="77777777" w:rsidR="00D22CE3" w:rsidRPr="00F10391" w:rsidRDefault="00D22CE3"/>
    <w:p w14:paraId="654A97EF" w14:textId="77777777" w:rsidR="00D22CE3" w:rsidRPr="00F10391" w:rsidRDefault="00D22CE3">
      <w:pPr>
        <w:pStyle w:val="Heading4"/>
      </w:pPr>
      <w:bookmarkStart w:id="347" w:name="_Toc283984130"/>
      <w:bookmarkStart w:id="348" w:name="_Toc304640220"/>
      <w:bookmarkStart w:id="349" w:name="_Toc441508961"/>
      <w:bookmarkStart w:id="350" w:name="_Toc453235399"/>
      <w:bookmarkStart w:id="351" w:name="_Toc453595472"/>
      <w:bookmarkStart w:id="352" w:name="_Toc476241569"/>
      <w:r w:rsidRPr="00F10391">
        <w:t>3.5.3</w:t>
      </w:r>
      <w:r w:rsidRPr="00F10391">
        <w:tab/>
      </w:r>
      <w:r w:rsidRPr="00F10391">
        <w:tab/>
        <w:t>Conclusions on this section</w:t>
      </w:r>
      <w:bookmarkEnd w:id="347"/>
      <w:bookmarkEnd w:id="348"/>
      <w:bookmarkEnd w:id="349"/>
      <w:bookmarkEnd w:id="350"/>
      <w:bookmarkEnd w:id="351"/>
      <w:bookmarkEnd w:id="352"/>
    </w:p>
    <w:p w14:paraId="79B3A3B5" w14:textId="77777777" w:rsidR="00D22CE3" w:rsidRPr="00F10391" w:rsidRDefault="00D22CE3">
      <w:r w:rsidRPr="00F10391">
        <w:t xml:space="preserve">Multi-criteria decision analysis approaches appear to be well suited to inform decision-makers in public health, on a wide range of topics. There are a variety of approaches available, which can be used depending on the nature of the problem at hand. They fulfil ethical and transparency requirements central to the mission of organisations such as NICE, and have been shown to provide valuable information to decision-makers at various levels and may even improve outcomes for patients and the broader patient experience, given that studies have shown that patients who participate in decisions about their healthcare have better outcomes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Pr="00F10391">
        <w:t xml:space="preserve">, and that MCDA can help to facilitate this process. </w:t>
      </w:r>
    </w:p>
    <w:p w14:paraId="7B9C4891" w14:textId="77777777" w:rsidR="00D22CE3" w:rsidRPr="00F10391" w:rsidRDefault="00D22CE3">
      <w:r w:rsidRPr="00F10391">
        <w:t>Nonetheless, more research is required to ensure that these conclusions can be established more convincingly. This review provides an introduction to how they have been employed in a variety of settings but cannot claim to have established comprehensively where MCDA should be employed. The review is also subject to a large number of possible biases, listed in the Section 3.5.2. While some of these could be remedied with extra time and resources, it is unlikely that they could be completely removed due to the relatively heterogeneous nature of the papers available.</w:t>
      </w:r>
    </w:p>
    <w:p w14:paraId="3598DF95" w14:textId="77777777" w:rsidR="00D22CE3" w:rsidRPr="00F10391" w:rsidRDefault="00D22CE3"/>
    <w:p w14:paraId="44C6292D" w14:textId="77777777" w:rsidR="00D22CE3" w:rsidRPr="00F10391" w:rsidRDefault="00D22CE3">
      <w:pPr>
        <w:pStyle w:val="Heading2"/>
        <w:sectPr w:rsidR="00D22CE3" w:rsidRPr="00F10391" w:rsidSect="00D22CE3">
          <w:pgSz w:w="11906" w:h="16838" w:code="9"/>
          <w:pgMar w:top="1440" w:right="1440" w:bottom="1440" w:left="1440" w:header="708" w:footer="708" w:gutter="0"/>
          <w:cols w:space="708"/>
          <w:docGrid w:linePitch="360"/>
        </w:sectPr>
      </w:pPr>
      <w:bookmarkStart w:id="353" w:name="_Toc283984131"/>
      <w:bookmarkStart w:id="354" w:name="_Toc304640221"/>
    </w:p>
    <w:p w14:paraId="01267938" w14:textId="77777777" w:rsidR="00D22CE3" w:rsidRPr="00F10391" w:rsidRDefault="00D22CE3">
      <w:pPr>
        <w:pStyle w:val="Heading2"/>
      </w:pPr>
      <w:bookmarkStart w:id="355" w:name="_Toc441508962"/>
      <w:bookmarkStart w:id="356" w:name="_Toc453235400"/>
      <w:bookmarkStart w:id="357" w:name="_Toc453595473"/>
      <w:bookmarkStart w:id="358" w:name="_Toc476241570"/>
      <w:r w:rsidRPr="00F10391">
        <w:lastRenderedPageBreak/>
        <w:t xml:space="preserve">Part 2: </w:t>
      </w:r>
      <w:r w:rsidRPr="00F10391">
        <w:tab/>
        <w:t>Bibliometric analysis of issues covered up to December 2014</w:t>
      </w:r>
      <w:bookmarkEnd w:id="353"/>
      <w:bookmarkEnd w:id="354"/>
      <w:bookmarkEnd w:id="355"/>
      <w:bookmarkEnd w:id="356"/>
      <w:bookmarkEnd w:id="357"/>
      <w:bookmarkEnd w:id="358"/>
    </w:p>
    <w:p w14:paraId="3C0512F7" w14:textId="77777777" w:rsidR="00D22CE3" w:rsidRPr="00F10391" w:rsidRDefault="00D22CE3">
      <w:r w:rsidRPr="00F10391">
        <w:t>The purpose of this section is to revisit the search terms of the previously carried out systematic review and examine the trends in papers published up until the end of 2014. The previous section of this chapter provided examples from a wide range of MCDA and public health settings, and it may be worthwhile to examine the trends in MCDA techniques used and public health areas covered in the interim. All relevant papers returned in the updated search are listed in Appendix D.</w:t>
      </w:r>
    </w:p>
    <w:p w14:paraId="29B55B5C" w14:textId="43C2E31A" w:rsidR="00D22CE3" w:rsidRPr="00F10391" w:rsidRDefault="00D22CE3">
      <w:r w:rsidRPr="00F10391">
        <w:t xml:space="preserve">The original study was limited in the aspect that it did not include </w:t>
      </w:r>
      <w:r w:rsidR="00C4401A">
        <w:t>‘</w:t>
      </w:r>
      <w:r w:rsidRPr="00F10391">
        <w:t>population health</w:t>
      </w:r>
      <w:r w:rsidR="00C4401A">
        <w:t>’</w:t>
      </w:r>
      <w:r w:rsidRPr="00F10391">
        <w:t xml:space="preserve"> in the search term, given this is a more commonly used synonym of public health in North America (and journals published there). It was therefore included in the revised search term for this update. Since 2011, the ISI Web of Knowledge had in the meantime been subsumed into its sister search engine ISI Web of Science (WOS), and the updated search therefore took place in WOS. Otherwise the search terms remained largely the same as previously. </w:t>
      </w:r>
    </w:p>
    <w:p w14:paraId="2D7E9E42" w14:textId="77777777" w:rsidR="00D22CE3" w:rsidRPr="00F10391" w:rsidRDefault="00D22CE3">
      <w:r w:rsidRPr="00F10391">
        <w:t>PubMed search term used:</w:t>
      </w:r>
    </w:p>
    <w:p w14:paraId="6D8A088A" w14:textId="77777777" w:rsidR="00D22CE3" w:rsidRPr="00F10391" w:rsidRDefault="00D22CE3">
      <w:pPr>
        <w:ind w:left="720"/>
      </w:pPr>
      <w:r w:rsidRPr="00F10391">
        <w:t xml:space="preserve">(((((((((((("multicriteria decision analy*") OR "multi-criteria decision analy*") OR "multi criteria decision analy*") OR "multiple criteria decision analy*") OR "MCDA") OR "MCDM") OR "multicriteria decision-making") OR "multi-criteria decision-making") OR "multi criteria decision-making") OR "multiple criteria decision-making") OR "PBMA") OR "programme budgeting and marginal analy*") AND </w:t>
      </w:r>
    </w:p>
    <w:p w14:paraId="637689AC" w14:textId="77777777" w:rsidR="00D22CE3" w:rsidRPr="00F10391" w:rsidRDefault="00D22CE3" w:rsidP="0063065F">
      <w:pPr>
        <w:ind w:firstLine="720"/>
      </w:pPr>
      <w:r w:rsidRPr="00F10391">
        <w:t>((("public health*") OR "population health*") OR "health intervention*")</w:t>
      </w:r>
    </w:p>
    <w:p w14:paraId="558C68EB" w14:textId="77777777" w:rsidR="00D22CE3" w:rsidRPr="00F10391" w:rsidRDefault="00D22CE3" w:rsidP="00494A9A">
      <w:r w:rsidRPr="00F10391">
        <w:t xml:space="preserve">ISI Web of Science search term used: </w:t>
      </w:r>
    </w:p>
    <w:p w14:paraId="06A1EC9F" w14:textId="77777777" w:rsidR="00D22CE3" w:rsidRPr="00F10391" w:rsidRDefault="00D22CE3" w:rsidP="006A5AA3">
      <w:pPr>
        <w:ind w:left="720"/>
      </w:pPr>
      <w:r w:rsidRPr="00F10391">
        <w:t xml:space="preserve">((MCDA OR MCDM OR PBMA OR “programme budgeting and marginal analy*”) AND </w:t>
      </w:r>
    </w:p>
    <w:p w14:paraId="0CFF3CCC" w14:textId="77777777" w:rsidR="00D22CE3" w:rsidRPr="00F10391" w:rsidRDefault="00D22CE3" w:rsidP="006942ED">
      <w:pPr>
        <w:ind w:left="720"/>
      </w:pPr>
      <w:r w:rsidRPr="00F10391">
        <w:t>(“Public health*” OR “Health intervention*” OR "population health*"))</w:t>
      </w:r>
    </w:p>
    <w:p w14:paraId="36CC17F4" w14:textId="77777777" w:rsidR="00D22CE3" w:rsidRPr="00F10391" w:rsidRDefault="00D22CE3" w:rsidP="00494A9A">
      <w:r w:rsidRPr="00F10391">
        <w:t xml:space="preserve">In total, the combined searches discovered 280 papers, of which 30 were duplicates. As with the prior search, a large number of returned papers related to environmental and waste issues, with perspectives and themes outside the scope of this review. The earliest relevant abstract returned was published in 1982, entitled “A multicriteria tool for the analysis of health status indicators of a population” – though the full text was unavailable (and written in French), and as such did not meet the inclusion criteria. </w:t>
      </w:r>
    </w:p>
    <w:p w14:paraId="4EBFCE2C" w14:textId="256F9C1D" w:rsidR="00D22CE3" w:rsidRPr="00F10391" w:rsidRDefault="00D22CE3" w:rsidP="00494A9A">
      <w:pPr>
        <w:pStyle w:val="Caption"/>
      </w:pPr>
      <w:bookmarkStart w:id="359" w:name="_Toc283984228"/>
      <w:bookmarkStart w:id="360" w:name="_Toc444180810"/>
      <w:bookmarkStart w:id="361" w:name="_Toc476241447"/>
      <w:r w:rsidRPr="00F10391">
        <w:lastRenderedPageBreak/>
        <w:t xml:space="preserve">Figure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2</w:t>
      </w:r>
      <w:r w:rsidR="000F1034">
        <w:rPr>
          <w:noProof/>
        </w:rPr>
        <w:fldChar w:fldCharType="end"/>
      </w:r>
      <w:r w:rsidRPr="00F10391">
        <w:t xml:space="preserve"> – Cumulative number of relevant papers published by date of publication, split by whether relating to PBMA or other MCDA technique</w:t>
      </w:r>
      <w:bookmarkEnd w:id="359"/>
      <w:bookmarkEnd w:id="360"/>
      <w:bookmarkEnd w:id="361"/>
    </w:p>
    <w:p w14:paraId="2F55425B" w14:textId="77777777" w:rsidR="00D22CE3" w:rsidRPr="00F10391" w:rsidRDefault="00D22CE3" w:rsidP="00494A9A">
      <w:r w:rsidRPr="00F10391">
        <w:rPr>
          <w:noProof/>
          <w:lang w:val="en-IE" w:eastAsia="en-IE"/>
        </w:rPr>
        <w:drawing>
          <wp:inline distT="0" distB="0" distL="0" distR="0" wp14:anchorId="76C68EDE" wp14:editId="3A63CDBD">
            <wp:extent cx="4572000" cy="2743200"/>
            <wp:effectExtent l="0" t="0" r="0" b="0"/>
            <wp:docPr id="22"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DF64C3" w14:textId="61334865" w:rsidR="00D22CE3" w:rsidRPr="00F10391" w:rsidRDefault="00D22CE3" w:rsidP="00490B5D">
      <w:r w:rsidRPr="00F10391">
        <w:t xml:space="preserve">Using the same process as previously, 49 papers did meet the inclusion criteria, a significant increase on the 18 found in 2011. Most have been published since the previous review was completed. The first relevant papers to meet all inclusion criteria were actually published in the same issue of Health Policy in 1995; four of these were included previously, and a further three had not shown up in the original search. This may be either due to the incorporation of the </w:t>
      </w:r>
      <w:r w:rsidR="00C4401A">
        <w:t>‘</w:t>
      </w:r>
      <w:r w:rsidRPr="00F10391">
        <w:t>population health</w:t>
      </w:r>
      <w:r w:rsidR="00C4401A">
        <w:t>’</w:t>
      </w:r>
      <w:r w:rsidRPr="00F10391">
        <w:t xml:space="preserve"> term, or improvements the quality of databases or search algorithms in the meantime. No other relevant paper was published until 1998, which was again related to PBMA. The first non-PBMA papers to be included were published in 1999; Koch’s use of AHP to arrive at bioethical principles </w:t>
      </w:r>
      <w:r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Pr="00F10391">
        <w:fldChar w:fldCharType="separate"/>
      </w:r>
      <w:r w:rsidR="00700267">
        <w:rPr>
          <w:noProof/>
        </w:rPr>
        <w:t>[91]</w:t>
      </w:r>
      <w:r w:rsidRPr="00F10391">
        <w:fldChar w:fldCharType="end"/>
      </w:r>
      <w:r w:rsidRPr="00F10391">
        <w:t xml:space="preserve"> and Nobre’s use of TODIM for priority setting </w:t>
      </w:r>
      <w:r w:rsidRPr="00F10391">
        <w:fldChar w:fldCharType="begin"/>
      </w:r>
      <w:r w:rsidR="00700267">
        <w:instrText xml:space="preserve"> ADDIN EN.CITE &lt;EndNote&gt;&lt;Cite&gt;&lt;Author&gt;Nobre&lt;/Author&gt;&lt;Year&gt;1999&lt;/Year&gt;&lt;RecNum&gt;105&lt;/RecNum&gt;&lt;DisplayText&gt;[163]&lt;/DisplayText&gt;&lt;record&gt;&lt;rec-number&gt;105&lt;/rec-number&gt;&lt;foreign-keys&gt;&lt;key app="EN" db-id="sz9092dv2s5fpze9wpgx0zxgv5ar00aezrvf" timestamp="0"&gt;105&lt;/key&gt;&lt;/foreign-keys&gt;&lt;ref-type name="Journal Article"&gt;17&lt;/ref-type&gt;&lt;contributors&gt;&lt;authors&gt;&lt;author&gt;Nobre, Flavio Fonseca&lt;/author&gt;&lt;author&gt;Trotta, Lilian Terezinha Ferreira&lt;/author&gt;&lt;author&gt;Gomes, Luiz Flavio Autran Monteiro&lt;/author&gt;&lt;/authors&gt;&lt;/contributors&gt;&lt;titles&gt;&lt;</w:instrText>
      </w:r>
      <w:r w:rsidR="00700267">
        <w:rPr>
          <w:rFonts w:hint="eastAsia"/>
        </w:rPr>
        <w:instrText>title&gt;Multi</w:instrText>
      </w:r>
      <w:r w:rsidR="00700267">
        <w:rPr>
          <w:rFonts w:hint="eastAsia"/>
        </w:rPr>
        <w:instrText>‐</w:instrText>
      </w:r>
      <w:r w:rsidR="00700267">
        <w:rPr>
          <w:rFonts w:hint="eastAsia"/>
        </w:rPr>
        <w:instrText>criteria decision making</w:instrText>
      </w:r>
      <w:r w:rsidR="00700267">
        <w:rPr>
          <w:rFonts w:hint="eastAsia"/>
        </w:rPr>
        <w:instrText>–</w:instrText>
      </w:r>
      <w:r w:rsidR="00700267">
        <w:rPr>
          <w:rFonts w:hint="eastAsia"/>
        </w:rPr>
        <w:instrText xml:space="preserve"> an approach to setting priorities in health care&lt;/title&gt;&lt;secondary-title&gt;Statistics in medicine&lt;/secondary-title&gt;&lt;/titles&gt;&lt;pages&gt;3345-3354&lt;/pages&gt;&lt;volume&gt;18&lt;/volume&gt;&lt;number&gt;23&lt;/number&gt;&lt;dates&gt;&lt;year&gt;1999&lt;/year&gt;&lt;/dates&gt;&lt;</w:instrText>
      </w:r>
      <w:r w:rsidR="00700267">
        <w:instrText>isbn&gt;0277-6715&lt;/isbn&gt;&lt;urls&gt;&lt;related-urls&gt;&lt;url&gt;http://onlinelibrary.wiley.com/doi/10.1002/(SICI)1097-0258(19991215)18:23%3C3345::AID-SIM321%3E3.0.CO;2-7/abstract&lt;/url&gt;&lt;url&gt;http://onlinelibrary.wiley.com/store/10.1002/(SICI)1097-0258(19991215)18:23%3C3345::AID-SIM321%3E3.0.CO;2-7/asset/321_ftp.pdf?v=1&amp;amp;t=i4h4b033&amp;amp;s=6b4f1cf4bd663a585f527b96aa67c591b660c878&lt;/url&gt;&lt;url&gt;http://onlinelibrary.wiley.com/doi/10.1002/(SICI)1097-0258(19991215)18:23&amp;lt;3345::AID-SIM321&amp;gt;3.0.CO;2-7/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[163]</w:t>
      </w:r>
      <w:r w:rsidRPr="00F10391">
        <w:fldChar w:fldCharType="end"/>
      </w:r>
      <w:r w:rsidRPr="00F10391">
        <w:t xml:space="preserve">. </w:t>
      </w:r>
    </w:p>
    <w:p w14:paraId="39298686" w14:textId="77777777" w:rsidR="00D22CE3" w:rsidRPr="00F10391" w:rsidRDefault="00D22CE3" w:rsidP="00490B5D">
      <w:r w:rsidRPr="00F10391">
        <w:t xml:space="preserve">In general, papers remained relatively sparse until 2010. In the 14 years from 1996 to 2009, 18 eligible papers were published, of which only 5 did not relate to PBMA. However, since 2010, the number of published papers has spiked considerably, with non-PBMA papers dominating (7 PBMA vs. 24 non-PBMA). </w:t>
      </w:r>
    </w:p>
    <w:p w14:paraId="091A9BEC" w14:textId="7627FD93" w:rsidR="00D22CE3" w:rsidRPr="00F10391" w:rsidRDefault="00D22CE3" w:rsidP="006A5AA3">
      <w:pPr>
        <w:pStyle w:val="Caption"/>
      </w:pPr>
      <w:bookmarkStart w:id="362" w:name="_Toc283984229"/>
      <w:bookmarkStart w:id="363" w:name="_Toc444180811"/>
      <w:bookmarkStart w:id="364" w:name="_Toc476241448"/>
      <w:r w:rsidRPr="00F10391">
        <w:t xml:space="preserve">Figure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3</w:t>
      </w:r>
      <w:r w:rsidR="000F1034">
        <w:rPr>
          <w:noProof/>
        </w:rPr>
        <w:fldChar w:fldCharType="end"/>
      </w:r>
      <w:r w:rsidRPr="00F10391">
        <w:t xml:space="preserve"> – Primary purpose of MCDA approach used in included papers</w:t>
      </w:r>
      <w:bookmarkEnd w:id="362"/>
      <w:bookmarkEnd w:id="363"/>
      <w:bookmarkEnd w:id="364"/>
    </w:p>
    <w:p w14:paraId="5CDC6D05" w14:textId="77777777" w:rsidR="00D22CE3" w:rsidRPr="00F10391" w:rsidRDefault="00D22CE3" w:rsidP="006942ED">
      <w:r w:rsidRPr="00F10391">
        <w:rPr>
          <w:noProof/>
          <w:lang w:val="en-IE" w:eastAsia="en-IE"/>
        </w:rPr>
        <w:drawing>
          <wp:inline distT="0" distB="0" distL="0" distR="0" wp14:anchorId="21D8A580" wp14:editId="0F51F12D">
            <wp:extent cx="4225290" cy="2571115"/>
            <wp:effectExtent l="0" t="0" r="0" b="0"/>
            <wp:docPr id="23"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4F532D" w14:textId="77777777" w:rsidR="00D22CE3" w:rsidRPr="00F10391" w:rsidRDefault="00D22CE3" w:rsidP="006942ED">
      <w:r w:rsidRPr="00F10391">
        <w:lastRenderedPageBreak/>
        <w:t xml:space="preserve">26 relevant papers that met all inclusion criteria were published over the review periods. They were predominantly used to prioritise between options. Further information on these papers is shown in Appendix D. Of these, 3 papers specifically used MCDA approaches to structure shared decision-making between health professionals and patients – 2 using Annalisa (an MCDA software developed by Jack Dowie, an early proponent of MCDA use in health settings), and an update </w:t>
      </w:r>
      <w:r w:rsidRPr="00F10391">
        <w:fldChar w:fldCharType="begin"/>
      </w:r>
      <w:r w:rsidR="00700267">
        <w:instrText xml:space="preserve"> ADDIN EN.CITE &lt;EndNote&gt;&lt;Cite&gt;&lt;Author&gt;Dolan&lt;/Author&gt;&lt;Year&gt;2013&lt;/Year&gt;&lt;RecNum&gt;348&lt;/RecNum&gt;&lt;DisplayText&gt;[183]&lt;/DisplayText&gt;&lt;record&gt;&lt;rec-number&gt;348&lt;/rec-number&gt;&lt;foreign-keys&gt;&lt;key app="EN" db-id="sz9092dv2s5fpze9wpgx0zxgv5ar00aezrvf" timestamp="0"&gt;348&lt;/key&gt;&lt;/foreign-keys&gt;&lt;ref-type name="Journal Article"&gt;17&lt;/ref-type&gt;&lt;contributors&gt;&lt;authors&gt;&lt;author&gt;Dolan, James G&lt;/author&gt;&lt;author&gt;Boohaker, Emily&lt;/author&gt;&lt;author&gt;Allison, Jeroan&lt;/author&gt;&lt;author&gt;Imperiale, Thomas F&lt;/author&gt;&lt;/authors&gt;&lt;/contributors&gt;&lt;titles&gt;&lt;title&gt;Can Streamlined Multicriteria Decision Analysis Be Used to Implement Shared Decision Making for Colorectal Cancer Screening?&lt;/title&gt;&lt;secondary-title&gt;Medical Decision Making&lt;/secondary-title&gt;&lt;/titles&gt;&lt;periodical&gt;&lt;full-title&gt;Medical Decision Making&lt;/full-title&gt;&lt;/periodical&gt;&lt;pages&gt;0272989X13513338&lt;/pages&gt;&lt;dates&gt;&lt;year&gt;2013&lt;/year&gt;&lt;/dates&gt;&lt;isbn&gt;0272-989X&lt;/isbn&gt;&lt;urls&gt;&lt;/urls&gt;&lt;/record&gt;&lt;/Cite&gt;&lt;/EndNote&gt;</w:instrText>
      </w:r>
      <w:r w:rsidRPr="00F10391">
        <w:fldChar w:fldCharType="separate"/>
      </w:r>
      <w:r w:rsidR="00700267">
        <w:rPr>
          <w:noProof/>
        </w:rPr>
        <w:t>[183]</w:t>
      </w:r>
      <w:r w:rsidRPr="00F10391">
        <w:fldChar w:fldCharType="end"/>
      </w:r>
      <w:r w:rsidRPr="00F10391">
        <w:t xml:space="preserve"> to the prior Dolan colorectal cancer screening paper again using AHP </w:t>
      </w:r>
      <w:r w:rsidRPr="00F10391">
        <w:fldChar w:fldCharType="begin"/>
      </w:r>
      <w:r w:rsidR="00700267">
        <w:instrText xml:space="preserve"> ADDIN EN.CITE &lt;EndNote&gt;&lt;Cite&gt;&lt;Author&gt;Dolan&lt;/Author&gt;&lt;Year&gt;2000&lt;/Year&gt;&lt;RecNum&gt;39&lt;/RecNum&gt;&lt;DisplayText&gt;[112]&lt;/DisplayText&gt;&lt;record&gt;&lt;rec-number&gt;39&lt;/rec-number&gt;&lt;foreign-keys&gt;&lt;key app="EN" db-id="sz9092dv2s5fpze9wpgx0zxgv5ar00aezrvf" timestamp="0"&gt;39&lt;/key&gt;&lt;/foreign-keys&gt;&lt;ref-type name="Journal Article"&gt;17&lt;/ref-type&gt;&lt;contributors&gt;&lt;authors&gt;&lt;author&gt;Dolan, James G&lt;/author&gt;&lt;/authors&gt;&lt;/contributors&gt;&lt;titles&gt;&lt;title&gt;Involving patients in decisions regarding preventive health interventions using the analytic hierarchy process&lt;/title&gt;&lt;secondary-title&gt;Health Expectations&lt;/secondary-title&gt;&lt;/titles&gt;&lt;pages&gt;37-45&lt;/pages&gt;&lt;volume&gt;3&lt;/volume&gt;&lt;number&gt;1&lt;/number&gt;&lt;dates&gt;&lt;year&gt;2000&lt;/year&gt;&lt;/dates&gt;&lt;isbn&gt;1369-7625&lt;/isbn&gt;&lt;urls&gt;&lt;related-urls&gt;&lt;url&gt;http://onlinelibrary.wiley.com/doi/10.1046/j.1369-6513.2000.00075.x/abstract&lt;/url&gt;&lt;url&gt;http://onlinelibrary.wiley.com/store/10.1046/j.1369-6513.2000.00075.x/asset/j.1369-6513.2000.00075.x.pdf?v=1&amp;amp;t=i4h49qln&amp;amp;s=356a3dc12fe6f035c3d42b798702a9b2f7e78c44&lt;/url&gt;&lt;url&gt;http://onlinelibrary.wiley.com/store/10.1046/j.1369-6513.2000.00075.x/asset/j.1369-6513.2000.00075.x.pdf?v=1&amp;amp;t=ilnwzxv8&amp;amp;s=4e5bc312b343f2a14d26b85f33bf242894667999&lt;/url&gt;&lt;/related-urls&gt;&lt;/urls&gt;&lt;/record&gt;&lt;/Cite&gt;&lt;/EndNote&gt;</w:instrText>
      </w:r>
      <w:r w:rsidRPr="00F10391">
        <w:fldChar w:fldCharType="separate"/>
      </w:r>
      <w:r w:rsidR="00700267">
        <w:rPr>
          <w:noProof/>
        </w:rPr>
        <w:t>[112]</w:t>
      </w:r>
      <w:r w:rsidRPr="00F10391">
        <w:fldChar w:fldCharType="end"/>
      </w:r>
      <w:r w:rsidRPr="00F10391">
        <w:t>. The approaches were used in a wide variety of areas – aside from generic papers giving an overview of the field, no public health area was encountered twice.</w:t>
      </w:r>
      <w:r w:rsidRPr="00F10391">
        <w:rPr>
          <w:rStyle w:val="FootnoteReference"/>
        </w:rPr>
        <w:footnoteReference w:id="3"/>
      </w:r>
      <w:r w:rsidRPr="00F10391">
        <w:t xml:space="preserve"> </w:t>
      </w:r>
    </w:p>
    <w:p w14:paraId="7136B093" w14:textId="0266F857" w:rsidR="00D22CE3" w:rsidRPr="00F10391" w:rsidRDefault="00D22CE3">
      <w:r w:rsidRPr="00F10391">
        <w:t xml:space="preserve">While PBMA was the single most used MCDA approach, the majority of papers since 2011 used more conventional MCDA approaches. Value measurement approaches were the most common family, as we might expect given the large number of papers related to prioritising between topics. As previously stated, they are the most commonly used approach in healthcare more generally </w:t>
      </w:r>
      <w:r w:rsidRPr="00F10391">
        <w:fldChar w:fldCharType="begin"/>
      </w:r>
      <w:r w:rsidR="00700267">
        <w:instrText xml:space="preserve"> ADDIN EN.CITE &lt;EndNote&gt;&lt;Cite&gt;&lt;Author&gt;Marsh&lt;/Author&gt;&lt;Year&gt;2014&lt;/Year&gt;&lt;RecNum&gt;322&lt;/RecNum&gt;&lt;DisplayText&gt;[128]&lt;/DisplayText&gt;&lt;record&gt;&lt;rec-number&gt;322&lt;/rec-number&gt;&lt;foreign-keys&gt;&lt;key app="EN" db-id="sz9092dv2s5fpze9wpgx0zxgv5ar00aezrvf" timestamp="0"&gt;322&lt;/key&gt;&lt;/foreign-keys&gt;&lt;ref-type name="Journal Article"&gt;17&lt;/ref-type&gt;&lt;contributors&gt;&lt;authors&gt;&lt;author&gt;Marsh, Kevin&lt;/author&gt;&lt;author&gt;Lanitis, Tereza&lt;/author&gt;&lt;author&gt;Neasham, David&lt;/author&gt;&lt;author&gt;Orfanos, Panagiotis&lt;/author&gt;&lt;author&gt;Caro, Jaime&lt;/author&gt;&lt;/authors&gt;&lt;/contributors&gt;&lt;titles&gt;&lt;title&gt;Assessing the value of healthcare interventions using multi-criteria decision analysis: a review of the literature&lt;/title&gt;&lt;secondary-title&gt;Pharmacoeconomics&lt;/secondary-title&gt;&lt;/titles&gt;&lt;periodical&gt;&lt;full-title&gt;Pharmacoeconomics&lt;/full-title&gt;&lt;/periodical&gt;&lt;pages&gt;345-365&lt;/pages&gt;&lt;volume&gt;32&lt;/volume&gt;&lt;number&gt;4&lt;/number&gt;&lt;dates&gt;&lt;year&gt;2014&lt;/year&gt;&lt;/dates&gt;&lt;isbn&gt;1170-7690&lt;/isbn&gt;&lt;urls&gt;&lt;related-urls&gt;&lt;url&gt;http://link.springer.com/article/10.1007%2Fs40273-014-0135-0&lt;/url&gt;&lt;/related-urls&gt;&lt;/urls&gt;&lt;/record&gt;&lt;/Cite&gt;&lt;/EndNote&gt;</w:instrText>
      </w:r>
      <w:r w:rsidRPr="00F10391">
        <w:fldChar w:fldCharType="separate"/>
      </w:r>
      <w:r w:rsidR="00700267">
        <w:rPr>
          <w:noProof/>
        </w:rPr>
        <w:t>[128]</w:t>
      </w:r>
      <w:r w:rsidRPr="00F10391">
        <w:fldChar w:fldCharType="end"/>
      </w:r>
      <w:r w:rsidRPr="00F10391">
        <w:t xml:space="preserve">. Again, no goal programming approaches were found using this search strategy. </w:t>
      </w:r>
      <w:r w:rsidR="00C4401A">
        <w:t>‘</w:t>
      </w:r>
      <w:r w:rsidRPr="00F10391">
        <w:t>Generic approaches</w:t>
      </w:r>
      <w:r w:rsidR="00C4401A">
        <w:t>’</w:t>
      </w:r>
      <w:r w:rsidRPr="00F10391">
        <w:t xml:space="preserve"> refer to discussion papers on MCDA overall, incorporating multiple practices.</w:t>
      </w:r>
    </w:p>
    <w:p w14:paraId="5A20DF54" w14:textId="24214A59" w:rsidR="00D22CE3" w:rsidRPr="00F10391" w:rsidRDefault="00D22CE3">
      <w:pPr>
        <w:pStyle w:val="Caption"/>
      </w:pPr>
      <w:r w:rsidRPr="00F10391">
        <w:t xml:space="preserve"> </w:t>
      </w:r>
      <w:bookmarkStart w:id="365" w:name="_Toc283984230"/>
      <w:bookmarkStart w:id="366" w:name="_Toc444180812"/>
      <w:bookmarkStart w:id="367" w:name="_Toc476241449"/>
      <w:r w:rsidRPr="00F10391">
        <w:t xml:space="preserve">Figure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4</w:t>
      </w:r>
      <w:r w:rsidR="000F1034">
        <w:rPr>
          <w:noProof/>
        </w:rPr>
        <w:fldChar w:fldCharType="end"/>
      </w:r>
      <w:r w:rsidRPr="00F10391">
        <w:t xml:space="preserve"> – Count of MCDA methodology used in included papers</w:t>
      </w:r>
      <w:bookmarkEnd w:id="365"/>
      <w:bookmarkEnd w:id="366"/>
      <w:bookmarkEnd w:id="367"/>
    </w:p>
    <w:p w14:paraId="3A2470F5" w14:textId="77777777" w:rsidR="00D22CE3" w:rsidRPr="00F10391" w:rsidRDefault="00D22CE3">
      <w:r w:rsidRPr="00F10391">
        <w:rPr>
          <w:noProof/>
          <w:lang w:val="en-IE" w:eastAsia="en-IE"/>
        </w:rPr>
        <w:drawing>
          <wp:inline distT="0" distB="0" distL="0" distR="0" wp14:anchorId="559DFE5F" wp14:editId="2934771A">
            <wp:extent cx="4346575" cy="2517775"/>
            <wp:effectExtent l="0" t="0" r="0" b="0"/>
            <wp:docPr id="24"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0E3FDF" w14:textId="77777777" w:rsidR="00D22CE3" w:rsidRPr="00F10391" w:rsidRDefault="00D22CE3">
      <w:r w:rsidRPr="00F10391">
        <w:lastRenderedPageBreak/>
        <w:t xml:space="preserve">While reviews and the premises of proof of concept articles would generally apply equally anywhere, most of the papers specified the setting in which their study took place. Europe and North America were the setting for 5 papers each (in which 4 were set in the UK and Canada respectively). Two studies were set in cross-border regions – one in South America, and one in the Mediterranean basin incorporating Palestine, Syria, Turkey and Tunisia. These are included in Figure 3.5 – in the latter case in proportion to the countries included (which is why Africa and Asia do not have whole numbers attributed to them). The darker colour on the graph indicates the number of studies arising from the most common country in each. Aside from those already mentioned, individual studies also took place in Norway, USA, China, Brazil and South Africa. </w:t>
      </w:r>
    </w:p>
    <w:p w14:paraId="74B511D2" w14:textId="77777777" w:rsidR="00D22CE3" w:rsidRPr="00F10391" w:rsidRDefault="00D22CE3">
      <w:r w:rsidRPr="00F10391">
        <w:t xml:space="preserve">Two of the reviews published are particularly notable to this review. One relates to how to measure success in a PBMA </w:t>
      </w:r>
      <w:r w:rsidRPr="00F10391">
        <w:fldChar w:fldCharType="begin"/>
      </w:r>
      <w:r w:rsidR="00700267">
        <w:instrText xml:space="preserve"> ADDIN EN.CITE &lt;EndNote&gt;&lt;Cite&gt;&lt;Author&gt;Tsourapas&lt;/Author&gt;&lt;Year&gt;2011&lt;/Year&gt;&lt;RecNum&gt;285&lt;/RecNum&gt;&lt;DisplayText&gt;[184]&lt;/DisplayText&gt;&lt;record&gt;&lt;rec-number&gt;285&lt;/rec-number&gt;&lt;foreign-keys&gt;&lt;key app="EN" db-id="sz9092dv2s5fpze9wpgx0zxgv5ar00aezrvf" timestamp="0"&gt;285&lt;/key&gt;&lt;/foreign-keys&gt;&lt;ref-type name="Journal Article"&gt;17&lt;/ref-type&gt;&lt;contributors&gt;&lt;authors&gt;&lt;author&gt;Tsourapas, Angelos&lt;/author&gt;&lt;author&gt;Frew, Emma&lt;/author&gt;&lt;/authors&gt;&lt;/contributors&gt;&lt;titles&gt;&lt;title&gt;Evaluating ‘success’ in programme budgeting and marginal analysis: a literature review&lt;/title&gt;&lt;secondary-title&gt;Journal of health services research &amp;amp; policy&lt;/secondary-title&gt;&lt;/titles&gt;&lt;periodical&gt;&lt;full-title&gt;Journal of health services research &amp;amp; policy&lt;/full-title&gt;&lt;/periodical&gt;&lt;pages&gt;177-183&lt;/pages&gt;&lt;volume&gt;16&lt;/volume&gt;&lt;number&gt;3&lt;/number&gt;&lt;dates&gt;&lt;year&gt;2011&lt;/year&gt;&lt;/dates&gt;&lt;isbn&gt;1355-8196&lt;/isbn&gt;&lt;urls&gt;&lt;/urls&gt;&lt;/record&gt;&lt;/Cite&gt;&lt;/EndNote&gt;</w:instrText>
      </w:r>
      <w:r w:rsidRPr="00F10391">
        <w:fldChar w:fldCharType="separate"/>
      </w:r>
      <w:r w:rsidR="00700267">
        <w:rPr>
          <w:noProof/>
        </w:rPr>
        <w:t>[184]</w:t>
      </w:r>
      <w:r w:rsidRPr="00F10391">
        <w:fldChar w:fldCharType="end"/>
      </w:r>
      <w:r w:rsidRPr="00F10391">
        <w:t xml:space="preserve">, directly addressing a concern expressed in the closing part of section 3.4.5 about how successful these approaches are in practice. Another charts the use of MCDA in health interventions </w:t>
      </w:r>
      <w:r w:rsidRPr="00F10391">
        <w:fldChar w:fldCharType="begin"/>
      </w:r>
      <w:r w:rsidR="00700267">
        <w:instrText xml:space="preserve"> ADDIN EN.CITE &lt;EndNote&gt;&lt;Cite&gt;&lt;Author&gt;Marsh&lt;/Author&gt;&lt;Year&gt;2013&lt;/Year&gt;&lt;RecNum&gt;90&lt;/RecNum&gt;&lt;DisplayText&gt;[167]&lt;/DisplayText&gt;&lt;record&gt;&lt;rec-number&gt;90&lt;/rec-number&gt;&lt;foreign-keys&gt;&lt;key app="EN" db-id="sz9092dv2s5fpze9wpgx0zxgv5ar00aezrvf" timestamp="0"&gt;90&lt;/key&gt;&lt;/foreign-keys&gt;&lt;ref-type name="Journal Article"&gt;17&lt;/ref-type&gt;&lt;contributors&gt;&lt;authors&gt;&lt;author&gt;Marsh, K&lt;/author&gt;&lt;author&gt;Dolan, P&lt;/author&gt;&lt;author&gt;Kempster, J&lt;/author&gt;&lt;author&gt;Lugon, M&lt;/author&gt;&lt;/authors&gt;&lt;/contributors&gt;&lt;titles&gt;&lt;title&gt;Prioritizing investments in public health: a multi-criteria decision analysis&lt;/title&gt;&lt;secondary-title&gt;Journal of public health&lt;/secondary-title&gt;&lt;/titles&gt;&lt;periodical&gt;&lt;full-title&gt;Journal of public health&lt;/full-title&gt;&lt;/periodical&gt;&lt;pages&gt;460-466&lt;/pages&gt;&lt;volume&gt;35&lt;/volume&gt;&lt;number&gt;3&lt;/number&gt;&lt;dates&gt;&lt;year&gt;2013&lt;/year&gt;&lt;/dates&gt;&lt;isbn&gt;1741-3842&lt;/isbn&gt;&lt;urls&gt;&lt;related-urls&gt;&lt;url&gt;http://jpubhealth.oxfordjournals.org/content/35/3/460.full.pdf&lt;/url&gt;&lt;/related-urls&gt;&lt;/urls&gt;&lt;/record&gt;&lt;/Cite&gt;&lt;/EndNote&gt;</w:instrText>
      </w:r>
      <w:r w:rsidRPr="00F10391">
        <w:fldChar w:fldCharType="separate"/>
      </w:r>
      <w:r w:rsidR="00700267">
        <w:rPr>
          <w:noProof/>
        </w:rPr>
        <w:t>[167]</w:t>
      </w:r>
      <w:r w:rsidRPr="00F10391">
        <w:fldChar w:fldCharType="end"/>
      </w:r>
      <w:r w:rsidRPr="00F10391">
        <w:t>, which has clear parallels with this review (although their review does not focus on public health interventions specifically).Having completed this review, it is heartening to see many of the same trends emerging between these two papers and this chapter’s findings.</w:t>
      </w:r>
    </w:p>
    <w:p w14:paraId="61798DE3" w14:textId="77777777" w:rsidR="00D22CE3" w:rsidRPr="00F10391" w:rsidRDefault="00D22CE3"/>
    <w:p w14:paraId="0F452D30" w14:textId="40D75398" w:rsidR="00D22CE3" w:rsidRPr="00F10391" w:rsidRDefault="00D22CE3">
      <w:pPr>
        <w:pStyle w:val="Caption"/>
      </w:pPr>
      <w:bookmarkStart w:id="368" w:name="_Toc283984231"/>
      <w:bookmarkStart w:id="369" w:name="_Toc444180813"/>
      <w:bookmarkStart w:id="370" w:name="_Toc476241450"/>
      <w:r w:rsidRPr="00F10391">
        <w:t xml:space="preserve">Figure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5</w:t>
      </w:r>
      <w:r w:rsidR="000F1034">
        <w:rPr>
          <w:noProof/>
        </w:rPr>
        <w:fldChar w:fldCharType="end"/>
      </w:r>
      <w:r w:rsidRPr="00F10391">
        <w:t xml:space="preserve"> – Geographic spread of papers included, where the setting has been specified. The stronger colour indicates the proportion of studies that came from the most common country on each continen</w:t>
      </w:r>
      <w:bookmarkEnd w:id="368"/>
      <w:r w:rsidRPr="00F10391">
        <w:t>t (i.e. UK, Canada, China, Brazil, South Africa).</w:t>
      </w:r>
      <w:bookmarkEnd w:id="369"/>
      <w:bookmarkEnd w:id="370"/>
    </w:p>
    <w:p w14:paraId="6BE3373E" w14:textId="77777777" w:rsidR="00D22CE3" w:rsidRPr="00F10391" w:rsidRDefault="00D22CE3">
      <w:r w:rsidRPr="00F10391">
        <w:rPr>
          <w:noProof/>
          <w:lang w:val="en-IE" w:eastAsia="en-IE"/>
        </w:rPr>
        <w:drawing>
          <wp:inline distT="0" distB="0" distL="0" distR="0" wp14:anchorId="5CC9EC32" wp14:editId="49772C81">
            <wp:extent cx="4108450" cy="2425065"/>
            <wp:effectExtent l="0" t="0" r="6350" b="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CB3732" w14:textId="77777777" w:rsidR="00D22CE3" w:rsidRPr="00F10391" w:rsidRDefault="00D22CE3">
      <w:r w:rsidRPr="00F10391">
        <w:br w:type="page"/>
      </w:r>
    </w:p>
    <w:p w14:paraId="3D111B68" w14:textId="77777777" w:rsidR="00D22CE3" w:rsidRPr="00F10391" w:rsidRDefault="00D22CE3">
      <w:pPr>
        <w:pStyle w:val="Heading2"/>
      </w:pPr>
      <w:bookmarkStart w:id="371" w:name="_Toc441508963"/>
      <w:bookmarkStart w:id="372" w:name="_Toc453235401"/>
      <w:bookmarkStart w:id="373" w:name="_Toc453595474"/>
      <w:bookmarkStart w:id="374" w:name="_Toc476241571"/>
      <w:r w:rsidRPr="00F10391">
        <w:lastRenderedPageBreak/>
        <w:t xml:space="preserve">Part 3: </w:t>
      </w:r>
      <w:r w:rsidRPr="00F10391">
        <w:tab/>
        <w:t>Overall conclusions from the chapter</w:t>
      </w:r>
      <w:bookmarkEnd w:id="371"/>
      <w:bookmarkEnd w:id="372"/>
      <w:bookmarkEnd w:id="373"/>
      <w:bookmarkEnd w:id="374"/>
    </w:p>
    <w:p w14:paraId="54553EFE" w14:textId="77777777" w:rsidR="00D22CE3" w:rsidRPr="00F10391" w:rsidRDefault="00D22CE3">
      <w:pPr>
        <w:rPr>
          <w:bCs/>
        </w:rPr>
      </w:pPr>
      <w:r w:rsidRPr="00F10391">
        <w:t>Whether or not PBMA papers should be considered as part of MCDA is debatable but, given that this review was first carried out early in the research project, it was appropriate to include them in this study to ascertain where these limits should be. Chapter 1 defined MCDA as “approaches that can rank, prioritise or choose between given alternative potential actions, by scoring the actions on explicit criteria, and where the criteria are themselves weighted (unless it is clear from the prior stages that such weighting is unnecessary because of dominance or effective dominance)”. PBMA, which contains no weighting stage and instead focuses on facilitating decision-making through deliberation (albeit through implied and informal weighting), therefore is strictly outside of the scope of this work. At the same time, to exclude it from this chapter would have risked missing out on important related research, investigating similar themes and with similar objectives, at a time when the boundaries of what was in scope was unclear. I feel that excluding them at this point would achieve little and that learning about, and reporting, such techniques is a worthwhile exercise.</w:t>
      </w:r>
    </w:p>
    <w:p w14:paraId="655E8AC9" w14:textId="77777777" w:rsidR="00D22CE3" w:rsidRPr="00F10391" w:rsidRDefault="00D22CE3">
      <w:r w:rsidRPr="00F10391">
        <w:t>Until relatively recently, PBMA made up the vast majority of these more-broadly-defined MCDA papers in public health settings. This situation has changed considerably, and of the 49 papers described in Part 2, the majority are now formal, within-scope MCDA techniques. The number of applications of these approaches is now growing quickly.</w:t>
      </w:r>
    </w:p>
    <w:p w14:paraId="76FF2C2A" w14:textId="18D9CE5D" w:rsidR="00D22CE3" w:rsidRPr="00F10391" w:rsidRDefault="00D22CE3">
      <w:r w:rsidRPr="00F10391">
        <w:t>Excluding the PBMA papers, the remaining papers predominantly relate to prioritisation (20 of the 30) – and the excluded PBMA papers, by their very nature, relate to prioritisation as well. Of these 20 prioritisation papers, 18 use value measurement techniques (especially AHP, the Linear Additive approach and DCEs). The remaining 2 approaches use outranking techniques – PROMETHEE and TODIM.</w:t>
      </w:r>
    </w:p>
    <w:p w14:paraId="364E3DB8" w14:textId="77777777" w:rsidR="00D22CE3" w:rsidRPr="00F10391" w:rsidRDefault="00D22CE3">
      <w:r w:rsidRPr="00F10391">
        <w:t>Of the others, 6 papers give general overviews of MCDA use. The remaining 4 are described as risk monitoring, which do not require direct inter-alternative ranking. Despite the small numbers involved, these appear to show a greater range of approaches being used – 2 used PROMETHEE, another used AHP and the other spoke in more general terms. 3 of these papers employed ‘spatial MCDA’, using a geographical information system (GIS) technique to map areas of high risk.</w:t>
      </w:r>
    </w:p>
    <w:p w14:paraId="72A29C6C" w14:textId="77777777" w:rsidR="00D22CE3" w:rsidRPr="00F10391" w:rsidRDefault="00D22CE3">
      <w:r w:rsidRPr="00F10391">
        <w:t xml:space="preserve">It is clear that </w:t>
      </w:r>
      <w:r w:rsidRPr="00F10391">
        <w:rPr>
          <w:lang w:eastAsia="en-US"/>
        </w:rPr>
        <w:t>v</w:t>
      </w:r>
      <w:r w:rsidRPr="00F10391">
        <w:t xml:space="preserve">alue measurement approaches currently make up the vast majority of MCDA techniques used in public health, where they have largely been used for prioritisation between topics. Reported approaches can generally </w:t>
      </w:r>
      <w:r w:rsidRPr="00F10391">
        <w:rPr>
          <w:lang w:eastAsia="en-US"/>
        </w:rPr>
        <w:t xml:space="preserve">be </w:t>
      </w:r>
      <w:r w:rsidRPr="00F10391">
        <w:t xml:space="preserve">described as once-off studies, rather than following a general framework, making direct comparison of outcomes difficult and implying such a framework may be less important than the careful case-by-case matching of an appropriate MCDA technique to a particular decision problem. While MCDA approaches are unlikely to be a panacea </w:t>
      </w:r>
      <w:r w:rsidRPr="00F10391">
        <w:softHyphen/>
        <w:t xml:space="preserve">– addressing all possible concerns with current processes </w:t>
      </w:r>
      <w:r w:rsidRPr="00F10391">
        <w:softHyphen/>
        <w:t xml:space="preserve">– it is clear that they can be successful in certain public health settings, and in time may have a meaningful role to play in the context of more complex decision-making bodies such as NICE. They not only successfully prioritise between possible courses of action, but also were shown to facilitate difficult conversations between decision-makers (e.g. bioethics paper) and allow for non-direct comparisons between potential risks (GIS papers). </w:t>
      </w:r>
    </w:p>
    <w:p w14:paraId="6357E09B" w14:textId="0921E099" w:rsidR="00D22CE3" w:rsidRPr="00F10391" w:rsidRDefault="00D22CE3">
      <w:pPr>
        <w:pStyle w:val="Caption"/>
      </w:pPr>
      <w:bookmarkStart w:id="375" w:name="_Toc444180791"/>
      <w:bookmarkStart w:id="376" w:name="_Toc476241427"/>
      <w:r w:rsidRPr="00F10391">
        <w:lastRenderedPageBreak/>
        <w:t xml:space="preserve">Table </w:t>
      </w:r>
      <w:r w:rsidR="000F1034">
        <w:fldChar w:fldCharType="begin"/>
      </w:r>
      <w:r w:rsidR="000F1034">
        <w:instrText xml:space="preserve"> STYLEREF 1 \s </w:instrText>
      </w:r>
      <w:r w:rsidR="000F1034">
        <w:fldChar w:fldCharType="separate"/>
      </w:r>
      <w:r w:rsidR="00B37229">
        <w:rPr>
          <w:noProof/>
        </w:rPr>
        <w:t>3</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1</w:t>
      </w:r>
      <w:r w:rsidR="000F1034">
        <w:rPr>
          <w:noProof/>
        </w:rPr>
        <w:fldChar w:fldCharType="end"/>
      </w:r>
      <w:r w:rsidRPr="00F10391">
        <w:t xml:space="preserve"> - Breakdown of within-scope MCDA techniques used and the type of decision problem</w:t>
      </w:r>
      <w:bookmarkEnd w:id="375"/>
      <w:bookmarkEnd w:id="376"/>
    </w:p>
    <w:tbl>
      <w:tblPr>
        <w:tblStyle w:val="TableGrid"/>
        <w:tblW w:w="0" w:type="auto"/>
        <w:tblLook w:val="04A0" w:firstRow="1" w:lastRow="0" w:firstColumn="1" w:lastColumn="0" w:noHBand="0" w:noVBand="1"/>
      </w:tblPr>
      <w:tblGrid>
        <w:gridCol w:w="1819"/>
        <w:gridCol w:w="1824"/>
        <w:gridCol w:w="1777"/>
        <w:gridCol w:w="1807"/>
        <w:gridCol w:w="1789"/>
      </w:tblGrid>
      <w:tr w:rsidR="00D22CE3" w:rsidRPr="00F10391" w14:paraId="2F7A40D8" w14:textId="77777777" w:rsidTr="00D22CE3">
        <w:tc>
          <w:tcPr>
            <w:tcW w:w="1847" w:type="dxa"/>
            <w:vAlign w:val="bottom"/>
          </w:tcPr>
          <w:p w14:paraId="3D508070" w14:textId="77777777" w:rsidR="00D22CE3" w:rsidRPr="00F10391" w:rsidRDefault="00D22CE3" w:rsidP="0063065F">
            <w:pPr>
              <w:jc w:val="left"/>
            </w:pPr>
            <w:r w:rsidRPr="00F10391">
              <w:t> </w:t>
            </w:r>
          </w:p>
        </w:tc>
        <w:tc>
          <w:tcPr>
            <w:tcW w:w="1847" w:type="dxa"/>
            <w:vAlign w:val="bottom"/>
          </w:tcPr>
          <w:p w14:paraId="545C1244" w14:textId="77777777" w:rsidR="00D22CE3" w:rsidRPr="00F10391" w:rsidRDefault="00D22CE3" w:rsidP="0063065F">
            <w:pPr>
              <w:jc w:val="left"/>
            </w:pPr>
            <w:r w:rsidRPr="00F10391">
              <w:t> </w:t>
            </w:r>
          </w:p>
        </w:tc>
        <w:tc>
          <w:tcPr>
            <w:tcW w:w="1846" w:type="dxa"/>
            <w:vAlign w:val="bottom"/>
          </w:tcPr>
          <w:p w14:paraId="6B35A2C7" w14:textId="77777777" w:rsidR="00D22CE3" w:rsidRPr="00F10391" w:rsidRDefault="00D22CE3" w:rsidP="0063065F">
            <w:pPr>
              <w:jc w:val="left"/>
            </w:pPr>
            <w:r w:rsidRPr="00F10391">
              <w:t>Overview</w:t>
            </w:r>
          </w:p>
        </w:tc>
        <w:tc>
          <w:tcPr>
            <w:tcW w:w="1848" w:type="dxa"/>
            <w:vAlign w:val="bottom"/>
          </w:tcPr>
          <w:p w14:paraId="03B2919A" w14:textId="77777777" w:rsidR="00D22CE3" w:rsidRPr="00F10391" w:rsidRDefault="00D22CE3" w:rsidP="0063065F">
            <w:pPr>
              <w:jc w:val="left"/>
            </w:pPr>
            <w:r w:rsidRPr="00F10391">
              <w:t>Prioritisation</w:t>
            </w:r>
          </w:p>
        </w:tc>
        <w:tc>
          <w:tcPr>
            <w:tcW w:w="1848" w:type="dxa"/>
            <w:vAlign w:val="bottom"/>
          </w:tcPr>
          <w:p w14:paraId="7488643C" w14:textId="77777777" w:rsidR="00D22CE3" w:rsidRPr="00F10391" w:rsidRDefault="00D22CE3" w:rsidP="0063065F">
            <w:pPr>
              <w:jc w:val="left"/>
            </w:pPr>
            <w:r w:rsidRPr="00F10391">
              <w:t>Risk monitoring</w:t>
            </w:r>
          </w:p>
        </w:tc>
      </w:tr>
      <w:tr w:rsidR="00D22CE3" w:rsidRPr="00F10391" w14:paraId="16F75ED5" w14:textId="77777777" w:rsidTr="00D22CE3">
        <w:tc>
          <w:tcPr>
            <w:tcW w:w="1847" w:type="dxa"/>
            <w:vAlign w:val="center"/>
          </w:tcPr>
          <w:p w14:paraId="00165971" w14:textId="77777777" w:rsidR="00D22CE3" w:rsidRPr="00F10391" w:rsidRDefault="00D22CE3" w:rsidP="0063065F">
            <w:pPr>
              <w:jc w:val="left"/>
            </w:pPr>
            <w:r w:rsidRPr="00F10391">
              <w:t xml:space="preserve">Generic </w:t>
            </w:r>
          </w:p>
        </w:tc>
        <w:tc>
          <w:tcPr>
            <w:tcW w:w="1847" w:type="dxa"/>
            <w:vAlign w:val="bottom"/>
          </w:tcPr>
          <w:p w14:paraId="7471F5A7" w14:textId="77777777" w:rsidR="00D22CE3" w:rsidRPr="00F10391" w:rsidRDefault="00D22CE3" w:rsidP="0063065F">
            <w:pPr>
              <w:jc w:val="left"/>
            </w:pPr>
            <w:r w:rsidRPr="00F10391">
              <w:t>No single method</w:t>
            </w:r>
          </w:p>
        </w:tc>
        <w:tc>
          <w:tcPr>
            <w:tcW w:w="1846" w:type="dxa"/>
            <w:vAlign w:val="bottom"/>
          </w:tcPr>
          <w:p w14:paraId="52E9EAF3" w14:textId="77777777" w:rsidR="00D22CE3" w:rsidRPr="00F10391" w:rsidRDefault="00D22CE3" w:rsidP="0063065F">
            <w:pPr>
              <w:jc w:val="left"/>
            </w:pPr>
            <w:r w:rsidRPr="00F10391">
              <w:t>6</w:t>
            </w:r>
          </w:p>
        </w:tc>
        <w:tc>
          <w:tcPr>
            <w:tcW w:w="1848" w:type="dxa"/>
            <w:vAlign w:val="bottom"/>
          </w:tcPr>
          <w:p w14:paraId="72E74750" w14:textId="77777777" w:rsidR="00D22CE3" w:rsidRPr="00F10391" w:rsidRDefault="00D22CE3" w:rsidP="0063065F">
            <w:pPr>
              <w:jc w:val="left"/>
            </w:pPr>
          </w:p>
        </w:tc>
        <w:tc>
          <w:tcPr>
            <w:tcW w:w="1848" w:type="dxa"/>
            <w:vAlign w:val="bottom"/>
          </w:tcPr>
          <w:p w14:paraId="2DA7BC81" w14:textId="77777777" w:rsidR="00D22CE3" w:rsidRPr="00F10391" w:rsidRDefault="00D22CE3" w:rsidP="0063065F">
            <w:pPr>
              <w:jc w:val="left"/>
            </w:pPr>
            <w:r w:rsidRPr="00F10391">
              <w:t>1</w:t>
            </w:r>
          </w:p>
        </w:tc>
      </w:tr>
      <w:tr w:rsidR="00D22CE3" w:rsidRPr="00F10391" w14:paraId="530D0A5D" w14:textId="77777777" w:rsidTr="00D22CE3">
        <w:tc>
          <w:tcPr>
            <w:tcW w:w="1847" w:type="dxa"/>
            <w:vMerge w:val="restart"/>
            <w:vAlign w:val="center"/>
          </w:tcPr>
          <w:p w14:paraId="2AFDCD2C" w14:textId="77777777" w:rsidR="00D22CE3" w:rsidRPr="00F10391" w:rsidRDefault="00D22CE3" w:rsidP="0063065F">
            <w:pPr>
              <w:jc w:val="left"/>
            </w:pPr>
            <w:r w:rsidRPr="00F10391">
              <w:t>Value measurement</w:t>
            </w:r>
          </w:p>
        </w:tc>
        <w:tc>
          <w:tcPr>
            <w:tcW w:w="1847" w:type="dxa"/>
            <w:vAlign w:val="bottom"/>
          </w:tcPr>
          <w:p w14:paraId="65B4E8E0" w14:textId="77777777" w:rsidR="00D22CE3" w:rsidRPr="00F10391" w:rsidRDefault="00D22CE3" w:rsidP="0063065F">
            <w:pPr>
              <w:jc w:val="left"/>
            </w:pPr>
            <w:r w:rsidRPr="00F10391">
              <w:t>Lin Add</w:t>
            </w:r>
          </w:p>
        </w:tc>
        <w:tc>
          <w:tcPr>
            <w:tcW w:w="1846" w:type="dxa"/>
            <w:vAlign w:val="bottom"/>
          </w:tcPr>
          <w:p w14:paraId="6856B5AF" w14:textId="77777777" w:rsidR="00D22CE3" w:rsidRPr="00F10391" w:rsidRDefault="00D22CE3" w:rsidP="0063065F">
            <w:pPr>
              <w:jc w:val="left"/>
            </w:pPr>
          </w:p>
        </w:tc>
        <w:tc>
          <w:tcPr>
            <w:tcW w:w="1848" w:type="dxa"/>
            <w:vAlign w:val="bottom"/>
          </w:tcPr>
          <w:p w14:paraId="6184F262" w14:textId="77777777" w:rsidR="00D22CE3" w:rsidRPr="00F10391" w:rsidRDefault="00D22CE3" w:rsidP="0063065F">
            <w:pPr>
              <w:jc w:val="left"/>
            </w:pPr>
            <w:r w:rsidRPr="00F10391">
              <w:t>5</w:t>
            </w:r>
          </w:p>
        </w:tc>
        <w:tc>
          <w:tcPr>
            <w:tcW w:w="1848" w:type="dxa"/>
            <w:vAlign w:val="bottom"/>
          </w:tcPr>
          <w:p w14:paraId="44538473" w14:textId="77777777" w:rsidR="00D22CE3" w:rsidRPr="00F10391" w:rsidRDefault="00D22CE3" w:rsidP="0063065F">
            <w:pPr>
              <w:jc w:val="left"/>
            </w:pPr>
            <w:r w:rsidRPr="00F10391">
              <w:t> </w:t>
            </w:r>
          </w:p>
        </w:tc>
      </w:tr>
      <w:tr w:rsidR="00D22CE3" w:rsidRPr="00F10391" w14:paraId="15CEDA39" w14:textId="77777777" w:rsidTr="00D22CE3">
        <w:tc>
          <w:tcPr>
            <w:tcW w:w="1847" w:type="dxa"/>
            <w:vMerge/>
            <w:vAlign w:val="center"/>
          </w:tcPr>
          <w:p w14:paraId="365382C7" w14:textId="77777777" w:rsidR="00D22CE3" w:rsidRPr="00F10391" w:rsidRDefault="00D22CE3" w:rsidP="0063065F">
            <w:pPr>
              <w:jc w:val="left"/>
            </w:pPr>
          </w:p>
        </w:tc>
        <w:tc>
          <w:tcPr>
            <w:tcW w:w="1847" w:type="dxa"/>
            <w:vAlign w:val="bottom"/>
          </w:tcPr>
          <w:p w14:paraId="3CCCE2D6" w14:textId="77777777" w:rsidR="00D22CE3" w:rsidRPr="00F10391" w:rsidRDefault="00D22CE3" w:rsidP="0063065F">
            <w:pPr>
              <w:jc w:val="left"/>
            </w:pPr>
            <w:r w:rsidRPr="00F10391">
              <w:t>AHP</w:t>
            </w:r>
          </w:p>
        </w:tc>
        <w:tc>
          <w:tcPr>
            <w:tcW w:w="1846" w:type="dxa"/>
            <w:vAlign w:val="bottom"/>
          </w:tcPr>
          <w:p w14:paraId="1B26FDB7" w14:textId="77777777" w:rsidR="00D22CE3" w:rsidRPr="00F10391" w:rsidRDefault="00D22CE3" w:rsidP="0063065F">
            <w:pPr>
              <w:jc w:val="left"/>
            </w:pPr>
          </w:p>
        </w:tc>
        <w:tc>
          <w:tcPr>
            <w:tcW w:w="1848" w:type="dxa"/>
            <w:vAlign w:val="bottom"/>
          </w:tcPr>
          <w:p w14:paraId="41E02461" w14:textId="77777777" w:rsidR="00D22CE3" w:rsidRPr="00F10391" w:rsidRDefault="00D22CE3" w:rsidP="0063065F">
            <w:pPr>
              <w:jc w:val="left"/>
            </w:pPr>
            <w:r w:rsidRPr="00F10391">
              <w:t>6</w:t>
            </w:r>
          </w:p>
        </w:tc>
        <w:tc>
          <w:tcPr>
            <w:tcW w:w="1848" w:type="dxa"/>
            <w:vAlign w:val="bottom"/>
          </w:tcPr>
          <w:p w14:paraId="4EE08158" w14:textId="77777777" w:rsidR="00D22CE3" w:rsidRPr="00F10391" w:rsidRDefault="00D22CE3" w:rsidP="0063065F">
            <w:pPr>
              <w:jc w:val="left"/>
            </w:pPr>
            <w:r w:rsidRPr="00F10391">
              <w:t>1</w:t>
            </w:r>
          </w:p>
        </w:tc>
      </w:tr>
      <w:tr w:rsidR="00D22CE3" w:rsidRPr="00F10391" w14:paraId="007CA8AA" w14:textId="77777777" w:rsidTr="00D22CE3">
        <w:tc>
          <w:tcPr>
            <w:tcW w:w="1847" w:type="dxa"/>
            <w:vMerge/>
            <w:vAlign w:val="center"/>
          </w:tcPr>
          <w:p w14:paraId="3B967A99" w14:textId="77777777" w:rsidR="00D22CE3" w:rsidRPr="00F10391" w:rsidRDefault="00D22CE3" w:rsidP="0063065F">
            <w:pPr>
              <w:jc w:val="left"/>
            </w:pPr>
          </w:p>
        </w:tc>
        <w:tc>
          <w:tcPr>
            <w:tcW w:w="1847" w:type="dxa"/>
            <w:vAlign w:val="bottom"/>
          </w:tcPr>
          <w:p w14:paraId="16EA1AC6" w14:textId="77777777" w:rsidR="00D22CE3" w:rsidRPr="00F10391" w:rsidRDefault="00D22CE3" w:rsidP="0063065F">
            <w:pPr>
              <w:jc w:val="left"/>
            </w:pPr>
            <w:r w:rsidRPr="00F10391">
              <w:t>DCE</w:t>
            </w:r>
          </w:p>
        </w:tc>
        <w:tc>
          <w:tcPr>
            <w:tcW w:w="1846" w:type="dxa"/>
            <w:vAlign w:val="bottom"/>
          </w:tcPr>
          <w:p w14:paraId="2E11D394" w14:textId="77777777" w:rsidR="00D22CE3" w:rsidRPr="00F10391" w:rsidRDefault="00D22CE3" w:rsidP="0063065F">
            <w:pPr>
              <w:jc w:val="left"/>
            </w:pPr>
          </w:p>
        </w:tc>
        <w:tc>
          <w:tcPr>
            <w:tcW w:w="1848" w:type="dxa"/>
            <w:vAlign w:val="bottom"/>
          </w:tcPr>
          <w:p w14:paraId="7CEEB0B3" w14:textId="77777777" w:rsidR="00D22CE3" w:rsidRPr="00F10391" w:rsidRDefault="00D22CE3" w:rsidP="0063065F">
            <w:pPr>
              <w:jc w:val="left"/>
            </w:pPr>
            <w:r w:rsidRPr="00F10391">
              <w:t>5</w:t>
            </w:r>
          </w:p>
        </w:tc>
        <w:tc>
          <w:tcPr>
            <w:tcW w:w="1848" w:type="dxa"/>
            <w:vAlign w:val="bottom"/>
          </w:tcPr>
          <w:p w14:paraId="6BFDBE5B" w14:textId="77777777" w:rsidR="00D22CE3" w:rsidRPr="00F10391" w:rsidRDefault="00D22CE3" w:rsidP="0063065F">
            <w:pPr>
              <w:jc w:val="left"/>
            </w:pPr>
            <w:r w:rsidRPr="00F10391">
              <w:t> </w:t>
            </w:r>
          </w:p>
        </w:tc>
      </w:tr>
      <w:tr w:rsidR="00D22CE3" w:rsidRPr="00F10391" w14:paraId="3DB1307C" w14:textId="77777777" w:rsidTr="00D22CE3">
        <w:tc>
          <w:tcPr>
            <w:tcW w:w="1847" w:type="dxa"/>
            <w:vMerge/>
            <w:vAlign w:val="center"/>
          </w:tcPr>
          <w:p w14:paraId="495F421F" w14:textId="77777777" w:rsidR="00D22CE3" w:rsidRPr="00F10391" w:rsidRDefault="00D22CE3" w:rsidP="0063065F">
            <w:pPr>
              <w:jc w:val="left"/>
            </w:pPr>
          </w:p>
        </w:tc>
        <w:tc>
          <w:tcPr>
            <w:tcW w:w="1847" w:type="dxa"/>
            <w:vAlign w:val="bottom"/>
          </w:tcPr>
          <w:p w14:paraId="66787A39" w14:textId="77777777" w:rsidR="00D22CE3" w:rsidRPr="00F10391" w:rsidRDefault="00D22CE3" w:rsidP="0063065F">
            <w:pPr>
              <w:jc w:val="left"/>
            </w:pPr>
            <w:r w:rsidRPr="00F10391">
              <w:t>SMART</w:t>
            </w:r>
          </w:p>
        </w:tc>
        <w:tc>
          <w:tcPr>
            <w:tcW w:w="1846" w:type="dxa"/>
            <w:vAlign w:val="bottom"/>
          </w:tcPr>
          <w:p w14:paraId="36F5D5A4" w14:textId="77777777" w:rsidR="00D22CE3" w:rsidRPr="00F10391" w:rsidRDefault="00D22CE3" w:rsidP="0063065F">
            <w:pPr>
              <w:jc w:val="left"/>
            </w:pPr>
          </w:p>
        </w:tc>
        <w:tc>
          <w:tcPr>
            <w:tcW w:w="1848" w:type="dxa"/>
            <w:vAlign w:val="bottom"/>
          </w:tcPr>
          <w:p w14:paraId="1011D4DD" w14:textId="77777777" w:rsidR="00D22CE3" w:rsidRPr="00F10391" w:rsidRDefault="00D22CE3" w:rsidP="0063065F">
            <w:pPr>
              <w:jc w:val="left"/>
            </w:pPr>
            <w:r w:rsidRPr="00F10391">
              <w:t>1</w:t>
            </w:r>
          </w:p>
        </w:tc>
        <w:tc>
          <w:tcPr>
            <w:tcW w:w="1848" w:type="dxa"/>
            <w:vAlign w:val="bottom"/>
          </w:tcPr>
          <w:p w14:paraId="171FE56C" w14:textId="77777777" w:rsidR="00D22CE3" w:rsidRPr="00F10391" w:rsidRDefault="00D22CE3" w:rsidP="0063065F">
            <w:pPr>
              <w:jc w:val="left"/>
            </w:pPr>
            <w:r w:rsidRPr="00F10391">
              <w:t> </w:t>
            </w:r>
          </w:p>
        </w:tc>
      </w:tr>
      <w:tr w:rsidR="00D22CE3" w:rsidRPr="00F10391" w14:paraId="76D01054" w14:textId="77777777" w:rsidTr="00D22CE3">
        <w:tc>
          <w:tcPr>
            <w:tcW w:w="1847" w:type="dxa"/>
            <w:vMerge/>
            <w:vAlign w:val="center"/>
          </w:tcPr>
          <w:p w14:paraId="519DCD21" w14:textId="77777777" w:rsidR="00D22CE3" w:rsidRPr="00F10391" w:rsidRDefault="00D22CE3" w:rsidP="0063065F">
            <w:pPr>
              <w:jc w:val="left"/>
            </w:pPr>
          </w:p>
        </w:tc>
        <w:tc>
          <w:tcPr>
            <w:tcW w:w="1847" w:type="dxa"/>
            <w:vAlign w:val="bottom"/>
          </w:tcPr>
          <w:p w14:paraId="2DD33ACA" w14:textId="77777777" w:rsidR="00D22CE3" w:rsidRPr="00F10391" w:rsidRDefault="00D22CE3" w:rsidP="0063065F">
            <w:pPr>
              <w:jc w:val="left"/>
            </w:pPr>
            <w:r w:rsidRPr="00F10391">
              <w:t>EVIDEM</w:t>
            </w:r>
          </w:p>
        </w:tc>
        <w:tc>
          <w:tcPr>
            <w:tcW w:w="1846" w:type="dxa"/>
            <w:vAlign w:val="bottom"/>
          </w:tcPr>
          <w:p w14:paraId="1B831C05" w14:textId="77777777" w:rsidR="00D22CE3" w:rsidRPr="00F10391" w:rsidRDefault="00D22CE3" w:rsidP="0063065F">
            <w:pPr>
              <w:jc w:val="left"/>
            </w:pPr>
          </w:p>
        </w:tc>
        <w:tc>
          <w:tcPr>
            <w:tcW w:w="1848" w:type="dxa"/>
            <w:vAlign w:val="bottom"/>
          </w:tcPr>
          <w:p w14:paraId="0FD6ADFB" w14:textId="77777777" w:rsidR="00D22CE3" w:rsidRPr="00F10391" w:rsidRDefault="00D22CE3" w:rsidP="0063065F">
            <w:pPr>
              <w:jc w:val="left"/>
            </w:pPr>
            <w:r w:rsidRPr="00F10391">
              <w:t>1</w:t>
            </w:r>
          </w:p>
        </w:tc>
        <w:tc>
          <w:tcPr>
            <w:tcW w:w="1848" w:type="dxa"/>
            <w:vAlign w:val="bottom"/>
          </w:tcPr>
          <w:p w14:paraId="39DD3892" w14:textId="77777777" w:rsidR="00D22CE3" w:rsidRPr="00F10391" w:rsidRDefault="00D22CE3" w:rsidP="0063065F">
            <w:pPr>
              <w:jc w:val="left"/>
            </w:pPr>
            <w:r w:rsidRPr="00F10391">
              <w:t> </w:t>
            </w:r>
          </w:p>
        </w:tc>
      </w:tr>
      <w:tr w:rsidR="00D22CE3" w:rsidRPr="00F10391" w14:paraId="179F2AF8" w14:textId="77777777" w:rsidTr="00D22CE3">
        <w:tc>
          <w:tcPr>
            <w:tcW w:w="1847" w:type="dxa"/>
            <w:vMerge w:val="restart"/>
            <w:vAlign w:val="center"/>
          </w:tcPr>
          <w:p w14:paraId="270F57CF" w14:textId="77777777" w:rsidR="00D22CE3" w:rsidRPr="00F10391" w:rsidRDefault="00D22CE3" w:rsidP="0063065F">
            <w:pPr>
              <w:jc w:val="left"/>
            </w:pPr>
            <w:r w:rsidRPr="00F10391">
              <w:t>Outranking</w:t>
            </w:r>
          </w:p>
        </w:tc>
        <w:tc>
          <w:tcPr>
            <w:tcW w:w="1847" w:type="dxa"/>
            <w:vAlign w:val="bottom"/>
          </w:tcPr>
          <w:p w14:paraId="12A86C41" w14:textId="77777777" w:rsidR="00D22CE3" w:rsidRPr="00F10391" w:rsidRDefault="00D22CE3" w:rsidP="0063065F">
            <w:pPr>
              <w:jc w:val="left"/>
            </w:pPr>
            <w:r w:rsidRPr="00F10391">
              <w:t>PROMETHEE</w:t>
            </w:r>
          </w:p>
        </w:tc>
        <w:tc>
          <w:tcPr>
            <w:tcW w:w="1846" w:type="dxa"/>
            <w:vAlign w:val="bottom"/>
          </w:tcPr>
          <w:p w14:paraId="624DBB19" w14:textId="77777777" w:rsidR="00D22CE3" w:rsidRPr="00F10391" w:rsidRDefault="00D22CE3" w:rsidP="0063065F">
            <w:pPr>
              <w:jc w:val="left"/>
            </w:pPr>
          </w:p>
        </w:tc>
        <w:tc>
          <w:tcPr>
            <w:tcW w:w="1848" w:type="dxa"/>
            <w:vAlign w:val="bottom"/>
          </w:tcPr>
          <w:p w14:paraId="5B0FA4D8" w14:textId="77777777" w:rsidR="00D22CE3" w:rsidRPr="00F10391" w:rsidRDefault="00D22CE3" w:rsidP="0063065F">
            <w:pPr>
              <w:jc w:val="left"/>
            </w:pPr>
            <w:r w:rsidRPr="00F10391">
              <w:t>1</w:t>
            </w:r>
          </w:p>
        </w:tc>
        <w:tc>
          <w:tcPr>
            <w:tcW w:w="1848" w:type="dxa"/>
            <w:vAlign w:val="bottom"/>
          </w:tcPr>
          <w:p w14:paraId="0233C87E" w14:textId="77777777" w:rsidR="00D22CE3" w:rsidRPr="00F10391" w:rsidRDefault="00D22CE3" w:rsidP="0063065F">
            <w:pPr>
              <w:jc w:val="left"/>
            </w:pPr>
            <w:r w:rsidRPr="00F10391">
              <w:t>2</w:t>
            </w:r>
          </w:p>
        </w:tc>
      </w:tr>
      <w:tr w:rsidR="00D22CE3" w:rsidRPr="00F10391" w14:paraId="517F2417" w14:textId="77777777" w:rsidTr="00D22CE3">
        <w:tc>
          <w:tcPr>
            <w:tcW w:w="1847" w:type="dxa"/>
            <w:vMerge/>
            <w:vAlign w:val="center"/>
          </w:tcPr>
          <w:p w14:paraId="5040317B" w14:textId="77777777" w:rsidR="00D22CE3" w:rsidRPr="00F10391" w:rsidRDefault="00D22CE3" w:rsidP="0063065F">
            <w:pPr>
              <w:jc w:val="left"/>
            </w:pPr>
          </w:p>
        </w:tc>
        <w:tc>
          <w:tcPr>
            <w:tcW w:w="1847" w:type="dxa"/>
            <w:vAlign w:val="bottom"/>
          </w:tcPr>
          <w:p w14:paraId="49B70DCE" w14:textId="77777777" w:rsidR="00D22CE3" w:rsidRPr="00F10391" w:rsidRDefault="00D22CE3" w:rsidP="0063065F">
            <w:pPr>
              <w:jc w:val="left"/>
            </w:pPr>
            <w:r w:rsidRPr="00F10391">
              <w:t>TODIM</w:t>
            </w:r>
          </w:p>
        </w:tc>
        <w:tc>
          <w:tcPr>
            <w:tcW w:w="1846" w:type="dxa"/>
            <w:vAlign w:val="bottom"/>
          </w:tcPr>
          <w:p w14:paraId="0E9974AD" w14:textId="77777777" w:rsidR="00D22CE3" w:rsidRPr="00F10391" w:rsidRDefault="00D22CE3" w:rsidP="0063065F">
            <w:pPr>
              <w:jc w:val="left"/>
            </w:pPr>
          </w:p>
        </w:tc>
        <w:tc>
          <w:tcPr>
            <w:tcW w:w="1848" w:type="dxa"/>
            <w:vAlign w:val="bottom"/>
          </w:tcPr>
          <w:p w14:paraId="301DC659" w14:textId="77777777" w:rsidR="00D22CE3" w:rsidRPr="00F10391" w:rsidRDefault="00D22CE3" w:rsidP="0063065F">
            <w:pPr>
              <w:jc w:val="left"/>
            </w:pPr>
            <w:r w:rsidRPr="00F10391">
              <w:t>1</w:t>
            </w:r>
          </w:p>
        </w:tc>
        <w:tc>
          <w:tcPr>
            <w:tcW w:w="1848" w:type="dxa"/>
            <w:vAlign w:val="bottom"/>
          </w:tcPr>
          <w:p w14:paraId="014F1256" w14:textId="77777777" w:rsidR="00D22CE3" w:rsidRPr="00F10391" w:rsidRDefault="00D22CE3" w:rsidP="0063065F">
            <w:pPr>
              <w:jc w:val="left"/>
            </w:pPr>
            <w:r w:rsidRPr="00F10391">
              <w:t> </w:t>
            </w:r>
          </w:p>
        </w:tc>
      </w:tr>
      <w:tr w:rsidR="00D22CE3" w:rsidRPr="00F10391" w14:paraId="2434187E" w14:textId="77777777" w:rsidTr="00D22CE3">
        <w:tc>
          <w:tcPr>
            <w:tcW w:w="1847" w:type="dxa"/>
            <w:vAlign w:val="center"/>
          </w:tcPr>
          <w:p w14:paraId="15985EB3" w14:textId="77777777" w:rsidR="00D22CE3" w:rsidRPr="00F10391" w:rsidRDefault="00D22CE3" w:rsidP="0063065F">
            <w:pPr>
              <w:jc w:val="left"/>
            </w:pPr>
            <w:r w:rsidRPr="00F10391">
              <w:t>Goal Programming</w:t>
            </w:r>
          </w:p>
        </w:tc>
        <w:tc>
          <w:tcPr>
            <w:tcW w:w="1847" w:type="dxa"/>
            <w:vAlign w:val="bottom"/>
          </w:tcPr>
          <w:p w14:paraId="1175BDE4" w14:textId="77777777" w:rsidR="00D22CE3" w:rsidRPr="00F10391" w:rsidRDefault="00D22CE3" w:rsidP="0063065F">
            <w:pPr>
              <w:jc w:val="left"/>
            </w:pPr>
            <w:r w:rsidRPr="00F10391">
              <w:t>NA</w:t>
            </w:r>
          </w:p>
        </w:tc>
        <w:tc>
          <w:tcPr>
            <w:tcW w:w="1846" w:type="dxa"/>
            <w:vAlign w:val="bottom"/>
          </w:tcPr>
          <w:p w14:paraId="6D028487" w14:textId="77777777" w:rsidR="00D22CE3" w:rsidRPr="00F10391" w:rsidRDefault="00D22CE3" w:rsidP="0063065F">
            <w:pPr>
              <w:jc w:val="left"/>
            </w:pPr>
          </w:p>
        </w:tc>
        <w:tc>
          <w:tcPr>
            <w:tcW w:w="1848" w:type="dxa"/>
            <w:vAlign w:val="bottom"/>
          </w:tcPr>
          <w:p w14:paraId="14A331CC" w14:textId="77777777" w:rsidR="00D22CE3" w:rsidRPr="00F10391" w:rsidRDefault="00D22CE3" w:rsidP="0063065F">
            <w:pPr>
              <w:jc w:val="left"/>
            </w:pPr>
          </w:p>
        </w:tc>
        <w:tc>
          <w:tcPr>
            <w:tcW w:w="1848" w:type="dxa"/>
            <w:vAlign w:val="bottom"/>
          </w:tcPr>
          <w:p w14:paraId="53BA113C" w14:textId="77777777" w:rsidR="00D22CE3" w:rsidRPr="00F10391" w:rsidRDefault="00D22CE3" w:rsidP="0063065F">
            <w:pPr>
              <w:jc w:val="left"/>
            </w:pPr>
          </w:p>
        </w:tc>
      </w:tr>
    </w:tbl>
    <w:p w14:paraId="7D9C709D" w14:textId="77777777" w:rsidR="00D22CE3" w:rsidRPr="00F10391" w:rsidRDefault="00D22CE3" w:rsidP="00494A9A"/>
    <w:p w14:paraId="759924E1" w14:textId="77777777" w:rsidR="00D22CE3" w:rsidRPr="00F10391" w:rsidRDefault="00D22CE3" w:rsidP="00494A9A">
      <w:r w:rsidRPr="00F10391">
        <w:t>Tentative patterns also emerge as to where certain approaches have not been used. As previously stated, no goal programming techniques have been used in public health (or at least labelled as such). It appears that outranking approaches may have been more useful in risk monitoring settings than for prioritisation, albeit there were small numbers of such techniques used. Rather than ranking geographical areas that were at risk, these risk monitoring approaches try to show a general picture of risk of disease, and it is interesting that outranking techniques appear to have disproportionately been considered the best approach to do so. These studies were used to flag issues and risks to decision-makers, without necessarily prioritising from a range of appropriate actions for deliberation. If, in the coming years, a pattern emerges that associates such issues therefore with outranking techniques then this would be an interesting finding, though at present it is probably too soon to conclude this.</w:t>
      </w:r>
    </w:p>
    <w:p w14:paraId="0F28B0AC" w14:textId="77777777" w:rsidR="00D22CE3" w:rsidRPr="00F10391" w:rsidRDefault="00D22CE3" w:rsidP="00490B5D">
      <w:r w:rsidRPr="00F10391">
        <w:t>There are clearly a wide range of MCDA techniques in use, so there remains a question as to why organisations such as NICE and the EMA do not employ them systematically in their work. This literature review cannot comment directly on this issue (by definition) given the relative absence of papers in the area. But it may be instructive to consider where and by whom such approaches</w:t>
      </w:r>
      <w:r w:rsidRPr="00F10391">
        <w:rPr>
          <w:i/>
        </w:rPr>
        <w:t xml:space="preserve"> are</w:t>
      </w:r>
      <w:r w:rsidRPr="00F10391">
        <w:t xml:space="preserve"> being used. The case study approach used in studies suggests that the context is vital for pairing a suitable approach with a given problem. In England, studies have largely used PBMA approaches, which require deliberation by a manageably small number of people on a convenient number of topics – and which cannot guarantee external consistency across a health service, potentially undermining its potential use in settings such as NICE. </w:t>
      </w:r>
    </w:p>
    <w:p w14:paraId="270E5D60" w14:textId="77777777" w:rsidR="00D22CE3" w:rsidRPr="00F10391" w:rsidRDefault="00D22CE3" w:rsidP="00490B5D">
      <w:r w:rsidRPr="00F10391">
        <w:t xml:space="preserve">For other MCDA techniques, again given the once-off nature of most studies, it is likely unrealistic to suddenly scale up such techniques for recurring use in large, complex public bodies. This is an important finding – and suggests the implementation stage of the thesis </w:t>
      </w:r>
      <w:r w:rsidRPr="00F10391">
        <w:lastRenderedPageBreak/>
        <w:t>might somehow investigate how to incorporate MCDA approaches into NICE (or similar organisations) – even at a once-off level - to explore how they can begin to be implemented in such settings.</w:t>
      </w:r>
    </w:p>
    <w:p w14:paraId="6D20E9C3" w14:textId="77777777" w:rsidR="00D22CE3" w:rsidRPr="00F10391" w:rsidRDefault="00D22CE3" w:rsidP="00490B5D">
      <w:r w:rsidRPr="00F10391">
        <w:t xml:space="preserve">Another issue is that in no implemented study were concerns of cost-effectiveness or budget impact considered as an aim, and hence the role for their use in health economic bodies such as NICE may not be immediately apparent in making decisions. This does not mean that MCDA approaches are necessarily unsuitable in such scenarios, though any such implementation would clearly require careful planning. Recent papers have largely avoided weighing up costs versus benefits (Baltussen’s early works tended to include cost-effectiveness criterion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xml:space="preserve">, a position he has since stepped back from </w:t>
      </w:r>
      <w:r w:rsidRPr="00F10391">
        <w:fldChar w:fldCharType="begin"/>
      </w:r>
      <w:r w:rsidR="00700267">
        <w:instrText xml:space="preserve"> ADDIN EN.CITE &lt;EndNote&gt;&lt;Cite&gt;&lt;Author&gt;Caro JJ&lt;/Author&gt;&lt;Year&gt;2013&lt;/Year&gt;&lt;RecNum&gt;363&lt;/RecNum&gt;&lt;DisplayText&gt;[185]&lt;/DisplayText&gt;&lt;record&gt;&lt;rec-number&gt;363&lt;/rec-number&gt;&lt;foreign-keys&gt;&lt;key app="EN" db-id="sz9092dv2s5fpze9wpgx0zxgv5ar00aezrvf" timestamp="1454687475"&gt;363&lt;/key&gt;&lt;/foreign-keys&gt;&lt;ref-type name="Conference Proceedings"&gt;10&lt;/ref-type&gt;&lt;contributors&gt;&lt;authors&gt;&lt;author&gt;Caro JJ, Baltussen R, Claxton K, Thomson A. &lt;/author&gt;&lt;/authors&gt;&lt;/contributors&gt;&lt;titles&gt;&lt;title&gt;Should multi-criteria decision analysis (MCDA) replace cost-effectiveness analysis (CEA) for evaluation of health care coverage decisions? [Plenary session] &lt;/title&gt;&lt;secondary-title&gt;International Society for Pharmacoeconomics and Outcomes Research (ISPOR) Annual European Congress &lt;/secondary-title&gt;&lt;/titles&gt;&lt;dates&gt;&lt;year&gt;2013&lt;/year&gt;&lt;/dates&gt;&lt;pub-location&gt;Dublin, Ireland&lt;/pub-location&gt;&lt;urls&gt;&lt;/urls&gt;&lt;/record&gt;&lt;/Cite&gt;&lt;/EndNote&gt;</w:instrText>
      </w:r>
      <w:r w:rsidRPr="00F10391">
        <w:fldChar w:fldCharType="separate"/>
      </w:r>
      <w:r w:rsidR="00700267">
        <w:rPr>
          <w:noProof/>
        </w:rPr>
        <w:t>[185]</w:t>
      </w:r>
      <w:r w:rsidRPr="00F10391">
        <w:fldChar w:fldCharType="end"/>
      </w:r>
      <w:r w:rsidRPr="00F10391">
        <w:t xml:space="preserve">) – and how to address such concerns can be considered beyond the scope of this thesis. Wahlster et al.’s </w:t>
      </w:r>
      <w:r w:rsidRPr="00F10391">
        <w:fldChar w:fldCharType="begin"/>
      </w:r>
      <w:r w:rsidR="00700267">
        <w:instrText xml:space="preserve"> ADDIN EN.CITE &lt;EndNote&gt;&lt;Cite&gt;&lt;Author&gt;Wahlster&lt;/Author&gt;&lt;Year&gt;2015&lt;/Year&gt;&lt;RecNum&gt;432&lt;/RecNum&gt;&lt;DisplayText&gt;[156]&lt;/DisplayText&gt;&lt;record&gt;&lt;rec-number&gt;432&lt;/rec-number&gt;&lt;foreign-keys&gt;&lt;key app="EN" db-id="sz9092dv2s5fpze9wpgx0zxgv5ar00aezrvf" timestamp="1461510949"&gt;432&lt;/key&gt;&lt;/foreign-keys&gt;&lt;ref-type name="Journal Article"&gt;17&lt;/ref-type&gt;&lt;contributors&gt;&lt;authors&gt;&lt;author&gt;Wahlster, Philip&lt;/author&gt;&lt;author&gt;Goetghebeur, Mireille&lt;/author&gt;&lt;author&gt;Kriza, Christine&lt;/author&gt;&lt;author&gt;Niederländer, Charlotte&lt;/author&gt;&lt;author&gt;Kolominsky-Rabas, Peter&lt;/author&gt;&lt;/authors&gt;&lt;/contributors&gt;&lt;titles&gt;&lt;title&gt;Balancing costs and benefits at different stages of medical innovation: a systematic review of Multi-criteria decision analysis (MCDA)&lt;/title&gt;&lt;secondary-title&gt;BMC health services research&lt;/secondary-title&gt;&lt;/titles&gt;&lt;periodical&gt;&lt;full-title&gt;BMC health services research&lt;/full-title&gt;&lt;/periodical&gt;&lt;pages&gt;1&lt;/pages&gt;&lt;volume&gt;15&lt;/volume&gt;&lt;number&gt;1&lt;/number&gt;&lt;dates&gt;&lt;year&gt;2015&lt;/year&gt;&lt;/dates&gt;&lt;isbn&gt;1472-6963&lt;/isbn&gt;&lt;urls&gt;&lt;/urls&gt;&lt;/record&gt;&lt;/Cite&gt;&lt;/EndNote&gt;</w:instrText>
      </w:r>
      <w:r w:rsidRPr="00F10391">
        <w:fldChar w:fldCharType="separate"/>
      </w:r>
      <w:r w:rsidR="00700267">
        <w:rPr>
          <w:noProof/>
        </w:rPr>
        <w:t>[156]</w:t>
      </w:r>
      <w:r w:rsidRPr="00F10391">
        <w:fldChar w:fldCharType="end"/>
      </w:r>
      <w:r w:rsidRPr="00F10391">
        <w:t xml:space="preserve"> systematic review of the application of MCDA methods in broader healthcare settings (i.e. not confined to public health) found that such issues have been occasionally previously been taken into account, but often in inappropriate ways. Such models have included costs, benefits and cost-effectiveness simultaneously, which may lead to double counting. EVIDEM, a standardised MCDA framework for use in health settings, also incorporates both cost-effectiveness and budget impact amongst other criteria in this way </w:t>
      </w:r>
      <w:r w:rsidRPr="00F10391">
        <w:fldChar w:fldCharType="begin"/>
      </w:r>
      <w:r w:rsidR="00700267">
        <w:instrText xml:space="preserve"> ADDIN EN.CITE &lt;EndNote&gt;&lt;Cite&gt;&lt;Author&gt;Goetghebeur&lt;/Author&gt;&lt;Year&gt;2008&lt;/Year&gt;&lt;RecNum&gt;441&lt;/RecNum&gt;&lt;DisplayText&gt;[186]&lt;/DisplayText&gt;&lt;record&gt;&lt;rec-number&gt;441&lt;/rec-number&gt;&lt;foreign-keys&gt;&lt;key app="EN" db-id="sz9092dv2s5fpze9wpgx0zxgv5ar00aezrvf" timestamp="1465052201"&gt;441&lt;/key&gt;&lt;/foreign-keys&gt;&lt;ref-type name="Journal Article"&gt;17&lt;/ref-type&gt;&lt;contributors&gt;&lt;authors&gt;&lt;author&gt;Goetghebeur, Mireille M&lt;/author&gt;&lt;author&gt;Wagner, Monika&lt;/author&gt;&lt;author&gt;Khoury, Hanane&lt;/author&gt;&lt;author&gt;Levitt, Randy J&lt;/author&gt;&lt;author&gt;Erickson, Lonny J&lt;/author&gt;&lt;author&gt;Rindress, Donna&lt;/author&gt;&lt;/authors&gt;&lt;/contributors&gt;&lt;titles&gt;&lt;title&gt;Evidence and Value: Impact on DEcisionMaking–the EVIDEM framework and potential applications&lt;/title&gt;&lt;secondary-title&gt;BMC Health Services Research&lt;/secondary-title&gt;&lt;/titles&gt;&lt;periodical&gt;&lt;full-title&gt;BMC health services research&lt;/full-title&gt;&lt;/periodical&gt;&lt;pages&gt;270&lt;/pages&gt;&lt;volume&gt;8&lt;/volume&gt;&lt;number&gt;1&lt;/number&gt;&lt;dates&gt;&lt;year&gt;2008&lt;/year&gt;&lt;/dates&gt;&lt;isbn&gt;1472-6963&lt;/isbn&gt;&lt;urls&gt;&lt;/urls&gt;&lt;/record&gt;&lt;/Cite&gt;&lt;/EndNote&gt;</w:instrText>
      </w:r>
      <w:r w:rsidRPr="00F10391">
        <w:fldChar w:fldCharType="separate"/>
      </w:r>
      <w:r w:rsidR="00700267">
        <w:rPr>
          <w:noProof/>
        </w:rPr>
        <w:t>[186]</w:t>
      </w:r>
      <w:r w:rsidRPr="00F10391">
        <w:fldChar w:fldCharType="end"/>
      </w:r>
      <w:r w:rsidRPr="00F10391">
        <w:t>.  One paper using this approach was found in Part 2. Where such issues have to be included in the broader decision-making process, it is not necessarily the case that MCDA models are the ideal place to include them, and the broader context should also be considered. It is clear, however, that in certain circumstances alternatives that do not have a clear health economic component could be weighed up more easily (for the reasons listed in the last chapter) by considering the benefits arising from them using MCDA techniques.</w:t>
      </w:r>
    </w:p>
    <w:p w14:paraId="22B4DF65" w14:textId="77777777" w:rsidR="00D22CE3" w:rsidRPr="00F10391" w:rsidRDefault="00D22CE3" w:rsidP="006A5AA3">
      <w:r w:rsidRPr="00F10391">
        <w:t xml:space="preserve">The formal adoption of MCDA techniques to incorporate factors such as innovation could open up the decision-making process to issues around gaming and dishonest behaviour </w:t>
      </w:r>
      <w:r w:rsidRPr="00F10391">
        <w:fldChar w:fldCharType="begin"/>
      </w:r>
      <w:r w:rsidR="00700267">
        <w:instrText xml:space="preserve"> ADDIN EN.CITE &lt;EndNote&gt;&lt;Cite&gt;&lt;Author&gt;Michael F. Drummond&lt;/Author&gt;&lt;Year&gt;2015&lt;/Year&gt;&lt;RecNum&gt;354&lt;/RecNum&gt;&lt;DisplayText&gt;[187]&lt;/DisplayText&gt;&lt;record&gt;&lt;rec-number&gt;354&lt;/rec-number&gt;&lt;foreign-keys&gt;&lt;key app="EN" db-id="sz9092dv2s5fpze9wpgx0zxgv5ar00aezrvf" timestamp="0"&gt;354&lt;/key&gt;&lt;/foreign-keys&gt;&lt;ref-type name="Book"&gt;6&lt;/ref-type&gt;&lt;contributors&gt;&lt;authors&gt;&lt;author&gt;Michael F. Drummond, Mark J. Sculpher, Karl Claxton, Greg L. Stoddart, George W. Torrance&lt;/author&gt;&lt;/authors&gt;&lt;/contributors&gt;&lt;titles&gt;&lt;title&gt;Methods for the Economic Evaluation of Health Care Programmes&lt;/title&gt;&lt;/titles&gt;&lt;edition&gt;4th edition&lt;/edition&gt;&lt;dates&gt;&lt;year&gt;2015&lt;/year&gt;&lt;/dates&gt;&lt;pub-location&gt;Oxford&lt;/pub-location&gt;&lt;publisher&gt;Oxford University Press&lt;/publisher&gt;&lt;isbn&gt;978-0-19-966587-7&lt;/isbn&gt;&lt;urls&gt;&lt;/urls&gt;&lt;/record&gt;&lt;/Cite&gt;&lt;/EndNote&gt;</w:instrText>
      </w:r>
      <w:r w:rsidRPr="00F10391">
        <w:fldChar w:fldCharType="separate"/>
      </w:r>
      <w:r w:rsidR="00700267">
        <w:rPr>
          <w:noProof/>
        </w:rPr>
        <w:t>[187]</w:t>
      </w:r>
      <w:r w:rsidRPr="00F10391">
        <w:fldChar w:fldCharType="end"/>
      </w:r>
      <w:r w:rsidRPr="00F10391">
        <w:t xml:space="preserve">. If MCDA techniques were to replace current HTA-led approaches, this would present major logistical challenges if done methodologically (and organisationally) – and if not done systematically in this way would run the risk of being wrong, and hence producing worse decisions </w:t>
      </w:r>
      <w:r w:rsidRPr="00F10391">
        <w:fldChar w:fldCharType="begin"/>
      </w:r>
      <w:r w:rsidR="00700267">
        <w:instrText xml:space="preserve"> ADDIN EN.CITE &lt;EndNote&gt;&lt;Cite&gt;&lt;Author&gt;Claxton&lt;/Author&gt;&lt;Year&gt;2015&lt;/Year&gt;&lt;RecNum&gt;353&lt;/RecNum&gt;&lt;DisplayText&gt;[188]&lt;/DisplayText&gt;&lt;record&gt;&lt;rec-number&gt;353&lt;/rec-number&gt;&lt;foreign-keys&gt;&lt;key app="EN" db-id="sz9092dv2s5fpze9wpgx0zxgv5ar00aezrvf" timestamp="0"&gt;353&lt;/key&gt;&lt;/foreign-keys&gt;&lt;ref-type name="Journal Article"&gt;17&lt;/ref-type&gt;&lt;contributors&gt;&lt;authors&gt;&lt;author&gt;Claxton, Karl&lt;/author&gt;&lt;author&gt;Sculpher, Mark&lt;/author&gt;&lt;author&gt;Palmer, Stephen&lt;/author&gt;&lt;author&gt;Culyer, Anthony J&lt;/author&gt;&lt;/authors&gt;&lt;/contributors&gt;&lt;titles&gt;&lt;title&gt;Causes for concern: is nice failing to uphold its responsibilities to all NHS patients?&lt;/title&gt;&lt;secondary-title&gt;Health economics&lt;/secondary-title&gt;&lt;/titles&gt;&lt;periodical&gt;&lt;full-title&gt;Health economics&lt;/full-title&gt;&lt;/periodical&gt;&lt;pages&gt;1-7&lt;/pages&gt;&lt;volume&gt;24&lt;/volume&gt;&lt;number&gt;1&lt;/number&gt;&lt;dates&gt;&lt;year&gt;2015&lt;/year&gt;&lt;/dates&gt;&lt;isbn&gt;1099-1050&lt;/isbn&gt;&lt;urls&gt;&lt;related-urls&gt;&lt;url&gt;http://onlinelibrary.wiley.com/store/10.1002/hec.3130/asset/hec3130.pdf?v=1&amp;amp;t=ilnwxu2v&amp;amp;s=031ada7e66cf781b9d27779fe61fbcfbca445332&lt;/url&gt;&lt;/related-urls&gt;&lt;/urls&gt;&lt;/record&gt;&lt;/Cite&gt;&lt;/EndNote&gt;</w:instrText>
      </w:r>
      <w:r w:rsidRPr="00F10391">
        <w:fldChar w:fldCharType="separate"/>
      </w:r>
      <w:r w:rsidR="00700267">
        <w:rPr>
          <w:noProof/>
        </w:rPr>
        <w:t>[188]</w:t>
      </w:r>
      <w:r w:rsidRPr="00F10391">
        <w:fldChar w:fldCharType="end"/>
      </w:r>
      <w:r w:rsidRPr="00F10391">
        <w:t xml:space="preserve">. Given that deliberation will almost certainly be required even with such an approach, this does not necessarily fully resolve the issues of lack of transparency and consistency between decisions anyway, which is a major purported benefit of using MCDA techniques </w:t>
      </w:r>
      <w:r w:rsidRPr="00F10391">
        <w:fldChar w:fldCharType="begin"/>
      </w:r>
      <w:r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Pr="00F10391">
        <w:t>[4]</w:t>
      </w:r>
      <w:r w:rsidRPr="00F10391">
        <w:fldChar w:fldCharType="end"/>
      </w:r>
      <w:r w:rsidRPr="00F10391">
        <w:t xml:space="preserve">. Institutionally, there are also issues related to who should pay for non-health (positive or potentially negative) externalities – and that as a result, taking non-health factors systematically into formal consideration at the expense of health outcomes could be considered unjustifiable for the health service </w:t>
      </w:r>
      <w:r w:rsidRPr="00F10391">
        <w:fldChar w:fldCharType="begin"/>
      </w:r>
      <w:r w:rsidR="00700267">
        <w:instrText xml:space="preserve"> ADDIN EN.CITE &lt;EndNote&gt;&lt;Cite&gt;&lt;Author&gt;Weatherly&lt;/Author&gt;&lt;Year&gt;2009&lt;/Year&gt;&lt;RecNum&gt;152&lt;/RecNum&gt;&lt;DisplayText&gt;[105]&lt;/DisplayText&gt;&lt;record&gt;&lt;rec-number&gt;152&lt;/rec-number&gt;&lt;foreign-keys&gt;&lt;key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EndNote&gt;</w:instrText>
      </w:r>
      <w:r w:rsidRPr="00F10391">
        <w:fldChar w:fldCharType="separate"/>
      </w:r>
      <w:r w:rsidR="00700267">
        <w:rPr>
          <w:noProof/>
        </w:rPr>
        <w:t>[105]</w:t>
      </w:r>
      <w:r w:rsidRPr="00F10391">
        <w:fldChar w:fldCharType="end"/>
      </w:r>
      <w:r w:rsidRPr="00F10391">
        <w:t>.</w:t>
      </w:r>
    </w:p>
    <w:p w14:paraId="0FEADB6B" w14:textId="77777777" w:rsidR="00D22CE3" w:rsidRPr="00F10391" w:rsidRDefault="00D22CE3" w:rsidP="006942ED">
      <w:r w:rsidRPr="00F10391">
        <w:t xml:space="preserve">Each of these issues has counter-arguments that at least merit further consideration. Dishonest behaviour is possible through a more deliberative process too, and it is very possible that the presence of an MCDA model to guide this discussion would help to ameliorate this. If a general picture of population preferences really needs to be derived, a study comparable in scale to the Measurement and Valuation of Health (MVH) study </w:t>
      </w:r>
      <w:r w:rsidRPr="00F10391">
        <w:fldChar w:fldCharType="begin"/>
      </w:r>
      <w:r w:rsidR="00700267">
        <w:instrText xml:space="preserve"> ADDIN EN.CITE &lt;EndNote&gt;&lt;Cite&gt;&lt;Author&gt;Dolan&lt;/Author&gt;&lt;Year&gt;1994&lt;/Year&gt;&lt;RecNum&gt;296&lt;/RecNum&gt;&lt;DisplayText&gt;[189]&lt;/DisplayText&gt;&lt;record&gt;&lt;rec-number&gt;296&lt;/rec-number&gt;&lt;foreign-keys&gt;&lt;key app="EN" db-id="sz9092dv2s5fpze9wpgx0zxgv5ar00aezrvf" timestamp="0"&gt;296&lt;/key&gt;&lt;/foreign-keys&gt;&lt;ref-type name="Journal Article"&gt;17&lt;/ref-type&gt;&lt;contributors&gt;&lt;authors&gt;&lt;author&gt;Dolan, P&lt;/author&gt;&lt;author&gt;Gudex, C&lt;/author&gt;&lt;author&gt;Kind, P&lt;/author&gt;&lt;author&gt;Williams, A&lt;/author&gt;&lt;/authors&gt;&lt;/contributors&gt;&lt;titles&gt;&lt;title&gt;The measurement and valuation of health: first report on the main survey&lt;/title&gt;&lt;secondary-title&gt;York: University of York&lt;/secondary-title&gt;&lt;/titles&gt;&lt;dates&gt;&lt;year&gt;1994&lt;/year&gt;&lt;/dates&gt;&lt;urls&gt;&lt;/urls&gt;&lt;/record&gt;&lt;/Cite&gt;&lt;/EndNote&gt;</w:instrText>
      </w:r>
      <w:r w:rsidRPr="00F10391">
        <w:fldChar w:fldCharType="separate"/>
      </w:r>
      <w:r w:rsidR="00700267">
        <w:rPr>
          <w:noProof/>
        </w:rPr>
        <w:t>[189]</w:t>
      </w:r>
      <w:r w:rsidRPr="00F10391">
        <w:fldChar w:fldCharType="end"/>
      </w:r>
      <w:r w:rsidRPr="00F10391">
        <w:t xml:space="preserve"> to estimate the health-related quality of life of various health states could be carried out, if sufficient will was there. However, such a study may not be required; such issues could if desired be managed through the democratic process and/or through careful use of public representation on appropriate decision-making councils. The potential for MCDA to nonetheless reduce the opaqueness of decision-making might be worthwhile </w:t>
      </w:r>
      <w:r w:rsidRPr="00F10391">
        <w:fldChar w:fldCharType="begin"/>
      </w:r>
      <w:r w:rsidR="00700267">
        <w:instrText xml:space="preserve"> ADDIN EN.CITE &lt;EndNote&gt;&lt;Cite&gt;&lt;Author&gt;Kennedy&lt;/Author&gt;&lt;Year&gt;2009&lt;/Year&gt;&lt;RecNum&gt;76&lt;/RecNum&gt;&lt;DisplayText&gt;[16]&lt;/DisplayText&gt;&lt;record&gt;&lt;rec-number&gt;76&lt;/rec-number&gt;&lt;foreign-keys&gt;&lt;key app="EN" db-id="sz9092dv2s5fpze9wpgx0zxgv5ar00aezrvf" timestamp="0"&gt;76&lt;/key&gt;&lt;/foreign-keys&gt;&lt;ref-type name="Report"&gt;27&lt;/ref-type&gt;&lt;contributors&gt;&lt;authors&gt;&lt;author&gt;Kennedy, I&lt;/author&gt;&lt;/authors&gt;&lt;/contributors&gt;&lt;titles&gt;&lt;title&gt;Appraising the value of innovation and other benefits a short study for NICE.&lt;/title&gt;&lt;/titles&gt;&lt;dates&gt;&lt;year&gt;2009&lt;/year&gt;&lt;/dates&gt;&lt;urls&gt;&lt;/urls&gt;&lt;/record&gt;&lt;/Cite&gt;&lt;/EndNote&gt;</w:instrText>
      </w:r>
      <w:r w:rsidRPr="00F10391">
        <w:fldChar w:fldCharType="separate"/>
      </w:r>
      <w:r w:rsidR="00700267">
        <w:rPr>
          <w:noProof/>
        </w:rPr>
        <w:t>[16]</w:t>
      </w:r>
      <w:r w:rsidRPr="00F10391">
        <w:fldChar w:fldCharType="end"/>
      </w:r>
      <w:r w:rsidRPr="00F10391">
        <w:t xml:space="preserve"> </w:t>
      </w:r>
      <w:r w:rsidRPr="00F10391">
        <w:softHyphen/>
        <w:t xml:space="preserve">– otherwise a similar case could be made for removing the HTA process as it stands and replacing it with </w:t>
      </w:r>
      <w:r w:rsidRPr="00F10391">
        <w:lastRenderedPageBreak/>
        <w:t>deliberation alone. Finally, findings in Chapters 4 and 5 make clear that the impacts of non-health effects (and of health effects not currently considered in cost-utility analyses) are already considered in the deliberation stage (at least some of the time). Avoiding an approach to appraise them more formally does not undo this fact.</w:t>
      </w:r>
    </w:p>
    <w:p w14:paraId="3FF0546A" w14:textId="33ECE960" w:rsidR="00D22CE3" w:rsidRPr="00F10391" w:rsidRDefault="00D22CE3" w:rsidP="006942ED">
      <w:r w:rsidRPr="00F10391">
        <w:t xml:space="preserve">All health agencies worldwide seem to use deliberation before making final decisions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so any models already in use offer only a recommendation for a course of action, rather than a final decision in itself. Some researchers in the area refer to MCDA as </w:t>
      </w:r>
      <w:r w:rsidR="00C4401A">
        <w:t>‘</w:t>
      </w:r>
      <w:r w:rsidRPr="00F10391">
        <w:t xml:space="preserve">multiple criteria decision </w:t>
      </w:r>
      <w:r w:rsidRPr="00F10391">
        <w:rPr>
          <w:i/>
        </w:rPr>
        <w:t>aid</w:t>
      </w:r>
      <w:r w:rsidR="00C4401A">
        <w:t>’</w:t>
      </w:r>
      <w:r w:rsidRPr="00F10391">
        <w:t xml:space="preserve"> to reiterate its role as only one step in the decision-making process </w:t>
      </w:r>
      <w:r w:rsidRPr="00F10391">
        <w:fldChar w:fldCharType="begin"/>
      </w:r>
      <w:r w:rsidR="00700267">
        <w:instrText xml:space="preserve"> ADDIN EN.CITE &lt;EndNote&gt;&lt;Cite&gt;&lt;Author&gt;e Costa&lt;/Author&gt;&lt;Year&gt;2012&lt;/Year&gt;&lt;RecNum&gt;406&lt;/RecNum&gt;&lt;DisplayText&gt;[190]&lt;/DisplayText&gt;&lt;record&gt;&lt;rec-number&gt;406&lt;/rec-number&gt;&lt;foreign-keys&gt;&lt;key app="EN" db-id="sz9092dv2s5fpze9wpgx0zxgv5ar00aezrvf" timestamp="1458846859"&gt;406&lt;/key&gt;&lt;/foreign-keys&gt;&lt;ref-type name="Book"&gt;6&lt;/ref-type&gt;&lt;contributors&gt;&lt;authors&gt;&lt;author&gt;e Costa, Carlos A Bana&lt;/author&gt;&lt;/authors&gt;&lt;/contributors&gt;&lt;titles&gt;&lt;title&gt;Readings in multiple criteria decision aid&lt;/title&gt;&lt;/titles&gt;&lt;dates&gt;&lt;year&gt;2012&lt;/year&gt;&lt;/dates&gt;&lt;publisher&gt;Springer Science &amp;amp; Business Media&lt;/publisher&gt;&lt;isbn&gt;3642759351&lt;/isbn&gt;&lt;urls&gt;&lt;/urls&gt;&lt;/record&gt;&lt;/Cite&gt;&lt;/EndNote&gt;</w:instrText>
      </w:r>
      <w:r w:rsidRPr="00F10391">
        <w:fldChar w:fldCharType="separate"/>
      </w:r>
      <w:r w:rsidR="00700267">
        <w:rPr>
          <w:noProof/>
        </w:rPr>
        <w:t>[190]</w:t>
      </w:r>
      <w:r w:rsidRPr="00F10391">
        <w:fldChar w:fldCharType="end"/>
      </w:r>
      <w:r w:rsidRPr="00F10391">
        <w:t xml:space="preserve">. MCDA, as an operational research technique, places a particular emphasis on pragmatism. The ultimate aim of the model-building process may not be to simply optimise potential decisions, but to set the scene in which decisions can actually be implemented. This was referred to earlier in the chapter in Koch and Rowell’s bio-ethics paper </w:t>
      </w:r>
      <w:r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Pr="00F10391">
        <w:fldChar w:fldCharType="separate"/>
      </w:r>
      <w:r w:rsidR="00700267">
        <w:rPr>
          <w:noProof/>
        </w:rPr>
        <w:t>[91]</w:t>
      </w:r>
      <w:r w:rsidRPr="00F10391">
        <w:fldChar w:fldCharType="end"/>
      </w:r>
      <w:r w:rsidRPr="00F10391">
        <w:t xml:space="preserve"> which described how the approach allowed difficult conversations to take place, furthering the process, rather simply prioritising. A key task in future chapters will be to incorporate MCDA techniques into a broader decision process, incorporating contextual factors. The focus on actual implementation of such approaches is in tune with the OR and implementation science-influenced approach of this thesis.</w:t>
      </w:r>
    </w:p>
    <w:p w14:paraId="01E3375C" w14:textId="77777777" w:rsidR="00D22CE3" w:rsidRPr="00F10391" w:rsidRDefault="00D22CE3">
      <w:r w:rsidRPr="00F10391">
        <w:t xml:space="preserve">MCDA is seen in this approach at various levels of the decision-making process and implementation appears to be dependent on decision-maker buy-in </w:t>
      </w:r>
      <w:r w:rsidRPr="00F10391">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Pr="00F10391">
        <w:fldChar w:fldCharType="separate"/>
      </w:r>
      <w:r w:rsidR="00700267">
        <w:rPr>
          <w:noProof/>
        </w:rPr>
        <w:t>[180]</w:t>
      </w:r>
      <w:r w:rsidRPr="00F10391">
        <w:fldChar w:fldCharType="end"/>
      </w:r>
      <w:r w:rsidRPr="00F10391">
        <w:t xml:space="preserve">, which was also discussed in the previous chapter </w:t>
      </w:r>
      <w:r w:rsidRPr="00F10391">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w:t>
      </w:r>
      <w:r w:rsidRPr="00F10391">
        <w:fldChar w:fldCharType="end"/>
      </w:r>
      <w:r w:rsidRPr="00F10391">
        <w:t>. This too remains a focus in subsequent chapters.</w:t>
      </w:r>
    </w:p>
    <w:p w14:paraId="04CF7787" w14:textId="77777777" w:rsidR="00D22CE3" w:rsidRPr="00F10391" w:rsidRDefault="00D22CE3">
      <w:r w:rsidRPr="00F10391">
        <w:t xml:space="preserve">It can be difficult to determine the success of priority-setting techniques </w:t>
      </w:r>
      <w:r w:rsidRPr="00F10391">
        <w:fldChar w:fldCharType="begin"/>
      </w:r>
      <w:r w:rsidR="00700267">
        <w:instrText xml:space="preserve"> ADDIN EN.CITE &lt;EndNote&gt;&lt;Cite&gt;&lt;Author&gt;Tsourapas&lt;/Author&gt;&lt;Year&gt;2011&lt;/Year&gt;&lt;RecNum&gt;285&lt;/RecNum&gt;&lt;DisplayText&gt;[1, 184]&lt;/DisplayText&gt;&lt;record&gt;&lt;rec-number&gt;285&lt;/rec-number&gt;&lt;foreign-keys&gt;&lt;key app="EN" db-id="sz9092dv2s5fpze9wpgx0zxgv5ar00aezrvf" timestamp="0"&gt;285&lt;/key&gt;&lt;/foreign-keys&gt;&lt;ref-type name="Journal Article"&gt;17&lt;/ref-type&gt;&lt;contributors&gt;&lt;authors&gt;&lt;author&gt;Tsourapas, Angelos&lt;/author&gt;&lt;author&gt;Frew, Emma&lt;/author&gt;&lt;/authors&gt;&lt;/contributors&gt;&lt;titles&gt;&lt;title&gt;Evaluating ‘success’ in programme budgeting and marginal analysis: a literature review&lt;/title&gt;&lt;secondary-title&gt;Journal of health services research &amp;amp; policy&lt;/secondary-title&gt;&lt;/titles&gt;&lt;periodical&gt;&lt;full-title&gt;Journal of health services research &amp;amp; policy&lt;/full-title&gt;&lt;/periodical&gt;&lt;pages&gt;177-183&lt;/pages&gt;&lt;volume&gt;16&lt;/volume&gt;&lt;number&gt;3&lt;/number&gt;&lt;dates&gt;&lt;year&gt;2011&lt;/year&gt;&lt;/dates&gt;&lt;isbn&gt;1355-8196&lt;/isbn&gt;&lt;urls&gt;&lt;/urls&gt;&lt;/record&gt;&lt;/Cite&gt;&lt;Cite&gt;&lt;Author&gt;Williams&lt;/Author&gt;&lt;Year&gt;2007&lt;/Year&gt;&lt;RecNum&gt;158&lt;/RecNum&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00700267">
        <w:rPr>
          <w:noProof/>
        </w:rPr>
        <w:t>[1, 184]</w:t>
      </w:r>
      <w:r w:rsidRPr="00F10391">
        <w:fldChar w:fldCharType="end"/>
      </w:r>
      <w:r w:rsidRPr="00F10391">
        <w:t xml:space="preserve">, not least because of the absence of a counter-factual approach. But the approaches shown in this part demonstrate that the use of such methods certainly is “humanly and technically feasible”, as van Gennip </w:t>
      </w:r>
      <w:r w:rsidRPr="00F10391">
        <w:fldChar w:fldCharType="begin"/>
      </w:r>
      <w:r w:rsidR="00700267">
        <w:instrText xml:space="preserve"> ADDIN EN.CITE &lt;EndNote&gt;&lt;Cite&gt;&lt;Author&gt;Van Gennip&lt;/Author&gt;&lt;Year&gt;1997&lt;/Year&gt;&lt;RecNum&gt;147&lt;/RecNum&gt;&lt;DisplayText&gt;[169]&lt;/DisplayText&gt;&lt;record&gt;&lt;rec-number&gt;147&lt;/rec-number&gt;&lt;foreign-keys&gt;&lt;key app="EN" db-id="sz9092dv2s5fpze9wpgx0zxgv5ar00aezrvf" timestamp="0"&gt;147&lt;/key&gt;&lt;/foreign-keys&gt;&lt;ref-type name="Journal Article"&gt;17&lt;/ref-type&gt;&lt;contributors&gt;&lt;authors&gt;&lt;author&gt;Van Gennip, CEG&lt;/author&gt;&lt;author&gt;Hulshof, JAM&lt;/author&gt;&lt;author&gt;Lootsma, FA&lt;/author&gt;&lt;/authors&gt;&lt;/contributors&gt;&lt;titles&gt;&lt;title&gt;A multi-criteria evaluation of diseases in a study for public-health planning&lt;/title&gt;&lt;secondary-title&gt;European Journal of Operational Research&lt;/secondary-title&gt;&lt;/titles&gt;&lt;pages&gt;236-240&lt;/pages&gt;&lt;volume&gt;99&lt;/volume&gt;&lt;number&gt;2&lt;/number&gt;&lt;dates&gt;&lt;year&gt;1997&lt;/year&gt;&lt;/dates&gt;&lt;isbn&gt;0377-2217&lt;/isbn&gt;&lt;urls&gt;&lt;related-urls&gt;&lt;url&gt;http://www.sciencedirect.com/science/article/pii/S0377221796003293&lt;/url&gt;&lt;/related-urls&gt;&lt;/urls&gt;&lt;/record&gt;&lt;/Cite&gt;&lt;/EndNote&gt;</w:instrText>
      </w:r>
      <w:r w:rsidRPr="00F10391">
        <w:fldChar w:fldCharType="separate"/>
      </w:r>
      <w:r w:rsidR="00700267">
        <w:rPr>
          <w:noProof/>
        </w:rPr>
        <w:t>[169]</w:t>
      </w:r>
      <w:r w:rsidRPr="00F10391">
        <w:fldChar w:fldCharType="end"/>
      </w:r>
      <w:r w:rsidRPr="00F10391">
        <w:t xml:space="preserve"> had hoped. The fact that many such approaches were implemented (for some papers this is not reported) give credence to the notion that they have been ‘suitable’, as defined in the first chapter, and as Mitton and Donaldson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Pr="00F10391">
        <w:t xml:space="preserve"> </w:t>
      </w:r>
      <w:r w:rsidR="00993BDE">
        <w:t xml:space="preserve">(p.337) </w:t>
      </w:r>
      <w:r w:rsidRPr="00F10391">
        <w:t xml:space="preserve">argued, success is “whether managers continue to support the priority setting approach taken”. </w:t>
      </w:r>
    </w:p>
    <w:p w14:paraId="262924E1" w14:textId="77777777" w:rsidR="00D22CE3" w:rsidRPr="00F10391" w:rsidRDefault="00D22CE3">
      <w:r w:rsidRPr="00F10391">
        <w:t>This chapter informed all future decisions taken for this thesis, strengthening the evidence base as to both:</w:t>
      </w:r>
    </w:p>
    <w:p w14:paraId="13788401" w14:textId="77777777" w:rsidR="00D22CE3" w:rsidRPr="00F10391" w:rsidRDefault="00D22CE3">
      <w:pPr>
        <w:pStyle w:val="ListParagraph"/>
        <w:numPr>
          <w:ilvl w:val="0"/>
          <w:numId w:val="45"/>
        </w:numPr>
      </w:pPr>
      <w:r w:rsidRPr="00F10391">
        <w:t>why MCDA approaches could be used in suitable public health decision-making settings in England; and</w:t>
      </w:r>
    </w:p>
    <w:p w14:paraId="116CCE67" w14:textId="77777777" w:rsidR="00D22CE3" w:rsidRPr="00F10391" w:rsidRDefault="00D22CE3">
      <w:pPr>
        <w:pStyle w:val="ListParagraph"/>
        <w:numPr>
          <w:ilvl w:val="0"/>
          <w:numId w:val="45"/>
        </w:numPr>
      </w:pPr>
      <w:r w:rsidRPr="00F10391">
        <w:t>in how they could be used there in practice.</w:t>
      </w:r>
    </w:p>
    <w:p w14:paraId="163711CF" w14:textId="77777777" w:rsidR="00D22CE3" w:rsidRPr="00F10391" w:rsidRDefault="00D22CE3">
      <w:r w:rsidRPr="00F10391">
        <w:t xml:space="preserve">Given the current focus on case studies, the importance on focussing on context and, given that no such approaches had been used in NICE previously, case studies at decision-maker level in England seemed an appropriate approach to investigate their use further. This influenced the subsequent intervention development and implementation chapters. These would need to be carefully matched to the nature of chosen sub-processes at hand, rather than immediately attempting to create a grand MCDA technique to make beginning-to-end decisions on behalf of NICE (or local governments). The organisational context of how decisions are actually made in practice is also therefore fundamentally important to the success of these techniques. </w:t>
      </w:r>
    </w:p>
    <w:p w14:paraId="59B2FFDC" w14:textId="77777777" w:rsidR="00D22CE3" w:rsidRPr="00F10391" w:rsidRDefault="00D22CE3">
      <w:r w:rsidRPr="00F10391">
        <w:t xml:space="preserve">The next chapter investigates the processes that NICE use in making their decisions and other factors that could influence the success of any such implementations in future to better ensure </w:t>
      </w:r>
      <w:r w:rsidRPr="00F10391">
        <w:lastRenderedPageBreak/>
        <w:t>that such context in NICE is better understood. It therefore corresponds to the thesis’ second research question.</w:t>
      </w:r>
    </w:p>
    <w:p w14:paraId="430E9252" w14:textId="77777777" w:rsidR="00D22CE3" w:rsidRPr="00F10391" w:rsidRDefault="00D22CE3" w:rsidP="0063065F">
      <w:pPr>
        <w:rPr>
          <w:sz w:val="28"/>
          <w:szCs w:val="28"/>
        </w:rPr>
      </w:pPr>
      <w:bookmarkStart w:id="377" w:name="_Toc313523526"/>
      <w:bookmarkStart w:id="378" w:name="_Toc441508964"/>
      <w:bookmarkStart w:id="379" w:name="_Toc453235402"/>
      <w:r w:rsidRPr="00F10391">
        <w:br w:type="page"/>
      </w:r>
    </w:p>
    <w:p w14:paraId="21102B75" w14:textId="77777777" w:rsidR="00D22CE3" w:rsidRPr="00F10391" w:rsidRDefault="00D22CE3" w:rsidP="00494A9A">
      <w:pPr>
        <w:pStyle w:val="Heading1"/>
      </w:pPr>
      <w:bookmarkStart w:id="380" w:name="_Toc453595475"/>
      <w:bookmarkStart w:id="381" w:name="_Toc476241572"/>
      <w:r w:rsidRPr="00F10391">
        <w:lastRenderedPageBreak/>
        <w:t>:</w:t>
      </w:r>
      <w:r w:rsidRPr="00F10391">
        <w:tab/>
        <w:t>Public health decision-making in NIC</w:t>
      </w:r>
      <w:bookmarkEnd w:id="377"/>
      <w:r w:rsidRPr="00F10391">
        <w:t>E</w:t>
      </w:r>
      <w:bookmarkStart w:id="382" w:name="_Toc313523527"/>
      <w:bookmarkEnd w:id="378"/>
      <w:bookmarkEnd w:id="379"/>
      <w:bookmarkEnd w:id="380"/>
      <w:bookmarkEnd w:id="381"/>
    </w:p>
    <w:p w14:paraId="045FEEEA" w14:textId="77777777" w:rsidR="00D22CE3" w:rsidRPr="00F10391" w:rsidRDefault="00D22CE3" w:rsidP="00494A9A"/>
    <w:p w14:paraId="6F5D3E74" w14:textId="77777777" w:rsidR="00D22CE3" w:rsidRPr="00F10391" w:rsidRDefault="00D22CE3" w:rsidP="00490B5D">
      <w:pPr>
        <w:pStyle w:val="Numberedheading2"/>
      </w:pPr>
      <w:bookmarkStart w:id="383" w:name="_Toc441508965"/>
      <w:bookmarkStart w:id="384" w:name="_Toc453235403"/>
      <w:bookmarkStart w:id="385" w:name="_Toc453595476"/>
      <w:bookmarkStart w:id="386" w:name="_Toc476241573"/>
      <w:r w:rsidRPr="00F10391">
        <w:t>4.1</w:t>
      </w:r>
      <w:r w:rsidRPr="00F10391">
        <w:tab/>
      </w:r>
      <w:r w:rsidRPr="00F10391">
        <w:tab/>
        <w:t>Introduction</w:t>
      </w:r>
      <w:bookmarkEnd w:id="382"/>
      <w:bookmarkEnd w:id="383"/>
      <w:bookmarkEnd w:id="384"/>
      <w:bookmarkEnd w:id="385"/>
      <w:bookmarkEnd w:id="386"/>
    </w:p>
    <w:p w14:paraId="6731D1DD" w14:textId="77777777" w:rsidR="00D22CE3" w:rsidRPr="00F10391" w:rsidRDefault="00D22CE3" w:rsidP="00490B5D">
      <w:r w:rsidRPr="00F10391">
        <w:t>This chapter’s role is particularly wide-ranging and important in terms of the thesis, setting out the context in which NICE currently makes its decisions. Understanding these processes is vital to better understanding if MCDA can play any role in such a setting in future, as well as in directing any further investigations appropriately.</w:t>
      </w:r>
    </w:p>
    <w:p w14:paraId="7D4CF083" w14:textId="77777777" w:rsidR="00D22CE3" w:rsidRPr="00F10391" w:rsidRDefault="00D22CE3" w:rsidP="006A5AA3"/>
    <w:p w14:paraId="0BB3BAA5" w14:textId="77777777" w:rsidR="00D22CE3" w:rsidRPr="00F10391" w:rsidRDefault="00D22CE3" w:rsidP="006942ED">
      <w:pPr>
        <w:pStyle w:val="Heading3"/>
      </w:pPr>
      <w:bookmarkStart w:id="387" w:name="_Toc313523528"/>
      <w:bookmarkStart w:id="388" w:name="_Toc441508966"/>
      <w:bookmarkStart w:id="389" w:name="_Toc453235404"/>
      <w:bookmarkStart w:id="390" w:name="_Toc453595477"/>
      <w:bookmarkStart w:id="391" w:name="_Toc476241574"/>
      <w:r w:rsidRPr="00F10391">
        <w:t>4.1.1</w:t>
      </w:r>
      <w:r w:rsidRPr="00F10391">
        <w:tab/>
      </w:r>
      <w:r w:rsidRPr="00F10391">
        <w:tab/>
        <w:t>Research questions and methods</w:t>
      </w:r>
      <w:bookmarkEnd w:id="387"/>
      <w:bookmarkEnd w:id="388"/>
      <w:bookmarkEnd w:id="389"/>
      <w:bookmarkEnd w:id="390"/>
      <w:bookmarkEnd w:id="391"/>
    </w:p>
    <w:p w14:paraId="090BF288" w14:textId="01A6EA8C" w:rsidR="00D22CE3" w:rsidRPr="00F10391" w:rsidRDefault="00D22CE3">
      <w:r w:rsidRPr="00F10391">
        <w:t xml:space="preserve">This chapter relates to the research question of </w:t>
      </w:r>
      <w:r w:rsidR="00C4401A">
        <w:t>‘</w:t>
      </w:r>
      <w:r w:rsidRPr="00F10391">
        <w:rPr>
          <w:i/>
        </w:rPr>
        <w:t>How are decisions made in the CPH, according to its reference case and in practice?</w:t>
      </w:r>
      <w:r w:rsidR="00C4401A">
        <w:t>’</w:t>
      </w:r>
      <w:r w:rsidRPr="00F10391">
        <w:rPr>
          <w:lang w:eastAsia="en-US"/>
        </w:rPr>
        <w:t xml:space="preserve"> This chapter describes an overview of decision-making in the CPH, whereas chapter 5 provides the results from a review of the economic modelling stage of the guidance process. </w:t>
      </w:r>
    </w:p>
    <w:p w14:paraId="2A6413CA" w14:textId="77777777" w:rsidR="00D22CE3" w:rsidRPr="00F10391" w:rsidRDefault="00D22CE3">
      <w:r w:rsidRPr="00F10391">
        <w:t>The methods manual (and similar documents described in this chapter) cannot describe how approaches are carried out in practice in all circumstances. For one, evaluations in the CPH do not always stick ‘to the book’, shown clearly in the next chapter, which highlights many departures from the reference case. Ambiguities as to how to interpret some issues also remain, alongside questions of how to prioritise between the identified relevant factors. Some of these issues may only be evident in trying to implement them in practice. The latter half of this chapter therefore also describes a number of practical challenges inherent in current processes. The potential role that MCDA could play in better addressing these concerns than the status quo is investigated in the next chapter.</w:t>
      </w:r>
    </w:p>
    <w:p w14:paraId="5C57F1B1" w14:textId="7B80A791" w:rsidR="00D22CE3" w:rsidRPr="00F10391" w:rsidRDefault="00D22CE3">
      <w:r w:rsidRPr="00F10391">
        <w:t xml:space="preserve">Understanding decision-making practices in NICE ‘from above’ (i.e. </w:t>
      </w:r>
      <w:r w:rsidRPr="00F10391">
        <w:rPr>
          <w:i/>
        </w:rPr>
        <w:t>de jure</w:t>
      </w:r>
      <w:r w:rsidRPr="00F10391">
        <w:t>) and at ‘ground-level’ (</w:t>
      </w:r>
      <w:r w:rsidRPr="00F10391">
        <w:rPr>
          <w:i/>
        </w:rPr>
        <w:t>de facto</w:t>
      </w:r>
      <w:r w:rsidRPr="00F10391">
        <w:t xml:space="preserve">) required a two-prong approach. The overall structures and frameworks used were identified based upon a review of NICE approaches, particularly focussing on – but not confined to – the CPH method manuals, alongside other relevant reports. Practical applications of approaches were informed by a 6-month secondment that I undertook in the CPH during the second year of the thesis, working full time as an analyst on two public health guidance topics: “Walking and Cycling”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xml:space="preserve"> and “Obesity: Working with local communities” </w:t>
      </w:r>
      <w:r w:rsidRPr="00F10391">
        <w:fldChar w:fldCharType="begin"/>
      </w:r>
      <w:r w:rsidR="00700267">
        <w:instrText xml:space="preserve"> ADDIN EN.CITE &lt;EndNote&gt;&lt;Cite&gt;&lt;Author&gt;NICE&lt;/Author&gt;&lt;Year&gt;2012&lt;/Year&gt;&lt;RecNum&gt;240&lt;/RecNum&gt;&lt;DisplayText&gt;[192]&lt;/DisplayText&gt;&lt;record&gt;&lt;rec-number&gt;240&lt;/rec-number&gt;&lt;foreign-keys&gt;&lt;key app="EN" db-id="sz9092dv2s5fpze9wpgx0zxgv5ar00aezrvf" timestamp="0"&gt;240&lt;/key&gt;&lt;/foreign-keys&gt;&lt;ref-type name="Report"&gt;27&lt;/ref-type&gt;&lt;contributors&gt;&lt;authors&gt;&lt;author&gt;NICE&lt;/author&gt;&lt;/authors&gt;&lt;/contributors&gt;&lt;titles&gt;&lt;title&gt;Obesity: working with local communities&lt;/title&gt;&lt;secondary-title&gt;PH42&lt;/secondary-title&gt;&lt;/titles&gt;&lt;dates&gt;&lt;year&gt;2012&lt;/year&gt;&lt;/dates&gt;&lt;pub-location&gt;London&lt;/pub-location&gt;&lt;publisher&gt;National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[192]</w:t>
      </w:r>
      <w:r w:rsidRPr="00F10391">
        <w:fldChar w:fldCharType="end"/>
      </w:r>
      <w:r w:rsidRPr="00F10391">
        <w:t xml:space="preserve">. In practice, both the secondment and the literature search informed and supported each other, in allowing for the identification of further relevant reports and in gaining insights and access to decision-makers that would not have otherwise have been possible. Mintzberg </w:t>
      </w:r>
      <w:r w:rsidRPr="00F10391">
        <w:fldChar w:fldCharType="begin"/>
      </w:r>
      <w:r w:rsidR="00700267">
        <w:instrText xml:space="preserve"> ADDIN EN.CITE &lt;EndNote&gt;&lt;Cite&gt;&lt;Author&gt;Mintzberg&lt;/Author&gt;&lt;Year&gt;1979&lt;/Year&gt;&lt;RecNum&gt;367&lt;/RecNum&gt;&lt;DisplayText&gt;[193]&lt;/DisplayText&gt;&lt;record&gt;&lt;rec-number&gt;367&lt;/rec-number&gt;&lt;foreign-keys&gt;&lt;key app="EN" db-id="septax0fnz0ppweaftoxwaf8dwt952vtx2we" timestamp="1451845188"&gt;367&lt;/key&gt;&lt;/foreign-keys&gt;&lt;ref-type name="Journal Article"&gt;17&lt;/ref-type&gt;&lt;contributors&gt;&lt;authors&gt;&lt;author&gt;Mintzberg, Henry&lt;/author&gt;&lt;/authors&gt;&lt;/contributors&gt;&lt;titles&gt;&lt;title&gt;An emerging strategy of&amp;quot; direct&amp;quot; research&lt;/title&gt;&lt;secondary-title&gt;Administrative science quarterly&lt;/secondary-title&gt;&lt;/titles&gt;&lt;periodical&gt;&lt;full-title&gt;Administrative science quarterly&lt;/full-title&gt;&lt;/periodical&gt;&lt;pages&gt;582-589&lt;/pages&gt;&lt;dates&gt;&lt;year&gt;1979&lt;/year&gt;&lt;/dates&gt;&lt;isbn&gt;0001-8392&lt;/isbn&gt;&lt;urls&gt;&lt;/urls&gt;&lt;/record&gt;&lt;/Cite&gt;&lt;/EndNote&gt;</w:instrText>
      </w:r>
      <w:r w:rsidRPr="00F10391">
        <w:fldChar w:fldCharType="separate"/>
      </w:r>
      <w:r w:rsidR="00700267">
        <w:rPr>
          <w:noProof/>
        </w:rPr>
        <w:t>[193]</w:t>
      </w:r>
      <w:r w:rsidRPr="00F10391">
        <w:fldChar w:fldCharType="end"/>
      </w:r>
      <w:r w:rsidR="00993BDE">
        <w:t xml:space="preserve"> (p.587)</w:t>
      </w:r>
      <w:r w:rsidRPr="00F10391">
        <w:t xml:space="preserve">, speaking about such a synergy, stated that we “uncover all kinds of relationships from our hard data but it is only through the use of this soft data that we are able to explain them.” Tying the extant literature to the experience of the secondment should enhance “the internal validity, generalizability and theoretical level of theory building from case study research”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00993BDE">
        <w:t xml:space="preserve"> (p.544-545)</w:t>
      </w:r>
      <w:r w:rsidR="003A7904">
        <w:t>.</w:t>
      </w:r>
      <w:r w:rsidRPr="00F10391">
        <w:t xml:space="preserve"> As such, case studies of this type can be used to provide descriptions of organisations and their processes </w:t>
      </w:r>
      <w:r w:rsidRPr="00F10391">
        <w:fldChar w:fldCharType="begin"/>
      </w:r>
      <w:r w:rsidR="00700267">
        <w:instrText xml:space="preserve"> ADDIN EN.CITE &lt;EndNote&gt;&lt;Cite&gt;&lt;Author&gt;Kidder&lt;/Author&gt;&lt;Year&gt;2011&lt;/Year&gt;&lt;RecNum&gt;369&lt;/RecNum&gt;&lt;DisplayText&gt;[194]&lt;/DisplayText&gt;&lt;record&gt;&lt;rec-number&gt;369&lt;/rec-number&gt;&lt;foreign-keys&gt;&lt;key app="EN" db-id="septax0fnz0ppweaftoxwaf8dwt952vtx2we" timestamp="1451851123"&gt;369&lt;/key&gt;&lt;/foreign-keys&gt;&lt;ref-type name="Book"&gt;6&lt;/ref-type&gt;&lt;contributors&gt;&lt;authors&gt;&lt;author&gt;Kidder, Tracy&lt;/author&gt;&lt;/authors&gt;&lt;/contributors&gt;&lt;titles&gt;&lt;title&gt;The soul of a new machine&lt;/title&gt;&lt;/titles&gt;&lt;dates&gt;&lt;year&gt;2011&lt;/year&gt;&lt;/dates&gt;&lt;publisher&gt;Back Bay Books&lt;/publisher&gt;&lt;isbn&gt;0316204552&lt;/isbn&gt;&lt;urls&gt;&lt;/urls&gt;&lt;/record&gt;&lt;/Cite&gt;&lt;/EndNote&gt;</w:instrText>
      </w:r>
      <w:r w:rsidRPr="00F10391">
        <w:fldChar w:fldCharType="separate"/>
      </w:r>
      <w:r w:rsidR="00700267">
        <w:rPr>
          <w:noProof/>
        </w:rPr>
        <w:t>[194]</w:t>
      </w:r>
      <w:r w:rsidRPr="00F10391">
        <w:fldChar w:fldCharType="end"/>
      </w:r>
      <w:r w:rsidRPr="00F10391">
        <w:t>.</w:t>
      </w:r>
    </w:p>
    <w:p w14:paraId="34DFEDD1" w14:textId="77777777" w:rsidR="00D22CE3" w:rsidRPr="00F10391" w:rsidRDefault="00D22CE3">
      <w:r w:rsidRPr="00F10391">
        <w:t xml:space="preserve">The approach used in this chapter was iterative and used a pragmatic, if somewhat unstructured combination of a literature search and semi-ethnographic approach in order to </w:t>
      </w:r>
      <w:r w:rsidRPr="00F10391">
        <w:lastRenderedPageBreak/>
        <w:t xml:space="preserve">arrive at a realistic and fair description of decision-making processes in NICE. The aim was that insights generated could then be used to direct the remaining chapters towards areas where MCDA approaches would be genuinely worth investigating. </w:t>
      </w:r>
    </w:p>
    <w:p w14:paraId="0DB32E97" w14:textId="77777777" w:rsidR="00D22CE3" w:rsidRPr="00F10391" w:rsidRDefault="00D22CE3">
      <w:r w:rsidRPr="00F10391">
        <w:t xml:space="preserve">The iterative nature allowed for something of an overlap between data analysis with data collection, especially in the field notes that I took during my time in the secondment. These notes provided a </w:t>
      </w:r>
      <w:r w:rsidRPr="00F10391">
        <w:rPr>
          <w:lang w:eastAsia="en-US"/>
        </w:rPr>
        <w:t>s</w:t>
      </w:r>
      <w:r w:rsidRPr="00F10391">
        <w:t xml:space="preserve">tream of consciousness commentary on what was happening </w:t>
      </w:r>
      <w:r w:rsidRPr="00F10391">
        <w:fldChar w:fldCharType="begin"/>
      </w:r>
      <w:r w:rsidR="00700267">
        <w:instrText xml:space="preserve"> ADDIN EN.CITE &lt;EndNote&gt;&lt;Cite&gt;&lt;Author&gt;Maanen&lt;/Author&gt;&lt;Year&gt;1988&lt;/Year&gt;&lt;RecNum&gt;370&lt;/RecNum&gt;&lt;DisplayText&gt;[195]&lt;/DisplayText&gt;&lt;record&gt;&lt;rec-number&gt;370&lt;/rec-number&gt;&lt;foreign-keys&gt;&lt;key app="EN" db-id="septax0fnz0ppweaftoxwaf8dwt952vtx2we" timestamp="1451853573"&gt;370&lt;/key&gt;&lt;/foreign-keys&gt;&lt;ref-type name="Journal Article"&gt;17&lt;/ref-type&gt;&lt;contributors&gt;&lt;authors&gt;&lt;author&gt;Maanen, John Van&lt;/author&gt;&lt;/authors&gt;&lt;/contributors&gt;&lt;titles&gt;&lt;title&gt;Tales of the field: On writing ethnography&lt;/title&gt;&lt;secondary-title&gt;Chicago Guides to Writing, Editing, and Publishing&lt;/secondary-title&gt;&lt;/titles&gt;&lt;periodical&gt;&lt;full-title&gt;Chicago Guides to Writing, Editing, and Publishing&lt;/full-title&gt;&lt;/periodical&gt;&lt;dates&gt;&lt;year&gt;1988&lt;/year&gt;&lt;/dates&gt;&lt;urls&gt;&lt;/urls&gt;&lt;/record&gt;&lt;/Cite&gt;&lt;/EndNote&gt;</w:instrText>
      </w:r>
      <w:r w:rsidRPr="00F10391">
        <w:fldChar w:fldCharType="separate"/>
      </w:r>
      <w:r w:rsidR="00700267">
        <w:rPr>
          <w:noProof/>
        </w:rPr>
        <w:t>[195]</w:t>
      </w:r>
      <w:r w:rsidRPr="00F10391">
        <w:fldChar w:fldCharType="end"/>
      </w:r>
      <w:r w:rsidRPr="00F10391">
        <w:t xml:space="preserve"> which allowed me to transcribe routine activities while noting and acting upon issues that seemed important; through articulation of what was being learned; and in adjusting the emphasis of future research during the data collection process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This constant reappraisal of the situation allowed to a certain extent for me to remain on a research footing and hence avoid some of the risks of ‘going native’. At the same time, I was to a certain extent constrained in that I carried out the normal duties of the position and hence attended the meetings that I was scheduled to attend, rather than operating as a floating and fully detached observer. The potential for me to go native could therefore only be minimised and not wholly removed.</w:t>
      </w:r>
    </w:p>
    <w:p w14:paraId="2E0F0B28" w14:textId="77777777" w:rsidR="00D22CE3" w:rsidRPr="00F10391" w:rsidRDefault="00D22CE3">
      <w:r w:rsidRPr="00F10391">
        <w:t xml:space="preserve">The approach I used was intended to be pragmatic - both in ensuring that I could gain the most appropriate findings in the context while nonetheless on assignment, and in helping to ensure ultimate implementation of relevant concepts - and was influenced by my prior experience in operational research. ‘Soft OR’ techniques have much in common with implementation science </w:t>
      </w:r>
      <w:r w:rsidRPr="00F10391">
        <w:fldChar w:fldCharType="begin"/>
      </w:r>
      <w:r w:rsidR="00700267">
        <w:instrText xml:space="preserve"> ADDIN EN.CITE &lt;EndNote&gt;&lt;Cite&gt;&lt;Author&gt;Remme&lt;/Author&gt;&lt;Year&gt;2010&lt;/Year&gt;&lt;RecNum&gt;300&lt;/RecNum&gt;&lt;DisplayText&gt;[11]&lt;/DisplayText&gt;&lt;record&gt;&lt;rec-number&gt;300&lt;/rec-number&gt;&lt;foreign-keys&gt;&lt;key app="EN" db-id="sz9092dv2s5fpze9wpgx0zxgv5ar00aezrvf" timestamp="0"&gt;300&lt;/key&gt;&lt;/foreign-keys&gt;&lt;ref-type name="Journal Article"&gt;17&lt;/ref-type&gt;&lt;contributors&gt;&lt;authors&gt;&lt;author&gt;Remme, JHF&lt;/author&gt;&lt;author&gt;Adam, T&lt;/author&gt;&lt;author&gt;Becerra-Posada, F&lt;/author&gt;&lt;author&gt;D’arcangues, C&lt;/author&gt;&lt;author&gt;Devlin, M&lt;/author&gt;&lt;/authors&gt;&lt;/contributors&gt;&lt;titles&gt;&lt;title&gt;Defining Research to Improve Health Systems&lt;/title&gt;&lt;secondary-title&gt;PLOS Medicine&lt;/secondary-title&gt;&lt;/titles&gt;&lt;pages&gt;48&lt;/pages&gt;&lt;volume&gt;7&lt;/volume&gt;&lt;number&gt;11&lt;/number&gt;&lt;section&gt;1&lt;/section&gt;&lt;dates&gt;&lt;year&gt;2010&lt;/year&gt;&lt;/dates&gt;&lt;urls&gt;&lt;/urls&gt;&lt;/record&gt;&lt;/Cite&gt;&lt;/EndNote&gt;</w:instrText>
      </w:r>
      <w:r w:rsidRPr="00F10391">
        <w:fldChar w:fldCharType="separate"/>
      </w:r>
      <w:r w:rsidR="00700267">
        <w:rPr>
          <w:noProof/>
        </w:rPr>
        <w:t>[11]</w:t>
      </w:r>
      <w:r w:rsidRPr="00F10391">
        <w:fldChar w:fldCharType="end"/>
      </w:r>
      <w:r w:rsidRPr="00F10391">
        <w:t xml:space="preserve"> and action research </w:t>
      </w:r>
      <w:r w:rsidRPr="00F10391">
        <w:fldChar w:fldCharType="begin"/>
      </w:r>
      <w:r w:rsidR="00700267">
        <w:instrText xml:space="preserve"> ADDIN EN.CITE &lt;EndNote&gt;&lt;Cite&gt;&lt;Author&gt;McKay&lt;/Author&gt;&lt;Year&gt;2001&lt;/Year&gt;&lt;RecNum&gt;408&lt;/RecNum&gt;&lt;DisplayText&gt;[196]&lt;/DisplayText&gt;&lt;record&gt;&lt;rec-number&gt;408&lt;/rec-number&gt;&lt;foreign-keys&gt;&lt;key app="EN" db-id="sz9092dv2s5fpze9wpgx0zxgv5ar00aezrvf" timestamp="1459433352"&gt;408&lt;/key&gt;&lt;/foreign-keys&gt;&lt;ref-type name="Journal Article"&gt;17&lt;/ref-type&gt;&lt;contributors&gt;&lt;authors&gt;&lt;author&gt;McKay, Judy&lt;/author&gt;&lt;author&gt;Marshall, Peter&lt;/author&gt;&lt;/authors&gt;&lt;/contributors&gt;&lt;titles&gt;&lt;title&gt;The dual imperatives of action research&lt;/title&gt;&lt;secondary-title&gt;Information Technology &amp;amp; People&lt;/secondary-title&gt;&lt;/titles&gt;&lt;periodical&gt;&lt;full-title&gt;Information Technology &amp;amp; People&lt;/full-title&gt;&lt;/periodical&gt;&lt;pages&gt;46-59&lt;/pages&gt;&lt;volume&gt;14&lt;/volume&gt;&lt;number&gt;1&lt;/number&gt;&lt;dates&gt;&lt;year&gt;2001&lt;/year&gt;&lt;/dates&gt;&lt;isbn&gt;0959-3845&lt;/isbn&gt;&lt;urls&gt;&lt;/urls&gt;&lt;/record&gt;&lt;/Cite&gt;&lt;/EndNote&gt;</w:instrText>
      </w:r>
      <w:r w:rsidRPr="00F10391">
        <w:fldChar w:fldCharType="separate"/>
      </w:r>
      <w:r w:rsidR="00700267">
        <w:rPr>
          <w:noProof/>
        </w:rPr>
        <w:t>[196]</w:t>
      </w:r>
      <w:r w:rsidRPr="00F10391">
        <w:fldChar w:fldCharType="end"/>
      </w:r>
      <w:r w:rsidRPr="00F10391">
        <w:t xml:space="preserve"> approaches, emphasising:</w:t>
      </w:r>
    </w:p>
    <w:p w14:paraId="122BCF22" w14:textId="77777777" w:rsidR="00D22CE3" w:rsidRPr="00F10391" w:rsidRDefault="00D22CE3">
      <w:pPr>
        <w:pStyle w:val="ListParagraph"/>
        <w:numPr>
          <w:ilvl w:val="0"/>
          <w:numId w:val="47"/>
        </w:numPr>
      </w:pPr>
      <w:r w:rsidRPr="00F10391">
        <w:t xml:space="preserve">The structuring of messy, complex problems, rather than solving well-defined problems; </w:t>
      </w:r>
    </w:p>
    <w:p w14:paraId="35B5F769" w14:textId="77777777" w:rsidR="00D22CE3" w:rsidRPr="00F10391" w:rsidRDefault="00D22CE3">
      <w:pPr>
        <w:pStyle w:val="ListParagraph"/>
        <w:numPr>
          <w:ilvl w:val="0"/>
          <w:numId w:val="47"/>
        </w:numPr>
      </w:pPr>
      <w:r w:rsidRPr="00F10391">
        <w:t xml:space="preserve">Exploring the differing views and perspectives of stakeholders in a situation; and </w:t>
      </w:r>
    </w:p>
    <w:p w14:paraId="20E1497E" w14:textId="77777777" w:rsidR="00D22CE3" w:rsidRPr="00F10391" w:rsidRDefault="00D22CE3">
      <w:pPr>
        <w:pStyle w:val="ListParagraph"/>
        <w:numPr>
          <w:ilvl w:val="0"/>
          <w:numId w:val="47"/>
        </w:numPr>
      </w:pPr>
      <w:r w:rsidRPr="00F10391">
        <w:t xml:space="preserve">Facilitating participation and engagement, rather than analysing abstract data and models </w:t>
      </w:r>
      <w:r w:rsidRPr="00F10391">
        <w:fldChar w:fldCharType="begin"/>
      </w:r>
      <w:r w:rsidR="00700267">
        <w:instrText xml:space="preserve"> ADDIN EN.CITE &lt;EndNote&gt;&lt;Cite&gt;&lt;Author&gt;Mingers&lt;/Author&gt;&lt;Year&gt;2000&lt;/Year&gt;&lt;RecNum&gt;409&lt;/RecNum&gt;&lt;DisplayText&gt;[197]&lt;/DisplayText&gt;&lt;record&gt;&lt;rec-number&gt;409&lt;/rec-number&gt;&lt;foreign-keys&gt;&lt;key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Pr="00F10391">
        <w:fldChar w:fldCharType="separate"/>
      </w:r>
      <w:r w:rsidR="00700267">
        <w:rPr>
          <w:noProof/>
        </w:rPr>
        <w:t>[197]</w:t>
      </w:r>
      <w:r w:rsidRPr="00F10391">
        <w:fldChar w:fldCharType="end"/>
      </w:r>
      <w:r w:rsidRPr="00F10391">
        <w:t>.</w:t>
      </w:r>
    </w:p>
    <w:p w14:paraId="7DCD3226" w14:textId="77777777" w:rsidR="00D22CE3" w:rsidRPr="00F10391" w:rsidRDefault="00D22CE3">
      <w:r w:rsidRPr="00F10391">
        <w:t xml:space="preserve">At the secondment’s outset I had only vague ideas of exactly how to ‘better understand NICE decision-making’, which I knew could only be appreciated in the context in which it took place. This ambiguity clearly has disadvantages as well as advantages. Mintzberg </w:t>
      </w:r>
      <w:r w:rsidRPr="00F10391">
        <w:fldChar w:fldCharType="begin"/>
      </w:r>
      <w:r w:rsidR="00700267">
        <w:instrText xml:space="preserve"> ADDIN EN.CITE &lt;EndNote&gt;&lt;Cite&gt;&lt;Author&gt;Mintzberg&lt;/Author&gt;&lt;Year&gt;1979&lt;/Year&gt;&lt;RecNum&gt;367&lt;/RecNum&gt;&lt;DisplayText&gt;[193]&lt;/DisplayText&gt;&lt;record&gt;&lt;rec-number&gt;367&lt;/rec-number&gt;&lt;foreign-keys&gt;&lt;key app="EN" db-id="septax0fnz0ppweaftoxwaf8dwt952vtx2we" timestamp="1451845188"&gt;367&lt;/key&gt;&lt;/foreign-keys&gt;&lt;ref-type name="Journal Article"&gt;17&lt;/ref-type&gt;&lt;contributors&gt;&lt;authors&gt;&lt;author&gt;Mintzberg, Henry&lt;/author&gt;&lt;/authors&gt;&lt;/contributors&gt;&lt;titles&gt;&lt;title&gt;An emerging strategy of&amp;quot; direct&amp;quot; research&lt;/title&gt;&lt;secondary-title&gt;Administrative science quarterly&lt;/secondary-title&gt;&lt;/titles&gt;&lt;periodical&gt;&lt;full-title&gt;Administrative science quarterly&lt;/full-title&gt;&lt;/periodical&gt;&lt;pages&gt;582-589&lt;/pages&gt;&lt;dates&gt;&lt;year&gt;1979&lt;/year&gt;&lt;/dates&gt;&lt;isbn&gt;0001-8392&lt;/isbn&gt;&lt;urls&gt;&lt;/urls&gt;&lt;/record&gt;&lt;/Cite&gt;&lt;/EndNote&gt;</w:instrText>
      </w:r>
      <w:r w:rsidRPr="00F10391">
        <w:fldChar w:fldCharType="separate"/>
      </w:r>
      <w:r w:rsidR="00700267">
        <w:rPr>
          <w:noProof/>
        </w:rPr>
        <w:t>[193]</w:t>
      </w:r>
      <w:r w:rsidRPr="00F10391">
        <w:fldChar w:fldCharType="end"/>
      </w:r>
      <w:r w:rsidRPr="00F10391">
        <w:t xml:space="preserve"> </w:t>
      </w:r>
      <w:r w:rsidR="00993BDE">
        <w:t xml:space="preserve">(p.585) </w:t>
      </w:r>
      <w:r w:rsidRPr="00F10391">
        <w:t xml:space="preserve">described the importance of always going “into organisations with a well-defined focus – to collect specific kinds of data systematically”. The use of note-taking combined with iterative reappraisal is somewhat similar to grounded theory. In hindsight the use of such an approach more formally would probably have been better, in influencing the data that seemed worth collecting as the project developed, in developing novel theories from this and in terms of clarity and structure in reporting the results </w:t>
      </w:r>
      <w:r w:rsidRPr="00F10391">
        <w:fldChar w:fldCharType="begin"/>
      </w:r>
      <w:r w:rsidR="00700267">
        <w:instrText xml:space="preserve"> ADDIN EN.CITE &lt;EndNote&gt;&lt;Cite&gt;&lt;Author&gt;Charmaz&lt;/Author&gt;&lt;Year&gt;1990&lt;/Year&gt;&lt;RecNum&gt;371&lt;/RecNum&gt;&lt;DisplayText&gt;[198]&lt;/DisplayText&gt;&lt;record&gt;&lt;rec-number&gt;371&lt;/rec-number&gt;&lt;foreign-keys&gt;&lt;key app="EN" db-id="septax0fnz0ppweaftoxwaf8dwt952vtx2we" timestamp="1451903735"&gt;371&lt;/key&gt;&lt;/foreign-keys&gt;&lt;ref-type name="Journal Article"&gt;17&lt;/ref-type&gt;&lt;contributors&gt;&lt;authors&gt;&lt;author&gt;Charmaz, Kathy&lt;/author&gt;&lt;/authors&gt;&lt;/contributors&gt;&lt;titles&gt;&lt;title&gt;‘Discovering’chronic illness: Using grounded theory&lt;/title&gt;&lt;secondary-title&gt;Social science &amp;amp; medicine&lt;/secondary-title&gt;&lt;/titles&gt;&lt;periodical&gt;&lt;full-title&gt;Social science &amp;amp; medicine&lt;/full-title&gt;&lt;/periodical&gt;&lt;pages&gt;1161-1172&lt;/pages&gt;&lt;volume&gt;30&lt;/volume&gt;&lt;number&gt;11&lt;/number&gt;&lt;dates&gt;&lt;year&gt;1990&lt;/year&gt;&lt;/dates&gt;&lt;isbn&gt;0277-9536&lt;/isbn&gt;&lt;urls&gt;&lt;/urls&gt;&lt;/record&gt;&lt;/Cite&gt;&lt;/EndNote&gt;</w:instrText>
      </w:r>
      <w:r w:rsidRPr="00F10391">
        <w:fldChar w:fldCharType="separate"/>
      </w:r>
      <w:r w:rsidR="00700267">
        <w:rPr>
          <w:noProof/>
        </w:rPr>
        <w:t>[198]</w:t>
      </w:r>
      <w:r w:rsidRPr="00F10391">
        <w:fldChar w:fldCharType="end"/>
      </w:r>
      <w:r w:rsidRPr="00F10391">
        <w:t xml:space="preserve">. Without having knowledge or experience of using the grounded theory approach, I converged coincidentally on using some similar techniques – but using the previously developed technique would have assumedly been easier and produced clearer findings. </w:t>
      </w:r>
    </w:p>
    <w:p w14:paraId="4409D1AB" w14:textId="77777777" w:rsidR="00D22CE3" w:rsidRPr="00F10391" w:rsidRDefault="00D22CE3">
      <w:r w:rsidRPr="00F10391">
        <w:t xml:space="preserve">One clear difference between soft OR and grounded theory-based techniques is that soft systems methodologies emphasise the role of context </w:t>
      </w:r>
      <w:r w:rsidRPr="00F10391">
        <w:fldChar w:fldCharType="begin"/>
      </w:r>
      <w:r w:rsidR="00700267">
        <w:instrText xml:space="preserve"> ADDIN EN.CITE &lt;EndNote&gt;&lt;Cite&gt;&lt;Author&gt;McKay&lt;/Author&gt;&lt;Year&gt;2001&lt;/Year&gt;&lt;RecNum&gt;408&lt;/RecNum&gt;&lt;DisplayText&gt;[196, 197]&lt;/DisplayText&gt;&lt;record&gt;&lt;rec-number&gt;408&lt;/rec-number&gt;&lt;foreign-keys&gt;&lt;key app="EN" db-id="sz9092dv2s5fpze9wpgx0zxgv5ar00aezrvf" timestamp="1459433352"&gt;408&lt;/key&gt;&lt;/foreign-keys&gt;&lt;ref-type name="Journal Article"&gt;17&lt;/ref-type&gt;&lt;contributors&gt;&lt;authors&gt;&lt;author&gt;McKay, Judy&lt;/author&gt;&lt;author&gt;Marshall, Peter&lt;/author&gt;&lt;/authors&gt;&lt;/contributors&gt;&lt;titles&gt;&lt;title&gt;The dual imperatives of action research&lt;/title&gt;&lt;secondary-title&gt;Information Technology &amp;amp; People&lt;/secondary-title&gt;&lt;/titles&gt;&lt;periodical&gt;&lt;full-title&gt;Information Technology &amp;amp; People&lt;/full-title&gt;&lt;/periodical&gt;&lt;pages&gt;46-59&lt;/pages&gt;&lt;volume&gt;14&lt;/volume&gt;&lt;number&gt;1&lt;/number&gt;&lt;dates&gt;&lt;year&gt;2001&lt;/year&gt;&lt;/dates&gt;&lt;isbn&gt;0959-3845&lt;/isbn&gt;&lt;urls&gt;&lt;/urls&gt;&lt;/record&gt;&lt;/Cite&gt;&lt;Cite&gt;&lt;Author&gt;Mingers&lt;/Author&gt;&lt;Year&gt;2000&lt;/Year&gt;&lt;RecNum&gt;409&lt;/RecNum&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Pr="00F10391">
        <w:fldChar w:fldCharType="separate"/>
      </w:r>
      <w:r w:rsidR="00700267">
        <w:rPr>
          <w:noProof/>
        </w:rPr>
        <w:t>[196, 197]</w:t>
      </w:r>
      <w:r w:rsidRPr="00F10391">
        <w:fldChar w:fldCharType="end"/>
      </w:r>
      <w:r w:rsidRPr="00F10391">
        <w:t xml:space="preserve"> and in acknowledging that this (and the researcher’s prior knowledge) is unavoidably subjective </w:t>
      </w:r>
      <w:r w:rsidRPr="00F10391">
        <w:fldChar w:fldCharType="begin"/>
      </w:r>
      <w:r w:rsidR="00700267">
        <w:instrText xml:space="preserve"> ADDIN EN.CITE &lt;EndNote&gt;&lt;Cite&gt;&lt;Author&gt;Mingers&lt;/Author&gt;&lt;Year&gt;2000&lt;/Year&gt;&lt;RecNum&gt;409&lt;/RecNum&gt;&lt;DisplayText&gt;[196, 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Cite&gt;&lt;Author&gt;McKay&lt;/Author&gt;&lt;Year&gt;2001&lt;/Year&gt;&lt;RecNum&gt;408&lt;/RecNum&gt;&lt;record&gt;&lt;rec-number&gt;408&lt;/rec-number&gt;&lt;foreign-keys&gt;&lt;key app="EN" db-id="sz9092dv2s5fpze9wpgx0zxgv5ar00aezrvf" timestamp="1459433352"&gt;408&lt;/key&gt;&lt;/foreign-keys&gt;&lt;ref-type name="Journal Article"&gt;17&lt;/ref-type&gt;&lt;contributors&gt;&lt;authors&gt;&lt;author&gt;McKay, Judy&lt;/author&gt;&lt;author&gt;Marshall, Peter&lt;/author&gt;&lt;/authors&gt;&lt;/contributors&gt;&lt;titles&gt;&lt;title&gt;The dual imperatives of action research&lt;/title&gt;&lt;secondary-title&gt;Information Technology &amp;amp; People&lt;/secondary-title&gt;&lt;/titles&gt;&lt;periodical&gt;&lt;full-title&gt;Information Technology &amp;amp; People&lt;/full-title&gt;&lt;/periodical&gt;&lt;pages&gt;46-59&lt;/pages&gt;&lt;volume&gt;14&lt;/volume&gt;&lt;number&gt;1&lt;/number&gt;&lt;dates&gt;&lt;year&gt;2001&lt;/year&gt;&lt;/dates&gt;&lt;isbn&gt;0959-3845&lt;/isbn&gt;&lt;urls&gt;&lt;/urls&gt;&lt;/record&gt;&lt;/Cite&gt;&lt;/EndNote&gt;</w:instrText>
      </w:r>
      <w:r w:rsidRPr="00F10391">
        <w:fldChar w:fldCharType="separate"/>
      </w:r>
      <w:r w:rsidR="00700267">
        <w:rPr>
          <w:noProof/>
        </w:rPr>
        <w:t>[196, 197]</w:t>
      </w:r>
      <w:r w:rsidRPr="00F10391">
        <w:fldChar w:fldCharType="end"/>
      </w:r>
      <w:r w:rsidRPr="00F10391">
        <w:t xml:space="preserve">. Though a </w:t>
      </w:r>
      <w:r w:rsidRPr="00F10391">
        <w:rPr>
          <w:i/>
        </w:rPr>
        <w:t>tabula rasa</w:t>
      </w:r>
      <w:r w:rsidRPr="00F10391">
        <w:t xml:space="preserve"> - as required with grounded theory - is rarely the case in practice anyway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the use of such an approach may have been difficult in the case of this study, given a literature review and other research had already been completed.</w:t>
      </w:r>
    </w:p>
    <w:p w14:paraId="47BD5C52" w14:textId="77777777" w:rsidR="00D22CE3" w:rsidRPr="00F10391" w:rsidRDefault="00D22CE3">
      <w:r w:rsidRPr="00F10391">
        <w:lastRenderedPageBreak/>
        <w:t xml:space="preserve">Soft OR emphasises the importance of gaining a rich understanding of this context </w:t>
      </w:r>
      <w:r w:rsidRPr="00F10391">
        <w:fldChar w:fldCharType="begin"/>
      </w:r>
      <w:r w:rsidR="00700267">
        <w:instrText xml:space="preserve"> ADDIN EN.CITE &lt;EndNote&gt;&lt;Cite&gt;&lt;Author&gt;Mingers&lt;/Author&gt;&lt;Year&gt;2000&lt;/Year&gt;&lt;RecNum&gt;409&lt;/RecNum&gt;&lt;DisplayText&gt;[197]&lt;/DisplayText&gt;&lt;record&gt;&lt;rec-number&gt;409&lt;/rec-number&gt;&lt;foreign-keys&gt;&lt;key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Pr="00F10391">
        <w:fldChar w:fldCharType="separate"/>
      </w:r>
      <w:r w:rsidR="00700267">
        <w:rPr>
          <w:noProof/>
        </w:rPr>
        <w:t>[197]</w:t>
      </w:r>
      <w:r w:rsidRPr="00F10391">
        <w:fldChar w:fldCharType="end"/>
      </w:r>
      <w:r w:rsidRPr="00F10391">
        <w:t xml:space="preserve"> and its techniques are perceived as being particularly useful in structuring: </w:t>
      </w:r>
    </w:p>
    <w:p w14:paraId="468B8F67" w14:textId="77777777" w:rsidR="00D22CE3" w:rsidRPr="00F10391" w:rsidRDefault="00D22CE3">
      <w:pPr>
        <w:pStyle w:val="ListParagraph"/>
        <w:numPr>
          <w:ilvl w:val="0"/>
          <w:numId w:val="48"/>
        </w:numPr>
      </w:pPr>
      <w:r w:rsidRPr="00F10391">
        <w:t xml:space="preserve">of the study’s processes; </w:t>
      </w:r>
    </w:p>
    <w:p w14:paraId="7309458C" w14:textId="77777777" w:rsidR="00D22CE3" w:rsidRPr="00F10391" w:rsidRDefault="00D22CE3">
      <w:pPr>
        <w:pStyle w:val="ListParagraph"/>
        <w:numPr>
          <w:ilvl w:val="0"/>
          <w:numId w:val="48"/>
        </w:numPr>
      </w:pPr>
      <w:r w:rsidRPr="00F10391">
        <w:t xml:space="preserve">the thinking of analysts and stakeholders; and </w:t>
      </w:r>
    </w:p>
    <w:p w14:paraId="45BDF19D" w14:textId="77777777" w:rsidR="00D22CE3" w:rsidRPr="00F10391" w:rsidRDefault="00D22CE3">
      <w:pPr>
        <w:pStyle w:val="ListParagraph"/>
        <w:numPr>
          <w:ilvl w:val="0"/>
          <w:numId w:val="48"/>
        </w:numPr>
      </w:pPr>
      <w:r w:rsidRPr="00F10391">
        <w:t xml:space="preserve">of complex and messy structures </w:t>
      </w:r>
      <w:r w:rsidRPr="00F10391">
        <w:fldChar w:fldCharType="begin"/>
      </w:r>
      <w:r w:rsidR="00700267">
        <w:instrText xml:space="preserve"> ADDIN EN.CITE &lt;EndNote&gt;&lt;Cite&gt;&lt;Author&gt;Mingers&lt;/Author&gt;&lt;Year&gt;1992&lt;/Year&gt;&lt;RecNum&gt;407&lt;/RecNum&gt;&lt;DisplayText&gt;[199]&lt;/DisplayText&gt;&lt;record&gt;&lt;rec-number&gt;407&lt;/rec-number&gt;&lt;foreign-keys&gt;&lt;key app="EN" db-id="sz9092dv2s5fpze9wpgx0zxgv5ar00aezrvf" timestamp="1459433311"&gt;407&lt;/key&gt;&lt;/foreign-keys&gt;&lt;ref-type name="Journal Article"&gt;17&lt;/ref-type&gt;&lt;contributors&gt;&lt;authors&gt;&lt;author&gt;Mingers, John&lt;/author&gt;&lt;author&gt;Taylor, Sarah&lt;/author&gt;&lt;/authors&gt;&lt;/contributors&gt;&lt;titles&gt;&lt;title&gt;The use of soft systems methodology in practice&lt;/title&gt;&lt;secondary-title&gt;Journal of the Operational Research Society&lt;/secondary-title&gt;&lt;/titles&gt;&lt;periodical&gt;&lt;full-title&gt;Journal of the Operational Research Society&lt;/full-title&gt;&lt;/periodical&gt;&lt;pages&gt;321-332&lt;/pages&gt;&lt;dates&gt;&lt;year&gt;1992&lt;/year&gt;&lt;/dates&gt;&lt;isbn&gt;0160-5682&lt;/isbn&gt;&lt;urls&gt;&lt;/urls&gt;&lt;/record&gt;&lt;/Cite&gt;&lt;/EndNote&gt;</w:instrText>
      </w:r>
      <w:r w:rsidRPr="00F10391">
        <w:fldChar w:fldCharType="separate"/>
      </w:r>
      <w:r w:rsidR="00700267">
        <w:rPr>
          <w:noProof/>
        </w:rPr>
        <w:t>[199]</w:t>
      </w:r>
      <w:r w:rsidRPr="00F10391">
        <w:fldChar w:fldCharType="end"/>
      </w:r>
      <w:r w:rsidRPr="00F10391">
        <w:t xml:space="preserve">.  </w:t>
      </w:r>
    </w:p>
    <w:p w14:paraId="22EAE14A" w14:textId="77777777" w:rsidR="00D22CE3" w:rsidRPr="00F10391" w:rsidRDefault="00D22CE3">
      <w:r w:rsidRPr="00F10391">
        <w:t xml:space="preserve">Understanding the context, and better understanding the softer, human issues in decision-making, such as “information quality, credibility and trust” can mean that the harder questions of resource allocation can be dealt with more easily and with greater confidence </w:t>
      </w:r>
      <w:r w:rsidRPr="00F10391">
        <w:fldChar w:fldCharType="begin"/>
      </w:r>
      <w:r w:rsidR="00700267">
        <w:instrText xml:space="preserve"> ADDIN EN.CITE &lt;EndNote&gt;&lt;Cite&gt;&lt;Author&gt;Sharpe&lt;/Author&gt;&lt;Year&gt;1997&lt;/Year&gt;&lt;RecNum&gt;410&lt;/RecNum&gt;&lt;DisplayText&gt;[200]&lt;/DisplayText&gt;&lt;record&gt;&lt;rec-number&gt;410&lt;/rec-number&gt;&lt;foreign-keys&gt;&lt;key app="EN" db-id="sz9092dv2s5fpze9wpgx0zxgv5ar00aezrvf" timestamp="1459433391"&gt;410&lt;/key&gt;&lt;/foreign-keys&gt;&lt;ref-type name="Journal Article"&gt;17&lt;/ref-type&gt;&lt;contributors&gt;&lt;authors&gt;&lt;author&gt;Sharpe, Paul&lt;/author&gt;&lt;author&gt;Keelin, Tom&lt;/author&gt;&lt;/authors&gt;&lt;/contributors&gt;&lt;titles&gt;&lt;title&gt;How SmithKline Beecham makes better resource-allocation decisions&lt;/title&gt;&lt;secondary-title&gt;Harvard Business Review&lt;/secondary-title&gt;&lt;/titles&gt;&lt;periodical&gt;&lt;full-title&gt;Harvard Business Review&lt;/full-title&gt;&lt;/periodical&gt;&lt;pages&gt;45-6, 48, 50 passim&lt;/pages&gt;&lt;volume&gt;76&lt;/volume&gt;&lt;number&gt;2&lt;/number&gt;&lt;dates&gt;&lt;year&gt;1997&lt;/year&gt;&lt;/dates&gt;&lt;isbn&gt;0017-8012&lt;/isbn&gt;&lt;urls&gt;&lt;/urls&gt;&lt;/record&gt;&lt;/Cite&gt;&lt;/EndNote&gt;</w:instrText>
      </w:r>
      <w:r w:rsidRPr="00F10391">
        <w:fldChar w:fldCharType="separate"/>
      </w:r>
      <w:r w:rsidR="00700267">
        <w:rPr>
          <w:noProof/>
        </w:rPr>
        <w:t>[200]</w:t>
      </w:r>
      <w:r w:rsidRPr="00F10391">
        <w:fldChar w:fldCharType="end"/>
      </w:r>
      <w:r w:rsidRPr="00F10391">
        <w:t xml:space="preserve">. </w:t>
      </w:r>
    </w:p>
    <w:p w14:paraId="27D191C6" w14:textId="77777777" w:rsidR="00D22CE3" w:rsidRPr="00F10391" w:rsidRDefault="00D22CE3">
      <w:r w:rsidRPr="00F10391">
        <w:t xml:space="preserve">The role of the secondment was therefore to better understand the important, if somewhat intangible, contextual factors that would be likely to influence the practicality of any attempts at implementation of MCDA approaches in these settings later on. These were not likely to be articulated or codified in NICE’s manuals and other related literature, by definition. This chapter reports the key findings of this secondment and the related literature search. The remainder of this section gives some background and history of NICE, and a description of its basic functions. The following section (4.2) describes the formal processes used in producing guidance. Section 4.3 describes some of the practical challenges encountered in decision-making that became clear over the time on the secondment (and which are revisited in the next chapter), and the final section (4.4) offers conclusions. </w:t>
      </w:r>
    </w:p>
    <w:p w14:paraId="2DD2341E" w14:textId="77777777" w:rsidR="00D22CE3" w:rsidRPr="00F10391" w:rsidRDefault="00D22CE3"/>
    <w:p w14:paraId="74263EE8" w14:textId="77777777" w:rsidR="00D22CE3" w:rsidRPr="00F10391" w:rsidRDefault="00D22CE3">
      <w:pPr>
        <w:pStyle w:val="Heading3"/>
      </w:pPr>
      <w:bookmarkStart w:id="392" w:name="_Toc313523529"/>
      <w:bookmarkStart w:id="393" w:name="_Toc441508967"/>
      <w:bookmarkStart w:id="394" w:name="_Toc453235405"/>
      <w:bookmarkStart w:id="395" w:name="_Toc453595478"/>
      <w:bookmarkStart w:id="396" w:name="_Toc476241575"/>
      <w:r w:rsidRPr="00F10391">
        <w:t>4.1.2</w:t>
      </w:r>
      <w:r w:rsidRPr="00F10391">
        <w:tab/>
      </w:r>
      <w:r w:rsidRPr="00F10391">
        <w:tab/>
        <w:t>Background</w:t>
      </w:r>
      <w:bookmarkEnd w:id="392"/>
      <w:bookmarkEnd w:id="393"/>
      <w:bookmarkEnd w:id="394"/>
      <w:bookmarkEnd w:id="395"/>
      <w:bookmarkEnd w:id="396"/>
    </w:p>
    <w:p w14:paraId="7A484C94" w14:textId="77777777" w:rsidR="00D22CE3" w:rsidRPr="00F10391" w:rsidRDefault="00D22CE3">
      <w:r w:rsidRPr="00F10391">
        <w:t>NICE</w:t>
      </w:r>
      <w:r w:rsidRPr="00F10391">
        <w:rPr>
          <w:rStyle w:val="FootnoteReference"/>
        </w:rPr>
        <w:footnoteReference w:id="4"/>
      </w:r>
      <w:r w:rsidRPr="00F10391">
        <w:t xml:space="preserve"> was founded in 1999, to provide national-level guidance on both the effectiveness and cost-effectiveness of new health technologies in the NHS in order to address geographic variations in access </w:t>
      </w:r>
      <w:r w:rsidRPr="00F10391">
        <w:fldChar w:fldCharType="begin"/>
      </w:r>
      <w:r w:rsidR="00700267">
        <w:instrText xml:space="preserve"> ADDIN EN.CITE &lt;EndNote&gt;&lt;Cite&gt;&lt;Author&gt;Devlin&lt;/Author&gt;&lt;Year&gt;2004&lt;/Year&gt;&lt;RecNum&gt;36&lt;/RecNum&gt;&lt;DisplayText&gt;[201]&lt;/DisplayText&gt;&lt;record&gt;&lt;rec-number&gt;36&lt;/rec-number&gt;&lt;foreign-keys&gt;&lt;key app="EN" db-id="sz9092dv2s5fpze9wpgx0zxgv5ar00aezrvf" timestamp="0"&gt;36&lt;/key&gt;&lt;/fo</w:instrText>
      </w:r>
      <w:r w:rsidR="00700267">
        <w:rPr>
          <w:rFonts w:hint="eastAsia"/>
        </w:rPr>
        <w:instrText>reign-keys&gt;&lt;ref-type name="Journal Article"&gt;17&lt;/ref-type&gt;&lt;contributors&gt;&lt;authors&gt;&lt;author&gt;Devlin, Nancy&lt;/author&gt;&lt;author&gt;Parkin, David&lt;/author&gt;&lt;/authors&gt;&lt;/contributors&gt;&lt;titles&gt;&lt;title&gt;Does NICE have a cost</w:instrText>
      </w:r>
      <w:r w:rsidR="00700267">
        <w:rPr>
          <w:rFonts w:hint="eastAsia"/>
        </w:rPr>
        <w:instrText>‐</w:instrText>
      </w:r>
      <w:r w:rsidR="00700267">
        <w:rPr>
          <w:rFonts w:hint="eastAsia"/>
        </w:rPr>
        <w:instrText>effectiveness threshold and what other factors influe</w:instrText>
      </w:r>
      <w:r w:rsidR="00700267">
        <w:instrText>nce its decisions? A binary choice analysis&lt;/title&gt;&lt;secondary-title&gt;Health economics&lt;/secondary-title&gt;&lt;/titles&gt;&lt;periodical&gt;&lt;full-title&gt;Health economics&lt;/full-title&gt;&lt;/periodical&gt;&lt;pages&gt;437-452&lt;/pages&gt;&lt;volume&gt;13&lt;/volume&gt;&lt;number&gt;5&lt;/number&gt;&lt;dates&gt;&lt;year&gt;2004&lt;/year&gt;&lt;/dates&gt;&lt;isbn&gt;1099-1050&lt;/isbn&gt;&lt;urls&gt;&lt;related-urls&gt;&lt;url&gt;http://onlinelibrary.wiley.com/doi/10.1002/hec.864/abstract&lt;/url&gt;&lt;url&gt;http://onlinelibrary.wiley.com/store/10.1002/hec.864/asset/864_ftp.pdf?v=1&amp;amp;t=i4h49uku&amp;amp;s=d095e0323f25c531ff89fc772ab211ff0a57b728&lt;/url&gt;&lt;url&gt;http://onlinelibrary.wiley.com/doi/10.1002/hec.864/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[201]</w:t>
      </w:r>
      <w:r w:rsidRPr="00F10391">
        <w:fldChar w:fldCharType="end"/>
      </w:r>
      <w:r w:rsidRPr="00F10391">
        <w:t xml:space="preserve">. It aimed to curtail controversies around ‘postcode lotteries’ – geographic variations in access based upon the decisions of local trusts. In a nominally national health system these were considered by members of the public to be incongruous and unfair. Since this time it has “provided guidance for promotion of good health and treatment of ill health to the NHS and public health community” </w:t>
      </w:r>
      <w:r w:rsidRPr="00F10391">
        <w:fldChar w:fldCharType="begin"/>
      </w:r>
      <w:r w:rsidR="00700267">
        <w:instrText xml:space="preserve"> ADDIN EN.CITE &lt;EndNote&gt;&lt;Cite&gt;&lt;Author&gt;Rawlins&lt;/Author&gt;&lt;Year&gt;2009&lt;/Year&gt;&lt;RecNum&gt;114&lt;/RecNum&gt;&lt;DisplayText&gt;[28]&lt;/DisplayText&gt;&lt;record&gt;&lt;rec-number&gt;114&lt;/rec-number&gt;&lt;foreign-keys&gt;&lt;key app="EN" db-id="sz9092dv2s5fpze9wpgx0zxgv5ar00aezrvf" timestamp="0"&gt;114&lt;/key&gt;&lt;/foreign-keys&gt;&lt;ref-type name="Journal Article"&gt;17&lt;/ref-type&gt;&lt;contributors&gt;&lt;authors&gt;&lt;author&gt;Rawlins, Michael D&lt;/author&gt;&lt;/authors&gt;&lt;/contributors&gt;&lt;titles&gt;&lt;title&gt;The decade of NICE&lt;/title&gt;&lt;secondary-title&gt;The Lancet&lt;/secondary-title&gt;&lt;/titles&gt;&lt;pages&gt;351-352&lt;/pages&gt;&lt;volume&gt;374&lt;/volume&gt;&lt;number&gt;9686&lt;/number&gt;&lt;dates&gt;&lt;year&gt;2009&lt;/year&gt;&lt;/dates&gt;&lt;isbn&gt;0140-6736&lt;/isbn&gt;&lt;urls&gt;&lt;related-urls&gt;&lt;url&gt;http://www.thelancet.com/journals/lancet/article/PIIS0140-6736(09)60616-4/abstract&lt;/url&gt;&lt;url&gt;http://ac.els-cdn.com/S0140673609606164/1-s2.0-S0140673609606164-main.pdf?_tid=4c259e90-9359-11e4-a2cb-00000aab0f27&amp;amp;acdnat=1420297426_d7ccca0831ae136d242a1099fd1ca59b&lt;/url&gt;&lt;/related-urls&gt;&lt;/urls&gt;&lt;/record&gt;&lt;/Cite&gt;&lt;/EndNote&gt;</w:instrText>
      </w:r>
      <w:r w:rsidRPr="00F10391">
        <w:fldChar w:fldCharType="separate"/>
      </w:r>
      <w:r w:rsidR="00700267">
        <w:rPr>
          <w:noProof/>
        </w:rPr>
        <w:t>[28]</w:t>
      </w:r>
      <w:r w:rsidRPr="00F10391">
        <w:fldChar w:fldCharType="end"/>
      </w:r>
      <w:r w:rsidR="0041465A">
        <w:t xml:space="preserve"> (p.351)</w:t>
      </w:r>
      <w:r w:rsidRPr="00F10391">
        <w:t xml:space="preserve">. This guidance has tried to balance the competing aims of the health service, of which Aneurin Bevan once said “expectation will always exceed capacity” </w:t>
      </w:r>
      <w:r w:rsidRPr="00F10391">
        <w:fldChar w:fldCharType="begin"/>
      </w:r>
      <w:r w:rsidR="00700267">
        <w:instrText xml:space="preserve"> ADDIN EN.CITE &lt;EndNote&gt;&lt;Cite&gt;&lt;Author&gt;Rivett&lt;/Author&gt;&lt;Year&gt;2009&lt;/Year&gt;&lt;RecNum&gt;193&lt;/RecNum&gt;&lt;DisplayText&gt;[64]&lt;/DisplayText&gt;&lt;record&gt;&lt;rec-number&gt;193&lt;/rec-number&gt;&lt;foreign-keys&gt;&lt;key app="EN" db-id="sz9092dv2s5fpze9wpgx0zxgv5ar00aezrvf" timestamp="0"&gt;193&lt;/key&gt;&lt;/foreign-keys&gt;&lt;ref-type name="Web Page"&gt;12&lt;/ref-type&gt;&lt;contributors&gt;&lt;authors&gt;&lt;author&gt;Rivett, G&lt;/author&gt;&lt;/authors&gt;&lt;/contributors&gt;&lt;titles&gt;&lt;title&gt;NHS history&lt;/title&gt;&lt;/titles&gt;&lt;dates&gt;&lt;year&gt;2009&lt;/year&gt;&lt;/dates&gt;&lt;urls&gt;&lt;related-urls&gt;&lt;url&gt;http://www.nhshistory.net/shorthistory.htm&lt;/url&gt;&lt;/related-urls&gt;&lt;/urls&gt;&lt;/record&gt;&lt;/Cite&gt;&lt;/EndNote&gt;</w:instrText>
      </w:r>
      <w:r w:rsidRPr="00F10391">
        <w:fldChar w:fldCharType="separate"/>
      </w:r>
      <w:r w:rsidR="00700267">
        <w:rPr>
          <w:noProof/>
        </w:rPr>
        <w:t>[64]</w:t>
      </w:r>
      <w:r w:rsidRPr="00F10391">
        <w:fldChar w:fldCharType="end"/>
      </w:r>
      <w:r w:rsidRPr="00F10391">
        <w:t>.</w:t>
      </w:r>
    </w:p>
    <w:p w14:paraId="42AEC52C" w14:textId="11A9540D" w:rsidR="00D22CE3" w:rsidRPr="00F10391" w:rsidRDefault="00D22CE3">
      <w:r w:rsidRPr="00F10391">
        <w:t xml:space="preserve">The </w:t>
      </w:r>
      <w:r w:rsidRPr="00F10391">
        <w:rPr>
          <w:i/>
        </w:rPr>
        <w:t>National Institute for Clinical Excellence</w:t>
      </w:r>
      <w:r w:rsidRPr="00F10391">
        <w:t xml:space="preserve"> (as it was initially named) was described in the first health white paper published by the New Labour government </w:t>
      </w:r>
      <w:r w:rsidRPr="00F10391">
        <w:fldChar w:fldCharType="begin"/>
      </w:r>
      <w:r w:rsidR="00700267">
        <w:instrText xml:space="preserve"> ADDIN EN.CITE &lt;EndNote&gt;&lt;Cite&gt;&lt;Author&gt;Health&lt;/Author&gt;&lt;Year&gt;1997&lt;/Year&gt;&lt;RecNum&gt;34&lt;/RecNum&gt;&lt;DisplayText&gt;[202]&lt;/DisplayText&gt;&lt;record&gt;&lt;rec-number&gt;34&lt;/rec-number&gt;&lt;foreign-keys&gt;&lt;key app="EN" db-id="sz9092dv2s5fpze9wpgx0zxgv5ar00aezrvf" timestamp="0"&gt;34&lt;/key&gt;&lt;/foreign-keys&gt;&lt;ref-type name="Report"&gt;27&lt;/ref-type&gt;&lt;contributors&gt;&lt;authors&gt;&lt;author&gt;Department of Health,&lt;/author&gt;&lt;/authors&gt;&lt;/contributors&gt;&lt;titles&gt;&lt;title&gt;The new NHS: modern, dependable&lt;/title&gt;&lt;/titles&gt;&lt;dates&gt;&lt;year&gt;1997&lt;/year&gt;&lt;/dates&gt;&lt;pub-location&gt;London&lt;/pub-location&gt;&lt;publisher&gt;HM Stationery Office&lt;/publisher&gt;&lt;urls&gt;&lt;/urls&gt;&lt;/record&gt;&lt;/Cite&gt;&lt;/EndNote&gt;</w:instrText>
      </w:r>
      <w:r w:rsidRPr="00F10391">
        <w:fldChar w:fldCharType="separate"/>
      </w:r>
      <w:r w:rsidR="00700267">
        <w:rPr>
          <w:noProof/>
        </w:rPr>
        <w:t>[202]</w:t>
      </w:r>
      <w:r w:rsidRPr="00F10391">
        <w:fldChar w:fldCharType="end"/>
      </w:r>
      <w:r w:rsidRPr="00F10391">
        <w:t xml:space="preserve">, though health economic techniques had been applied in an increasingly organised fashion by the previous </w:t>
      </w:r>
      <w:r w:rsidRPr="00F10391">
        <w:lastRenderedPageBreak/>
        <w:t xml:space="preserve">administration. It aimed to tackle head-on the lack of coordination and the seeming arbitrariness of the health services offered in different health authorities and by different hospitals. While a degree of local autonomy continued, NICE aimed to ensure that (at the very least) the same basket of cost-effective interventions would be available everywhere in England and Wales. Upon its foundation, it consisted of a Chairman, 4 officers and 7 non-officers </w:t>
      </w:r>
      <w:r w:rsidRPr="00F10391">
        <w:fldChar w:fldCharType="begin"/>
      </w:r>
      <w:r w:rsidR="00700267">
        <w:instrText xml:space="preserve"> ADDIN EN.CITE &lt;EndNote&gt;&lt;Cite&gt;&lt;Author&gt;Executive&lt;/Author&gt;&lt;Year&gt;1999&lt;/Year&gt;&lt;RecNum&gt;101&lt;/RecNum&gt;&lt;DisplayText&gt;[203]&lt;/DisplayText&gt;&lt;record&gt;&lt;rec-number&gt;101&lt;/rec-number&gt;&lt;foreign-keys&gt;&lt;key app="EN" db-id="sz9092dv2s5fpze9wpgx0zxgv5ar00aezrvf" timestamp="0"&gt;101&lt;/key&gt;&lt;/foreign-keys&gt;&lt;ref-type name="Book"&gt;6&lt;/ref-type&gt;&lt;contributors&gt;&lt;authors&gt;&lt;author&gt;NHS Executive, &lt;/author&gt;&lt;/authors&gt;&lt;/contributors&gt;&lt;titles&gt;&lt;title&gt;&amp;quot; Faster Access to Modern Treatment&amp;quot;: How NICE Appraisal Will Work&lt;/title&gt;&lt;/titles&gt;&lt;dates&gt;&lt;year&gt;1999&lt;/year&gt;&lt;/dates&gt;&lt;publisher&gt;NHS Executive&lt;/publisher&gt;&lt;urls&gt;&lt;/urls&gt;&lt;/record&gt;&lt;/Cite&gt;&lt;/EndNote&gt;</w:instrText>
      </w:r>
      <w:r w:rsidRPr="00F10391">
        <w:fldChar w:fldCharType="separate"/>
      </w:r>
      <w:r w:rsidR="00700267">
        <w:rPr>
          <w:noProof/>
        </w:rPr>
        <w:t>[203]</w:t>
      </w:r>
      <w:r w:rsidRPr="00F10391">
        <w:fldChar w:fldCharType="end"/>
      </w:r>
      <w:r w:rsidRPr="00F10391">
        <w:t xml:space="preserve">. When Frank Dobson, then Secretary of State for Health, was asked if it would work, he said “Probably not, but it’s worth a bloody good try” </w:t>
      </w:r>
      <w:r w:rsidRPr="00F10391">
        <w:fldChar w:fldCharType="begin"/>
      </w:r>
      <w:r w:rsidR="00700267">
        <w:instrText xml:space="preserve"> ADDIN EN.CITE &lt;EndNote&gt;&lt;Cite&gt;&lt;Author&gt;Rawlins&lt;/Author&gt;&lt;Year&gt;2009&lt;/Year&gt;&lt;RecNum&gt;114&lt;/RecNum&gt;&lt;DisplayText&gt;[28]&lt;/DisplayText&gt;&lt;record&gt;&lt;rec-number&gt;114&lt;/rec-number&gt;&lt;foreign-keys&gt;&lt;key app="EN" db-id="sz9092dv2s5fpze9wpgx0zxgv5ar00aezrvf" timestamp="0"&gt;114&lt;/key&gt;&lt;/foreign-keys&gt;&lt;ref-type name="Journal Article"&gt;17&lt;/ref-type&gt;&lt;contributors&gt;&lt;authors&gt;&lt;author&gt;Rawlins, Michael D&lt;/author&gt;&lt;/authors&gt;&lt;/contributors&gt;&lt;titles&gt;&lt;title&gt;The decade of NICE&lt;/title&gt;&lt;secondary-title&gt;The Lancet&lt;/secondary-title&gt;&lt;/titles&gt;&lt;pages&gt;351-352&lt;/pages&gt;&lt;volume&gt;374&lt;/volume&gt;&lt;number&gt;9686&lt;/number&gt;&lt;dates&gt;&lt;year&gt;2009&lt;/year&gt;&lt;/dates&gt;&lt;isbn&gt;0140-6736&lt;/isbn&gt;&lt;urls&gt;&lt;related-urls&gt;&lt;url&gt;http://www.thelancet.com/journals/lancet/article/PIIS0140-6736(09)60616-4/abstract&lt;/url&gt;&lt;url&gt;http://ac.els-cdn.com/S0140673609606164/1-s2.0-S0140673609606164-main.pdf?_tid=4c259e90-9359-11e4-a2cb-00000aab0f27&amp;amp;acdnat=1420297426_d7ccca0831ae136d242a1099fd1ca59b&lt;/url&gt;&lt;/related-urls&gt;&lt;/urls&gt;&lt;/record&gt;&lt;/Cite&gt;&lt;/EndNote&gt;</w:instrText>
      </w:r>
      <w:r w:rsidRPr="00F10391">
        <w:fldChar w:fldCharType="separate"/>
      </w:r>
      <w:r w:rsidR="00700267">
        <w:rPr>
          <w:noProof/>
        </w:rPr>
        <w:t>[28]</w:t>
      </w:r>
      <w:r w:rsidRPr="00F10391">
        <w:fldChar w:fldCharType="end"/>
      </w:r>
      <w:r w:rsidR="0041465A">
        <w:t xml:space="preserve"> (p.352)</w:t>
      </w:r>
      <w:r w:rsidR="003A7904">
        <w:t>.</w:t>
      </w:r>
    </w:p>
    <w:p w14:paraId="45CF091E" w14:textId="77777777" w:rsidR="00D22CE3" w:rsidRPr="00F10391" w:rsidRDefault="00D22CE3">
      <w:r w:rsidRPr="00F10391">
        <w:t xml:space="preserve">NICE’s founding represented “an economist’s-dream-come-true” </w:t>
      </w:r>
      <w:r w:rsidRPr="00F10391">
        <w:fldChar w:fldCharType="begin"/>
      </w:r>
      <w:r w:rsidR="00700267">
        <w:instrText xml:space="preserve"> ADDIN EN.CITE &lt;EndNote&gt;&lt;Cite&gt;&lt;Author&gt;Williams&lt;/Author&gt;&lt;Year&gt;2004&lt;/Year&gt;&lt;RecNum&gt;155&lt;/RecNum&gt;&lt;DisplayText&gt;[104]&lt;/DisplayText&gt;&lt;record&gt;&lt;rec-number&gt;155&lt;/rec-number&gt;&lt;foreign-keys&gt;&lt;key app="EN" db-id="sz9092dv2s5fpze9wpgx0zxgv5ar00aezrvf" timestamp="0"&gt;155&lt;/key&gt;&lt;/foreign-keys&gt;&lt;ref-type name="Book"&gt;6&lt;/ref-type&gt;&lt;contributors&gt;&lt;authors&gt;&lt;author&gt;Williams, Alan&lt;/author&gt;&lt;/authors&gt;&lt;/contributors&gt;&lt;titles&gt;&lt;title&gt;What could be nicer than NICE?&lt;/title&gt;&lt;/titles&gt;&lt;dates&gt;&lt;year&gt;2004&lt;/year&gt;&lt;/dates&gt;&lt;publisher&gt;Office for Health Economics&lt;/publisher&gt;&lt;isbn&gt;189904003X&lt;/isbn&gt;&lt;urls&gt;&lt;/urls&gt;&lt;/record&gt;&lt;/Cite&gt;&lt;/EndNote&gt;</w:instrText>
      </w:r>
      <w:r w:rsidRPr="00F10391">
        <w:fldChar w:fldCharType="separate"/>
      </w:r>
      <w:r w:rsidR="00700267">
        <w:rPr>
          <w:noProof/>
        </w:rPr>
        <w:t>[104]</w:t>
      </w:r>
      <w:r w:rsidRPr="00F10391">
        <w:fldChar w:fldCharType="end"/>
      </w:r>
      <w:r w:rsidRPr="00F10391">
        <w:t xml:space="preserve"> </w:t>
      </w:r>
      <w:r w:rsidR="003A7904">
        <w:t xml:space="preserve">(p.3) </w:t>
      </w:r>
      <w:r w:rsidRPr="00F10391">
        <w:t xml:space="preserve">and a coming of age for evidence-based approaches, which had been argued for since the 1970s by Cochrane </w:t>
      </w:r>
      <w:r w:rsidRPr="00F10391">
        <w:fldChar w:fldCharType="begin"/>
      </w:r>
      <w:r w:rsidR="00700267">
        <w:instrText xml:space="preserve"> ADDIN EN.CITE &lt;EndNote&gt;&lt;Cite&gt;&lt;Author&gt;Cochrane&lt;/Author&gt;&lt;Year&gt;1972&lt;/Year&gt;&lt;RecNum&gt;24&lt;/RecNum&gt;&lt;DisplayText&gt;[43]&lt;/DisplayText&gt;&lt;record&gt;&lt;rec-number&gt;24&lt;/rec-number&gt;&lt;foreign-keys&gt;&lt;key app="EN" db-id="sz9092dv2s5fpze9wpgx0zxgv5ar00aezrvf" timestamp="0"&gt;24&lt;/key&gt;&lt;/foreign-keys&gt;&lt;ref-type name="Book"&gt;6&lt;/ref-type&gt;&lt;contributors&gt;&lt;authors&gt;&lt;author&gt;Cochrane, Archibald Leman&lt;/author&gt;&lt;author&gt;Fellowship, Rock Carling&lt;/author&gt;&lt;/authors&gt;&lt;/contributors&gt;&lt;titles&gt;&lt;title&gt;Effectiveness and efficiency: random reflections on health services&lt;/title&gt;&lt;/titles&gt;&lt;volume&gt;900574178&lt;/volume&gt;&lt;section&gt;82&lt;/section&gt;&lt;dates&gt;&lt;year&gt;1972&lt;/year&gt;&lt;/dates&gt;&lt;publisher&gt;Nuffield Provincial Hospitals Trust London&lt;/publisher&gt;&lt;urls&gt;&lt;/urls&gt;&lt;/record&gt;&lt;/Cite&gt;&lt;/EndNote&gt;</w:instrText>
      </w:r>
      <w:r w:rsidRPr="00F10391">
        <w:fldChar w:fldCharType="separate"/>
      </w:r>
      <w:r w:rsidR="00700267">
        <w:rPr>
          <w:noProof/>
        </w:rPr>
        <w:t>[43]</w:t>
      </w:r>
      <w:r w:rsidRPr="00F10391">
        <w:fldChar w:fldCharType="end"/>
      </w:r>
      <w:r w:rsidRPr="00F10391">
        <w:t xml:space="preserve"> and others. It also addressed Bevan’s concerns at a governmental level, in recognising that resources available, financially and otherwise, are limited. The economic approaches used can inform decision-makers of the consequences of recommended interventions, as free as possible from direct political intervention. As Maynard </w:t>
      </w:r>
      <w:r w:rsidRPr="00F10391">
        <w:fldChar w:fldCharType="begin"/>
      </w:r>
      <w:r w:rsidR="00700267">
        <w:instrText xml:space="preserve"> ADDIN EN.CITE &lt;EndNote&gt;&lt;Cite&gt;&lt;Author&gt;Maynard&lt;/Author&gt;&lt;Year&gt;1994&lt;/Year&gt;&lt;RecNum&gt;93&lt;/RecNum&gt;&lt;DisplayText&gt;[94]&lt;/DisplayText&gt;&lt;record&gt;&lt;rec-number&gt;93&lt;/rec-number&gt;&lt;foreign-keys&gt;&lt;key app="EN" db-id="sz9092dv2s5fpze9wpgx0zxgv5ar00aezrvf" timestamp="0"&gt;93&lt;/key&gt;&lt;/foreign-keys&gt;&lt;ref-type name="Journal Article"&gt;17&lt;/ref-type&gt;&lt;contributors&gt;&lt;authors&gt;&lt;author&gt;Maynard, Alan&lt;/author&gt;&lt;/authors&gt;&lt;/contributors&gt;&lt;titles&gt;&lt;title&gt;Prioritising health care—dreams and reality&lt;/title&gt;&lt;secondary-title&gt;Setting priorities in health care. Wiley: Chichester&lt;/secondary-title&gt;&lt;/titles&gt;&lt;pages&gt;1-18&lt;/pages&gt;&lt;dates&gt;&lt;year&gt;1994&lt;/year&gt;&lt;/dates&gt;&lt;urls&gt;&lt;/urls&gt;&lt;/record&gt;&lt;/Cite&gt;&lt;/EndNote&gt;</w:instrText>
      </w:r>
      <w:r w:rsidRPr="00F10391">
        <w:fldChar w:fldCharType="separate"/>
      </w:r>
      <w:r w:rsidR="00700267">
        <w:rPr>
          <w:noProof/>
        </w:rPr>
        <w:t>[94]</w:t>
      </w:r>
      <w:r w:rsidRPr="00F10391">
        <w:fldChar w:fldCharType="end"/>
      </w:r>
      <w:r w:rsidRPr="00F10391">
        <w:t xml:space="preserve"> stated, such health economic approaches “should be welcomed as a challenge to the covert, imprecise and inconsistent practice of prioritisation which exists in all healthcare systems today”</w:t>
      </w:r>
      <w:r w:rsidR="00CB52C4">
        <w:t xml:space="preserve"> (quoted in Phillips </w:t>
      </w:r>
      <w:r w:rsidR="00CB52C4">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CB52C4">
        <w:fldChar w:fldCharType="separate"/>
      </w:r>
      <w:r w:rsidR="00700267">
        <w:rPr>
          <w:noProof/>
        </w:rPr>
        <w:t>[46]</w:t>
      </w:r>
      <w:r w:rsidR="00CB52C4">
        <w:fldChar w:fldCharType="end"/>
      </w:r>
      <w:r w:rsidR="00CB52C4">
        <w:t xml:space="preserve"> (p.13))</w:t>
      </w:r>
      <w:r w:rsidRPr="00F10391">
        <w:t xml:space="preserve">. NICE has faced widespread scrutiny </w:t>
      </w:r>
      <w:r w:rsidRPr="00F10391">
        <w:fldChar w:fldCharType="begin"/>
      </w:r>
      <w:r w:rsidR="00700267">
        <w:instrText xml:space="preserve"> ADDIN EN.CITE &lt;EndNote&gt;&lt;Cite&gt;&lt;Author&gt;Steinbrook&lt;/Author&gt;&lt;Year&gt;2008&lt;/Year&gt;&lt;RecNum&gt;442&lt;/RecNum&gt;&lt;DisplayText&gt;[204]&lt;/DisplayText&gt;&lt;record&gt;&lt;rec-number&gt;442&lt;/rec-number&gt;&lt;foreign-keys&gt;&lt;key app="EN" db-id="sz9092dv2s5fpze9wpgx0zxgv5ar00aezrvf" timestamp="1465730000"&gt;442&lt;/key&gt;&lt;/foreign-keys&gt;&lt;ref-type name="Journal Article"&gt;17&lt;/ref-type&gt;&lt;contributors&gt;&lt;authors&gt;&lt;author&gt;Steinbrook, Robert&lt;/author&gt;&lt;/authors&gt;&lt;/contributors&gt;&lt;titles&gt;&lt;title&gt;Saying no isn&amp;apos;t NICE—the travails of Britain&amp;apos;s National Institute for Health and Clinical Excellence&lt;/title&gt;&lt;secondary-title&gt;New England Journal of Medicine&lt;/secondary-title&gt;&lt;/titles&gt;&lt;periodical&gt;&lt;full-title&gt;New England Journal of Medicine&lt;/full-title&gt;&lt;/periodical&gt;&lt;pages&gt;1977-1981&lt;/pages&gt;&lt;volume&gt;359&lt;/volume&gt;&lt;number&gt;19&lt;/number&gt;&lt;dates&gt;&lt;year&gt;2008&lt;/year&gt;&lt;/dates&gt;&lt;isbn&gt;0028-4793&lt;/isbn&gt;&lt;urls&gt;&lt;/urls&gt;&lt;/record&gt;&lt;/Cite&gt;&lt;/EndNote&gt;</w:instrText>
      </w:r>
      <w:r w:rsidRPr="00F10391">
        <w:fldChar w:fldCharType="separate"/>
      </w:r>
      <w:r w:rsidR="00700267">
        <w:rPr>
          <w:noProof/>
        </w:rPr>
        <w:t>[204]</w:t>
      </w:r>
      <w:r w:rsidRPr="00F10391">
        <w:fldChar w:fldCharType="end"/>
      </w:r>
      <w:r w:rsidRPr="00F10391">
        <w:t xml:space="preserve">, but the organisation’s reputation has grown since its foundation. Some praise has been more hyperbolic than others; “NICE may prove to be one of Britain's greatest cultural exports, along with Shakespeare, Newtonian physics, the Beatles, Harry Potter, and the Teletubbies” </w:t>
      </w:r>
      <w:r w:rsidRPr="00F10391">
        <w:fldChar w:fldCharType="begin"/>
      </w:r>
      <w:r w:rsidR="00700267">
        <w:instrText xml:space="preserve"> ADDIN EN.CITE &lt;EndNote&gt;&lt;Cite&gt;&lt;Author&gt;Smith&lt;/Author&gt;&lt;Year&gt;2004&lt;/Year&gt;&lt;RecNum&gt;137&lt;/RecNum&gt;&lt;DisplayText&gt;[205]&lt;/DisplayText&gt;&lt;record&gt;&lt;rec-number&gt;137&lt;/rec-number&gt;&lt;foreign-keys&gt;&lt;key app="EN" db-id="sz9092dv2s5fpze9wpgx0zxgv5ar00aezrvf" timestamp="0"&gt;137&lt;/key&gt;&lt;/foreign-keys&gt;&lt;ref-type name="Journal Article"&gt;17&lt;/ref-type&gt;&lt;contributors&gt;&lt;authors&gt;&lt;author&gt;Smith, Richard&lt;/author&gt;&lt;/authors&gt;&lt;/contributors&gt;&lt;titles&gt;&lt;title&gt;The triumph of NICE&lt;/title&gt;&lt;secondary-title&gt;BMJ&lt;/secondary-title&gt;&lt;/titles&gt;&lt;volume&gt;329&lt;/volume&gt;&lt;number&gt;7459&lt;/number&gt;&lt;dates&gt;&lt;year&gt;2004&lt;/year&gt;&lt;/dates&gt;&lt;isbn&gt;0959-8138&lt;/isbn&gt;&lt;urls&gt;&lt;/urls&gt;&lt;/record&gt;&lt;/Cite&gt;&lt;/EndNote&gt;</w:instrText>
      </w:r>
      <w:r w:rsidRPr="00F10391">
        <w:fldChar w:fldCharType="separate"/>
      </w:r>
      <w:r w:rsidR="00700267">
        <w:rPr>
          <w:noProof/>
        </w:rPr>
        <w:t>[205]</w:t>
      </w:r>
      <w:r w:rsidRPr="00F10391">
        <w:fldChar w:fldCharType="end"/>
      </w:r>
      <w:r w:rsidR="0041465A">
        <w:t xml:space="preserve"> (p.2)</w:t>
      </w:r>
      <w:r w:rsidRPr="00F10391">
        <w:t>. An indication of its growing standing has been its continually expanding remit since.</w:t>
      </w:r>
    </w:p>
    <w:p w14:paraId="329D9F76" w14:textId="77777777" w:rsidR="00D22CE3" w:rsidRPr="00F10391" w:rsidRDefault="00D22CE3">
      <w:r w:rsidRPr="00F10391">
        <w:t xml:space="preserve">Clinical guidelines have been provided since 2001, which recommend appropriate treatment for specific diseases. In 2005 NICE merged with the Health Development Agency and became the </w:t>
      </w:r>
      <w:r w:rsidRPr="00F10391">
        <w:rPr>
          <w:i/>
        </w:rPr>
        <w:t>National Institute for Health and Clinical Excellence</w:t>
      </w:r>
      <w:r w:rsidRPr="00F10391">
        <w:t xml:space="preserve">. In doing so it took on a responsibility for public health guidance with the foundation of the CPH.  In 2008, NICE International was founded on a non-profit basis, in order to advise governments around the world on how to build capacity within their health services to evaluate evidence critically. </w:t>
      </w:r>
    </w:p>
    <w:p w14:paraId="63FB4A5B" w14:textId="77777777" w:rsidR="00D22CE3" w:rsidRPr="00F10391" w:rsidRDefault="00D22CE3">
      <w:r w:rsidRPr="00F10391">
        <w:t xml:space="preserve">With the Health and Social Care Act 2012 </w:t>
      </w:r>
      <w:r w:rsidRPr="00F10391">
        <w:fldChar w:fldCharType="begin"/>
      </w:r>
      <w:r w:rsidR="00700267">
        <w:instrText xml:space="preserve"> ADDIN EN.CITE &lt;EndNote&gt;&lt;Cite&gt;&lt;Author&gt;UK Government&lt;/Author&gt;&lt;Year&gt;2012&lt;/Year&gt;&lt;RecNum&gt;172&lt;/RecNum&gt;&lt;DisplayText&gt;[17]&lt;/DisplayText&gt;&lt;record&gt;&lt;rec-number&gt;172&lt;/rec-number&gt;&lt;foreign-keys&gt;&lt;key app="EN" db-id="sz9092dv2s5fpze9wpgx0zxgv5ar00aezrvf" timestamp="0"&gt;172&lt;/key&gt;&lt;/foreign-keys&gt;&lt;ref-type name="Report"&gt;27&lt;/ref-type&gt;&lt;contributors&gt;&lt;authors&gt;&lt;author&gt;UK Government,&lt;/author&gt;&lt;/authors&gt;&lt;/contributors&gt;&lt;titles&gt;&lt;title&gt;The Health and Social Care Act&lt;/title&gt;&lt;/titles&gt;&lt;dates&gt;&lt;year&gt;2012&lt;/year&gt;&lt;/dates&gt;&lt;pub-location&gt;London&lt;/pub-location&gt;&lt;publisher&gt;Stationery Office&lt;/publisher&gt;&lt;urls&gt;&lt;related-urls&gt;&lt;url&gt;Available at http://www.legislation.gov.uk/ukpga/2012/7/contents/enacted&lt;/url&gt;&lt;/related-urls&gt;&lt;/urls&gt;&lt;access-date&gt;15 October 2014&lt;/access-date&gt;&lt;/record&gt;&lt;/Cite&gt;&lt;/EndNote&gt;</w:instrText>
      </w:r>
      <w:r w:rsidRPr="00F10391">
        <w:fldChar w:fldCharType="separate"/>
      </w:r>
      <w:r w:rsidR="00700267">
        <w:rPr>
          <w:noProof/>
        </w:rPr>
        <w:t>[17]</w:t>
      </w:r>
      <w:r w:rsidRPr="00F10391">
        <w:fldChar w:fldCharType="end"/>
      </w:r>
      <w:r w:rsidRPr="00F10391">
        <w:t xml:space="preserve"> it was again renamed, to the </w:t>
      </w:r>
      <w:r w:rsidRPr="00F10391">
        <w:rPr>
          <w:i/>
        </w:rPr>
        <w:t xml:space="preserve">National Institute for Health and Care Excellence. </w:t>
      </w:r>
      <w:r w:rsidRPr="00F10391">
        <w:t>It now has further responsibility for developing guidance and quality standards for social care. It is no longer formally part of the NHS and is now a ‘non-departmental public body’ (or ‘</w:t>
      </w:r>
      <w:r w:rsidRPr="00F10391">
        <w:rPr>
          <w:i/>
        </w:rPr>
        <w:t>quango’</w:t>
      </w:r>
      <w:r w:rsidRPr="00F10391">
        <w:t xml:space="preserve">). While answerable to the Department of Health, it now has a statutory grounding to operate at arm’s length from ministerial interference and has much further protection from dissolution at the whim of the Minister </w:t>
      </w:r>
      <w:r w:rsidRPr="00F10391">
        <w:fldChar w:fldCharType="begin"/>
      </w:r>
      <w:r w:rsidR="00700267">
        <w:instrText xml:space="preserve"> ADDIN EN.CITE &lt;EndNote&gt;&lt;Cite&gt;&lt;Author&gt;Rawlins&lt;/Author&gt;&lt;Year&gt;2013&lt;/Year&gt;&lt;RecNum&gt;443&lt;/RecNum&gt;&lt;DisplayText&gt;[206]&lt;/DisplayText&gt;&lt;record&gt;&lt;rec-number&gt;443&lt;/rec-number&gt;&lt;foreign-keys&gt;&lt;key app="EN" db-id="sz9092dv2s5fpze9wpgx0zxgv5ar00aezrvf" timestamp="1465730661"&gt;443&lt;/key&gt;&lt;/foreign-keys&gt;&lt;ref-type name="Journal Article"&gt;17&lt;/ref-type&gt;&lt;contributors&gt;&lt;authors&gt;&lt;author&gt;Rawlins, Michael D&lt;/author&gt;&lt;author&gt;Dillon, Andrew&lt;/author&gt;&lt;author&gt;Leng, Gillian&lt;/author&gt;&lt;/authors&gt;&lt;/contributors&gt;&lt;titles&gt;&lt;title&gt;What&amp;apos;s happening at NICE?&lt;/title&gt;&lt;secondary-title&gt;Clinical medicine&lt;/secondary-title&gt;&lt;/titles&gt;&lt;periodical&gt;&lt;full-title&gt;Clinical medicine&lt;/full-title&gt;&lt;/periodical&gt;&lt;pages&gt;13-18&lt;/pages&gt;&lt;volume&gt;13&lt;/volume&gt;&lt;number&gt;1&lt;/number&gt;&lt;dates&gt;&lt;year&gt;2013&lt;/year&gt;&lt;/dates&gt;&lt;isbn&gt;1470-2118&lt;/isbn&gt;&lt;urls&gt;&lt;/urls&gt;&lt;/record&gt;&lt;/Cite&gt;&lt;/EndNote&gt;</w:instrText>
      </w:r>
      <w:r w:rsidRPr="00F10391">
        <w:fldChar w:fldCharType="separate"/>
      </w:r>
      <w:r w:rsidR="00700267">
        <w:rPr>
          <w:noProof/>
        </w:rPr>
        <w:t>[206]</w:t>
      </w:r>
      <w:r w:rsidRPr="00F10391">
        <w:fldChar w:fldCharType="end"/>
      </w:r>
    </w:p>
    <w:p w14:paraId="3A6072C1" w14:textId="77777777" w:rsidR="00D22CE3" w:rsidRPr="00F10391" w:rsidRDefault="00D22CE3">
      <w:r w:rsidRPr="00F10391">
        <w:t xml:space="preserve">As its role has expanded, varying approaches to developing guidance have been required, and it has differing responsibilities and powers in different directorates. The NHS and its local subsidiaries are obligated legally to follow guidance prepared for technology appraisal </w:t>
      </w:r>
      <w:r w:rsidRPr="00F10391">
        <w:fldChar w:fldCharType="begin"/>
      </w:r>
      <w:r w:rsidR="00700267">
        <w:instrText xml:space="preserve"> ADDIN EN.CITE &lt;EndNote&gt;&lt;Cite&gt;&lt;Author&gt;NICE&lt;/Author&gt;&lt;Year&gt;2013&lt;/Year&gt;&lt;RecNum&gt;191&lt;/RecNum&gt;&lt;DisplayText&gt;[207]&lt;/DisplayText&gt;&lt;record&gt;&lt;rec-number&gt;191&lt;/rec-number&gt;&lt;foreign-keys&gt;&lt;key app="EN" db-id="sz9092dv2s5fpze9wpgx0zxgv5ar00aezrvf" timestamp="0"&gt;191&lt;/key&gt;&lt;/foreign-keys&gt;&lt;ref-type name="Web Page"&gt;12&lt;/ref-type&gt;&lt;contributors&gt;&lt;authors&gt;&lt;author&gt;NICE&lt;/author&gt;&lt;/authors&gt;&lt;/contributors&gt;&lt;titles&gt;&lt;title&gt;NICE Charter&lt;/title&gt;&lt;/titles&gt;&lt;volume&gt;2014&lt;/volume&gt;&lt;number&gt;24 August 2014&lt;/number&gt;&lt;dates&gt;&lt;year&gt;2013&lt;/year&gt;&lt;/dates&gt;&lt;urls&gt;&lt;related-urls&gt;&lt;url&gt;http://www.nice.org.uk/Media/Default/About/Who-we-are/NICE_Charter.pdf&lt;/url&gt;&lt;/related-urls&gt;&lt;/urls&gt;&lt;/record&gt;&lt;/Cite&gt;&lt;/EndNote&gt;</w:instrText>
      </w:r>
      <w:r w:rsidRPr="00F10391">
        <w:fldChar w:fldCharType="separate"/>
      </w:r>
      <w:r w:rsidR="00700267">
        <w:rPr>
          <w:noProof/>
        </w:rPr>
        <w:t>[207]</w:t>
      </w:r>
      <w:r w:rsidRPr="00F10391">
        <w:fldChar w:fldCharType="end"/>
      </w:r>
      <w:r w:rsidRPr="00F10391">
        <w:t>. But elsewhere the situation is more complicated.</w:t>
      </w:r>
    </w:p>
    <w:p w14:paraId="211F2CF5" w14:textId="77777777" w:rsidR="00D22CE3" w:rsidRPr="00F10391" w:rsidRDefault="00D22CE3">
      <w:r w:rsidRPr="00F10391">
        <w:t xml:space="preserve">With the Health and Social Care Act, public health in England became the responsibility of local authorities, rather than locally organised NHS Primary Care Trusts, leading to a number of consequences. Decision-makers will now be more accountable to the democratic process and to their constituents, though there remains a reasonable expectation that local authorities will comply with any guidance published </w:t>
      </w:r>
      <w:r w:rsidRPr="00F10391">
        <w:fldChar w:fldCharType="begin"/>
      </w:r>
      <w:r w:rsidR="00700267">
        <w:instrText xml:space="preserve"> ADDIN EN.CITE &lt;EndNote&gt;&lt;Cite&gt;&lt;Author&gt;Board&lt;/Author&gt;&lt;Year&gt;2013&lt;/Year&gt;&lt;RecNum&gt;386&lt;/RecNum&gt;&lt;DisplayText&gt;[84]&lt;/DisplayText&gt;&lt;record&gt;&lt;rec-number&gt;386&lt;/rec-number&gt;&lt;foreign-keys&gt;&lt;key app="EN" db-id="sz9092dv2s5fpze9wpgx0zxgv5ar00aezrvf" timestamp="1457540763"&gt;386&lt;/key&gt;&lt;/foreign-keys&gt;&lt;ref-type name="Generic"&gt;13&lt;/ref-type&gt;&lt;contributors&gt;&lt;authors&gt;&lt;author&gt;NHS Commissioning Board,&lt;/author&gt;&lt;/authors&gt;&lt;/contributors&gt;&lt;titles&gt;&lt;title&gt;Commissioning policy: implementation and funding of NICE guidance&lt;/title&gt;&lt;/titles&gt;&lt;dates&gt;&lt;year&gt;2013&lt;/year&gt;&lt;/dates&gt;&lt;urls&gt;&lt;/urls&gt;&lt;/record&gt;&lt;/Cite&gt;&lt;/EndNote&gt;</w:instrText>
      </w:r>
      <w:r w:rsidRPr="00F10391">
        <w:fldChar w:fldCharType="separate"/>
      </w:r>
      <w:r w:rsidR="00700267">
        <w:rPr>
          <w:noProof/>
        </w:rPr>
        <w:t>[84]</w:t>
      </w:r>
      <w:r w:rsidRPr="00F10391">
        <w:fldChar w:fldCharType="end"/>
      </w:r>
      <w:r w:rsidRPr="00F10391">
        <w:t xml:space="preserve">. There are also issues about how to define what constitutes a public health intervention at local government level </w:t>
      </w:r>
      <w:r w:rsidRPr="00F10391">
        <w:fldChar w:fldCharType="begin"/>
      </w:r>
      <w:r w:rsidR="00700267">
        <w:instrText xml:space="preserve"> ADDIN EN.CITE &lt;EndNote&gt;&lt;Cite&gt;&lt;Author&gt;Marks&lt;/Author&gt;&lt;Year&gt;2013&lt;/Year&gt;&lt;RecNum&gt;179&lt;/RecNum&gt;&lt;DisplayText&gt;[138]&lt;/DisplayText&gt;&lt;record&gt;&lt;rec-number&gt;179&lt;/rec-number&gt;&lt;foreign-keys&gt;&lt;key app="EN" db-id="sz9092dv2s5fpze9wpgx0zxgv5ar00aezrvf" timestamp="0"&gt;179&lt;/key&gt;&lt;/foreign-keys&gt;&lt;ref-type name="Report"&gt;27&lt;/ref-type&gt;&lt;contributors&gt;&lt;authors&gt;&lt;author&gt;Marks, L; Ormston, C; Hunter, DJ; Thokala, P; Payne, N; Salway, S; Vale, L; Gray, J; McCafferty, S&lt;/author&gt;&lt;/authors&gt;&lt;/contributors&gt;&lt;titles&gt;&lt;title&gt;Prioritising public health interventions in local authorities: a scoping study of approaches for decision support&lt;/title&gt;&lt;/titles&gt;&lt;volume&gt;Durham University&lt;/volume&gt;&lt;dates&gt;&lt;year&gt;2013&lt;/year&gt;&lt;/dates&gt;&lt;publisher&gt;Durham&lt;/publisher&gt;&lt;urls&gt;&lt;related-urls&gt;&lt;url&gt;https://www.dur.ac.uk/public.health/projects/shiftingthegravity/information/ &lt;/url&gt;&lt;/related-urls&gt;&lt;/urls&gt;&lt;access-date&gt;1 February 2014&lt;/access-date&gt;&lt;/record&gt;&lt;/Cite&gt;&lt;/EndNote&gt;</w:instrText>
      </w:r>
      <w:r w:rsidRPr="00F10391">
        <w:fldChar w:fldCharType="separate"/>
      </w:r>
      <w:r w:rsidR="00700267">
        <w:rPr>
          <w:noProof/>
        </w:rPr>
        <w:t>[138]</w:t>
      </w:r>
      <w:r w:rsidRPr="00F10391">
        <w:fldChar w:fldCharType="end"/>
      </w:r>
      <w:r w:rsidRPr="00F10391">
        <w:t xml:space="preserve">, while routes of provision may vary around the country </w:t>
      </w:r>
      <w:r w:rsidRPr="00F10391">
        <w:fldChar w:fldCharType="begin"/>
      </w:r>
      <w:r w:rsidR="00700267">
        <w:instrText xml:space="preserve"> ADDIN EN.CITE &lt;EndNote&gt;&lt;Cite&gt;&lt;Author&gt;Fischer&lt;/Author&gt;&lt;Year&gt;2012&lt;/Year&gt;&lt;RecNum&gt;175&lt;/RecNum&gt;&lt;DisplayText&gt;[182]&lt;/DisplayText&gt;&lt;record&gt;&lt;rec-number&gt;175&lt;/rec-number&gt;&lt;foreign-keys&gt;&lt;key app="EN" db-id="sz9092dv2s5fpze9wpgx0zxgv5ar00aezrvf" timestamp="0"&gt;175&lt;/key&gt;&lt;/foreign-keys&gt;&lt;ref-type name="Report"&gt;27&lt;/ref-type&gt;&lt;contributors&gt;&lt;authors&gt;&lt;author&gt;Fischer, A; Phillips, C; Varney, J&lt;/author&gt;&lt;/authors&gt;&lt;/contributors&gt;&lt;titles&gt;&lt;title&gt;Obesity – working with local communities economic modelling; Cost-effectiveness analysis in partnership working for reducing obesity and other long-term conditions. &lt;/title&gt;&lt;secondary-title&gt;Obesity – working with local communities&lt;/secondary-title&gt;&lt;/titles&gt;&lt;dates&gt;&lt;year&gt;2012&lt;/year&gt;&lt;/dates&gt;&lt;pub-location&gt;London&lt;/pub-location&gt;&lt;publisher&gt;National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[182]</w:t>
      </w:r>
      <w:r w:rsidRPr="00F10391">
        <w:fldChar w:fldCharType="end"/>
      </w:r>
      <w:r w:rsidRPr="00F10391">
        <w:t xml:space="preserve">, posing challenges regarding the public health budgets available. NICE has tried to address this by committing to working with local </w:t>
      </w:r>
      <w:r w:rsidRPr="00F10391">
        <w:lastRenderedPageBreak/>
        <w:t xml:space="preserve">authorities and other organisations to help coordinate how best to implement findings in their local context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r w:rsidRPr="00F10391">
        <w:t>. Nonetheless, and perhaps rightly, local governments retain the scope to take into consideration local populations, concerns and requirements when making prioritisation decisions.</w:t>
      </w:r>
    </w:p>
    <w:p w14:paraId="440C7A7C" w14:textId="77777777" w:rsidR="00D22CE3" w:rsidRPr="00F10391" w:rsidRDefault="00D22CE3"/>
    <w:p w14:paraId="2DC3CBD4" w14:textId="77777777" w:rsidR="00D22CE3" w:rsidRPr="00F10391" w:rsidRDefault="00D22CE3">
      <w:pPr>
        <w:pStyle w:val="Heading3"/>
      </w:pPr>
      <w:bookmarkStart w:id="397" w:name="_Toc304640224"/>
      <w:bookmarkStart w:id="398" w:name="_Toc313523530"/>
      <w:bookmarkStart w:id="399" w:name="_Toc441508968"/>
      <w:bookmarkStart w:id="400" w:name="_Toc453235406"/>
      <w:bookmarkStart w:id="401" w:name="_Toc453595479"/>
      <w:bookmarkStart w:id="402" w:name="_Toc476241576"/>
      <w:r w:rsidRPr="00F10391">
        <w:t>4.1.3</w:t>
      </w:r>
      <w:r w:rsidRPr="00F10391">
        <w:tab/>
      </w:r>
      <w:r w:rsidRPr="00F10391">
        <w:tab/>
        <w:t>NICE</w:t>
      </w:r>
      <w:bookmarkEnd w:id="397"/>
      <w:r w:rsidRPr="00F10391">
        <w:t>’s role</w:t>
      </w:r>
      <w:bookmarkEnd w:id="398"/>
      <w:bookmarkEnd w:id="399"/>
      <w:bookmarkEnd w:id="400"/>
      <w:bookmarkEnd w:id="401"/>
      <w:bookmarkEnd w:id="402"/>
    </w:p>
    <w:p w14:paraId="4B6F4341" w14:textId="77777777" w:rsidR="00D22CE3" w:rsidRPr="00F10391" w:rsidRDefault="00D22CE3">
      <w:r w:rsidRPr="00F10391">
        <w:t>In the 1950s, Charles Lindblom described the policy-making system of the public administrator as “disjointed incrementalism”</w:t>
      </w:r>
      <w:r w:rsidR="00BE16A6">
        <w:t xml:space="preserve"> </w:t>
      </w:r>
      <w:r w:rsidR="006B1BF2">
        <w:fldChar w:fldCharType="begin"/>
      </w:r>
      <w:r w:rsidR="00700267">
        <w:instrText xml:space="preserve"> ADDIN EN.CITE &lt;EndNote&gt;&lt;Cite&gt;&lt;Author&gt;Lindblom&lt;/Author&gt;&lt;Year&gt;1979&lt;/Year&gt;&lt;RecNum&gt;446&lt;/RecNum&gt;&lt;DisplayText&gt;[208]&lt;/DisplayText&gt;&lt;record&gt;&lt;rec-number&gt;446&lt;/rec-number&gt;&lt;foreign-keys&gt;&lt;key app="EN" db-id="sz9092dv2s5fpze9wpgx0zxgv5ar00aezrvf" timestamp="1485107990"&gt;446&lt;/key&gt;&lt;/foreign-keys&gt;&lt;ref-type name="Journal Article"&gt;17&lt;/ref-type&gt;&lt;contributors&gt;&lt;authors&gt;&lt;author&gt;Lindblom, Charles E&lt;/author&gt;&lt;/authors&gt;&lt;/contributors&gt;&lt;titles&gt;&lt;title&gt;Still muddling, not yet through&lt;/title&gt;&lt;secondary-title&gt;Public administration review&lt;/secondary-title&gt;&lt;/titles&gt;&lt;periodical&gt;&lt;full-title&gt;Public administration review&lt;/full-title&gt;&lt;/periodical&gt;&lt;pages&gt;517-526&lt;/pages&gt;&lt;volume&gt;39&lt;/volume&gt;&lt;number&gt;6&lt;/number&gt;&lt;dates&gt;&lt;year&gt;1979&lt;/year&gt;&lt;/dates&gt;&lt;isbn&gt;0033-3352&lt;/isbn&gt;&lt;urls&gt;&lt;/urls&gt;&lt;/record&gt;&lt;/Cite&gt;&lt;/EndNote&gt;</w:instrText>
      </w:r>
      <w:r w:rsidR="006B1BF2">
        <w:fldChar w:fldCharType="separate"/>
      </w:r>
      <w:r w:rsidR="00700267">
        <w:rPr>
          <w:noProof/>
        </w:rPr>
        <w:t>[208]</w:t>
      </w:r>
      <w:r w:rsidR="006B1BF2">
        <w:fldChar w:fldCharType="end"/>
      </w:r>
      <w:r w:rsidR="00BE16A6">
        <w:t xml:space="preserve"> (p.517)</w:t>
      </w:r>
      <w:r w:rsidRPr="00F10391">
        <w:t xml:space="preserve"> or, more prosaically,  “the science of muddling through” </w:t>
      </w:r>
      <w:r w:rsidRPr="00F10391">
        <w:fldChar w:fldCharType="begin"/>
      </w:r>
      <w:r w:rsidR="00700267">
        <w:instrText xml:space="preserve"> ADDIN EN.CITE &lt;EndNote&gt;&lt;Cite&gt;&lt;Author&gt;Lindblom&lt;/Author&gt;&lt;Year&gt;1959&lt;/Year&gt;&lt;RecNum&gt;82&lt;/RecNum&gt;&lt;DisplayText&gt;[209]&lt;/DisplayText&gt;&lt;record&gt;&lt;rec-number&gt;82&lt;/rec-number&gt;&lt;foreign-keys&gt;&lt;key app="EN" db-id="sz9092dv2s5fpze9wpgx0zxgv5ar00aezrvf" timestamp="0"&gt;82&lt;/key&gt;&lt;/foreign-keys&gt;&lt;ref-type name="Journal Article"&gt;17&lt;/ref-type&gt;&lt;contributors&gt;&lt;authors&gt;&lt;author&gt;Lindblom, Charles E&lt;/author&gt;&lt;/authors&gt;&lt;/contributors&gt;&lt;titles&gt;&lt;title&gt;The science of&amp;quot; muddling through&amp;quot;&lt;/title&gt;&lt;secondary-title&gt;Public administration review&lt;/secondary-title&gt;&lt;/titles&gt;&lt;periodical&gt;&lt;full-title&gt;Public administration review&lt;/full-title&gt;&lt;/periodical&gt;&lt;pages&gt;79-88&lt;/pages&gt;&lt;dates&gt;&lt;year&gt;1959&lt;/year&gt;&lt;/dates&gt;&lt;isbn&gt;0033-3352&lt;/isbn&gt;&lt;urls&gt;&lt;/urls&gt;&lt;/record&gt;&lt;/Cite&gt;&lt;/EndNote&gt;</w:instrText>
      </w:r>
      <w:r w:rsidRPr="00F10391">
        <w:fldChar w:fldCharType="separate"/>
      </w:r>
      <w:r w:rsidR="00700267">
        <w:rPr>
          <w:noProof/>
        </w:rPr>
        <w:t>[209]</w:t>
      </w:r>
      <w:r w:rsidRPr="00F10391">
        <w:fldChar w:fldCharType="end"/>
      </w:r>
      <w:r w:rsidR="0041465A">
        <w:t xml:space="preserve"> (p.79)</w:t>
      </w:r>
      <w:r w:rsidRPr="00F10391">
        <w:t xml:space="preserve">. He argued that any attempt to apply overly rational economic approaches to frame policy decisions “fails because it does not recognise man’s inability to cope with complex problems, the usual lack of information, the cost of analysis, the problems of timing, and the difficulties of stating realistic goals” </w:t>
      </w:r>
      <w:r w:rsidRPr="00F10391">
        <w:fldChar w:fldCharType="begin"/>
      </w:r>
      <w:r w:rsidR="00700267">
        <w:instrText xml:space="preserve"> ADDIN EN.CITE &lt;EndNote&gt;&lt;Cite&gt;&lt;Author&gt;Mintzberg&lt;/Author&gt;&lt;Year&gt;1973&lt;/Year&gt;&lt;RecNum&gt;95&lt;/RecNum&gt;&lt;DisplayText&gt;[210]&lt;/DisplayText&gt;&lt;record&gt;&lt;rec-number&gt;95&lt;/rec-number&gt;&lt;foreign-keys&gt;&lt;key app="EN" db-id="sz9092dv2s5fpze9wpgx0zxgv5ar00aezrvf" timestamp="0"&gt;95&lt;/key&gt;&lt;/foreign-keys&gt;&lt;ref-type name="Book"&gt;6&lt;/ref-type&gt;&lt;contributors&gt;&lt;authors&gt;&lt;author&gt;Mintzberg, Henry&lt;/author&gt;&lt;/authors&gt;&lt;/contributors&gt;&lt;titles&gt;&lt;title&gt;Nature of managerial work&lt;/title&gt;&lt;/titles&gt;&lt;dates&gt;&lt;year&gt;1973&lt;/year&gt;&lt;/dates&gt;&lt;pub-location&gt;New York&lt;/pub-location&gt;&lt;publisher&gt;Harper and Row&lt;/publisher&gt;&lt;urls&gt;&lt;/urls&gt;&lt;/record&gt;&lt;/Cite&gt;&lt;/EndNote&gt;</w:instrText>
      </w:r>
      <w:r w:rsidRPr="00F10391">
        <w:fldChar w:fldCharType="separate"/>
      </w:r>
      <w:r w:rsidR="00700267">
        <w:rPr>
          <w:noProof/>
        </w:rPr>
        <w:t>[210]</w:t>
      </w:r>
      <w:r w:rsidRPr="00F10391">
        <w:fldChar w:fldCharType="end"/>
      </w:r>
      <w:r w:rsidR="003A7904">
        <w:t xml:space="preserve"> (p.16)</w:t>
      </w:r>
      <w:r w:rsidRPr="00F10391">
        <w:t xml:space="preserve">. NICE, as an administrator of the health service, faces many of these same issues in its decisions as part of generating guidance. </w:t>
      </w:r>
    </w:p>
    <w:p w14:paraId="0673FA25" w14:textId="77777777" w:rsidR="00D22CE3" w:rsidRPr="00F10391" w:rsidRDefault="00D22CE3">
      <w:r w:rsidRPr="00F10391">
        <w:t xml:space="preserve">Despite the fact that NICE operates at arm’s length from ministerial interference, in reality its decisions interact with a highly political world: in government, parliament, organised patient and taxpayer groups, the media, and in frequent opposition from special interest groups in pharmaceutical and other industries. The recommendations must take such issues into account alongside considerations of feasibility. How and where such social and political imperatives have impacted upon past decisions is not necessarily clear, and cannot be stated explicitly in NICE documents. But there is need to recognise the role that such pressures are likely to play given the real life strictures within which the institute must operate. </w:t>
      </w:r>
    </w:p>
    <w:p w14:paraId="2A5015A4" w14:textId="77777777" w:rsidR="00D22CE3" w:rsidRPr="00F10391" w:rsidRDefault="00D22CE3">
      <w:r w:rsidRPr="00F10391">
        <w:t xml:space="preserve">Other factors, such as confidential agreements with industry, by their nature do not reach public knowledge, thereby making retrospective analysis of their impact difficult </w:t>
      </w:r>
      <w:r w:rsidRPr="00F10391">
        <w:fldChar w:fldCharType="begin"/>
      </w:r>
      <w:r w:rsidR="00700267">
        <w:instrText xml:space="preserve"> ADDIN EN.CITE &lt;EndNote&gt;&lt;Cite&gt;&lt;Author&gt;Devlin&lt;/Author&gt;&lt;Year&gt;2004&lt;/Year&gt;&lt;RecNum&gt;36&lt;/RecNum&gt;&lt;DisplayText&gt;[201]&lt;/DisplayText&gt;&lt;record&gt;&lt;rec-number&gt;36&lt;/rec-number&gt;&lt;foreign-keys&gt;&lt;key app="EN" db-id="sz9092dv2s5fpze9wpgx0zxgv5ar00aezrvf" timestamp="0"&gt;36&lt;/key&gt;&lt;/fo</w:instrText>
      </w:r>
      <w:r w:rsidR="00700267">
        <w:rPr>
          <w:rFonts w:hint="eastAsia"/>
        </w:rPr>
        <w:instrText>reign-keys&gt;&lt;ref-type name="Journal Article"&gt;17&lt;/ref-type&gt;&lt;contributors&gt;&lt;authors&gt;&lt;author&gt;Devlin, Nancy&lt;/author&gt;&lt;author&gt;Parkin, David&lt;/author&gt;&lt;/authors&gt;&lt;/contributors&gt;&lt;titles&gt;&lt;title&gt;Does NICE have a cost</w:instrText>
      </w:r>
      <w:r w:rsidR="00700267">
        <w:rPr>
          <w:rFonts w:hint="eastAsia"/>
        </w:rPr>
        <w:instrText>‐</w:instrText>
      </w:r>
      <w:r w:rsidR="00700267">
        <w:rPr>
          <w:rFonts w:hint="eastAsia"/>
        </w:rPr>
        <w:instrText>effectiveness threshold and what other factors influe</w:instrText>
      </w:r>
      <w:r w:rsidR="00700267">
        <w:instrText>nce its decisions? A binary choice analysis&lt;/title&gt;&lt;secondary-title&gt;Health economics&lt;/secondary-title&gt;&lt;/titles&gt;&lt;periodical&gt;&lt;full-title&gt;Health economics&lt;/full-title&gt;&lt;/periodical&gt;&lt;pages&gt;437-452&lt;/pages&gt;&lt;volume&gt;13&lt;/volume&gt;&lt;number&gt;5&lt;/number&gt;&lt;dates&gt;&lt;year&gt;2004&lt;/year&gt;&lt;/dates&gt;&lt;isbn&gt;1099-1050&lt;/isbn&gt;&lt;urls&gt;&lt;related-urls&gt;&lt;url&gt;http://onlinelibrary.wiley.com/doi/10.1002/hec.864/abstract&lt;/url&gt;&lt;url&gt;http://onlinelibrary.wiley.com/store/10.1002/hec.864/asset/864_ftp.pdf?v=1&amp;amp;t=i4h49uku&amp;amp;s=d095e0323f25c531ff89fc772ab211ff0a57b728&lt;/url&gt;&lt;url&gt;http://onlinelibrary.wiley.com/doi/10.1002/hec.864/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[201]</w:t>
      </w:r>
      <w:r w:rsidRPr="00F10391">
        <w:fldChar w:fldCharType="end"/>
      </w:r>
      <w:r w:rsidRPr="00F10391">
        <w:t xml:space="preserve">. In public health there are further difficulties – both in terms of its inherently political role </w:t>
      </w:r>
      <w:r w:rsidRPr="00F10391">
        <w:fldChar w:fldCharType="begin"/>
      </w:r>
      <w:r w:rsidR="00700267">
        <w:instrText xml:space="preserve"> ADDIN EN.CITE &lt;EndNote&gt;&lt;Cite&gt;&lt;Author&gt;Turnock&lt;/Author&gt;&lt;Year&gt;2011&lt;/Year&gt;&lt;RecNum&gt;142&lt;/RecNum&gt;&lt;DisplayText&gt;[211]&lt;/DisplayText&gt;&lt;record&gt;&lt;rec-number&gt;142&lt;/rec-number&gt;&lt;foreign-keys&gt;&lt;key app="EN" db-id="sz9092dv2s5fpze9wpgx0zxgv5ar00aezrvf" timestamp="0"&gt;142&lt;/key&gt;&lt;/foreign-keys&gt;&lt;ref-type name="Book"&gt;6&lt;/ref-type&gt;&lt;contributors&gt;&lt;authors&gt;&lt;author&gt;Turnock, Bernard&lt;/author&gt;&lt;/authors&gt;&lt;/contributors&gt;&lt;titles&gt;&lt;title&gt;Essentials of public health&lt;/title&gt;&lt;/titles&gt;&lt;dates&gt;&lt;year&gt;2011&lt;/year&gt;&lt;/dates&gt;&lt;publisher&gt;Jones &amp;amp; Bartlett Publishers&lt;/publisher&gt;&lt;isbn&gt;1449600220&lt;/isbn&gt;&lt;urls&gt;&lt;/urls&gt;&lt;/record&gt;&lt;/Cite&gt;&lt;/EndNote&gt;</w:instrText>
      </w:r>
      <w:r w:rsidRPr="00F10391">
        <w:fldChar w:fldCharType="separate"/>
      </w:r>
      <w:r w:rsidR="00700267">
        <w:rPr>
          <w:noProof/>
        </w:rPr>
        <w:t>[211]</w:t>
      </w:r>
      <w:r w:rsidRPr="00F10391">
        <w:fldChar w:fldCharType="end"/>
      </w:r>
      <w:r w:rsidRPr="00F10391">
        <w:t xml:space="preserve"> and in gathering and interpreting evidence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This may at times lead to conflict, not least because some conclusions may be politically unpalatable. While this cannot be investigated directly, previous experience is instructive. For example, after the coalition government was formed in 2010, a number of public health topics approved by the previous administration were frozen, had their scopes changed or were altogether abandoned, seemingly for political reasons.</w:t>
      </w:r>
    </w:p>
    <w:p w14:paraId="5D5AF0E5" w14:textId="2832C183" w:rsidR="00D22CE3" w:rsidRPr="00F10391" w:rsidRDefault="00D22CE3">
      <w:r w:rsidRPr="00F10391">
        <w:t xml:space="preserve">Once topics are approved, NICE also has to be conscious of the political and social backlash that may ensue from their recommendations. NICE has appeared frequently in the media, most commonly when they decline to reimburse drugs. Though guidance is based upon the best available evidence, some decisions are difficult to explain to the public who are often instead presented by the media with “anecdotes, often in the form of patients describing miraculous responses to a new drug” </w:t>
      </w:r>
      <w:r w:rsidRPr="00F10391">
        <w:fldChar w:fldCharType="begin"/>
      </w:r>
      <w:r w:rsidR="00700267">
        <w:instrText xml:space="preserve"> ADDIN EN.CITE &lt;EndNote&gt;&lt;Cite&gt;&lt;Author&gt;Gigerenzer&lt;/Author&gt;&lt;Year&gt;2007&lt;/Year&gt;&lt;RecNum&gt;54&lt;/RecNum&gt;&lt;DisplayText&gt;[50]&lt;/DisplayText&gt;&lt;record&gt;&lt;rec-number&gt;54&lt;/rec-number&gt;&lt;foreign-keys&gt;&lt;key app="EN" db-id="sz9092dv2s5fpze9wpgx0zxgv5ar00aezrvf" timestamp="0"&gt;54&lt;/key&gt;&lt;/foreign-keys&gt;&lt;ref-type name="Journal Article"&gt;17&lt;/ref-type&gt;&lt;contributors&gt;&lt;authors&gt;&lt;author&gt;Gigerenzer, Gerd&lt;/author&gt;&lt;author&gt;Gaissmaier, Wolfgang&lt;/author&gt;&lt;author&gt;Kurz-Milcke, Elke&lt;/author&gt;&lt;author&gt;Schwartz, Lisa M&lt;/author&gt;&lt;author&gt;Woloshin, Steven&lt;/author&gt;&lt;/authors&gt;&lt;/contributors&gt;&lt;titles&gt;&lt;title&gt;Helping doctors and patients make sense of health statistics&lt;/title&gt;&lt;secondary-title&gt;Psychological science in the public interest&lt;/secondary-title&gt;&lt;/titles&gt;&lt;pages&gt;53-96&lt;/pages&gt;&lt;volume&gt;8&lt;/volume&gt;&lt;number&gt;2&lt;/number&gt;&lt;dates&gt;&lt;year&gt;2007&lt;/year&gt;&lt;/dates&gt;&lt;isbn&gt;1529-1006&lt;/isbn&gt;&lt;urls&gt;&lt;related-urls&gt;&lt;url&gt;http://psi.sagepub.com/content/8/2/53.long&lt;/url&gt;&lt;/related-urls&gt;&lt;/urls&gt;&lt;/record&gt;&lt;/Cite&gt;&lt;/EndNote&gt;</w:instrText>
      </w:r>
      <w:r w:rsidRPr="00F10391">
        <w:fldChar w:fldCharType="separate"/>
      </w:r>
      <w:r w:rsidR="00700267">
        <w:rPr>
          <w:noProof/>
        </w:rPr>
        <w:t>[50]</w:t>
      </w:r>
      <w:r w:rsidRPr="00F10391">
        <w:fldChar w:fldCharType="end"/>
      </w:r>
      <w:r w:rsidRPr="00F10391">
        <w:t xml:space="preserve">. Compared to other directorates, guidance in public health typically has lower levels of evidence and potentially broader coalitions of stakeholders that might oppose them, from industries and the public. The CPH’s guidance on “Alcohol-use disorders: preventing harmful drinking”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recommended the implementation of a minimum price per unit of alcohol. The Prime Minister ultimately intervened and said that there was not enough evidence to introduce it </w:t>
      </w:r>
      <w:r w:rsidRPr="00F10391">
        <w:fldChar w:fldCharType="begin"/>
      </w:r>
      <w:r w:rsidR="00700267">
        <w:instrText xml:space="preserve"> ADDIN EN.CITE &lt;EndNote&gt;&lt;Cite&gt;&lt;Author&gt;Ross&lt;/Author&gt;&lt;Year&gt;2013&lt;/Year&gt;&lt;RecNum&gt;194&lt;/RecNum&gt;&lt;DisplayText&gt;[213]&lt;/DisplayText&gt;&lt;record&gt;&lt;rec-number&gt;194&lt;/rec-number&gt;&lt;foreign-keys&gt;&lt;key app="EN" db-id="sz9092dv2s5fpze9wpgx0zxgv5ar00aezrvf" timestamp="0"&gt;194&lt;/key&gt;&lt;/foreign-keys&gt;&lt;ref-type name="Newspaper Article"&gt;23&lt;/ref-type&gt;&lt;contributors&gt;&lt;authors&gt;&lt;author&gt;Ross, T&lt;/author&gt;&lt;/authors&gt;&lt;/contributors&gt;&lt;titles&gt;&lt;title&gt;David Cameron&amp;apos;s plan for minimum alcohol price is scrapped&lt;/title&gt;&lt;secondary-title&gt;The Telegraph&lt;/secondary-title&gt;&lt;/titles&gt;&lt;dates&gt;&lt;year&gt;2013&lt;/year&gt;&lt;pub-dates&gt;&lt;date&gt;17 July 2013&lt;/date&gt;&lt;/pub-dates&gt;&lt;/dates&gt;&lt;pub-location&gt;London&lt;/pub-location&gt;&lt;urls&gt;&lt;related-urls&gt;&lt;url&gt;http://www.telegraph.co.uk/news/politics/10185563/David-Camerons-plan-for-minimum-alcohol-price-is-scrapped.html &lt;/url&gt;&lt;/related-urls&gt;&lt;/urls&gt;&lt;access-date&gt;24 August 2014&lt;/access-date&gt;&lt;/record&gt;&lt;/Cite&gt;&lt;/EndNote&gt;</w:instrText>
      </w:r>
      <w:r w:rsidRPr="00F10391">
        <w:fldChar w:fldCharType="separate"/>
      </w:r>
      <w:r w:rsidR="00700267">
        <w:rPr>
          <w:noProof/>
        </w:rPr>
        <w:t>[213]</w:t>
      </w:r>
      <w:r w:rsidRPr="00F10391">
        <w:fldChar w:fldCharType="end"/>
      </w:r>
      <w:r w:rsidRPr="00F10391">
        <w:t xml:space="preserve"> – despite appraising such evidence and recommending accordingly being NICE’s </w:t>
      </w:r>
      <w:r w:rsidRPr="00F10391">
        <w:rPr>
          <w:i/>
        </w:rPr>
        <w:t>raison d’être</w:t>
      </w:r>
      <w:r w:rsidRPr="00F10391">
        <w:t xml:space="preserve">. This recommendation was to be kept </w:t>
      </w:r>
      <w:r w:rsidR="00C4401A">
        <w:t>‘</w:t>
      </w:r>
      <w:r w:rsidRPr="00F10391">
        <w:t>under consideration</w:t>
      </w:r>
      <w:r w:rsidR="00C4401A">
        <w:t>’</w:t>
      </w:r>
      <w:r w:rsidRPr="00F10391">
        <w:t xml:space="preserve">, but so far appears to have been ignored. </w:t>
      </w:r>
    </w:p>
    <w:p w14:paraId="04D86380" w14:textId="77777777" w:rsidR="00D22CE3" w:rsidRPr="00F10391" w:rsidRDefault="00D22CE3">
      <w:r w:rsidRPr="00F10391">
        <w:lastRenderedPageBreak/>
        <w:t xml:space="preserve">As previously stated, Virchow’s memorable statement that “Medicine is a social science, and politics is nothing else but medicine on a large scale” </w:t>
      </w:r>
      <w:r w:rsidRPr="00F10391">
        <w:fldChar w:fldCharType="begin"/>
      </w:r>
      <w:r w:rsidR="00700267">
        <w:instrText xml:space="preserve"> ADDIN EN.CITE &lt;EndNote&gt;&lt;Cite&gt;&lt;Author&gt;Fee&lt;/Author&gt;&lt;Year&gt;1989&lt;/Year&gt;&lt;RecNum&gt;46&lt;/RecNum&gt;&lt;DisplayText&gt;[40]&lt;/DisplayText&gt;&lt;record&gt;&lt;rec-number&gt;46&lt;/rec-number&gt;&lt;foreign-keys&gt;&lt;key app="EN" db-id="sz9092dv2s5fpze9wpgx0zxgv5ar00aezrvf" timestamp="0"&gt;46&lt;/key&gt;&lt;/foreign-keys&gt;&lt;ref-type name="Journal Article"&gt;17&lt;/ref-type&gt;&lt;contributors&gt;&lt;authors&gt;&lt;author&gt;Fee, Elizabeth&lt;/author&gt;&lt;/authors&gt;&lt;/contributors&gt;&lt;titles&gt;&lt;title&gt;Henry E. Sigerist: From the Social Production of Disease to Medical Management and Scientific Socialism&lt;/title&gt;&lt;secondary-title&gt;The Milbank Quarterly&lt;/secondary-title&gt;&lt;/titles&gt;&lt;pages&gt;127-150&lt;/pages&gt;&lt;dates&gt;&lt;year&gt;1989&lt;/year&gt;&lt;/dates&gt;&lt;isbn&gt;0887-378X&lt;/isbn&gt;&lt;urls&gt;&lt;/urls&gt;&lt;/record&gt;&lt;/Cite&gt;&lt;/EndNote&gt;</w:instrText>
      </w:r>
      <w:r w:rsidRPr="00F10391">
        <w:fldChar w:fldCharType="separate"/>
      </w:r>
      <w:r w:rsidR="00700267">
        <w:rPr>
          <w:noProof/>
        </w:rPr>
        <w:t>[40]</w:t>
      </w:r>
      <w:r w:rsidRPr="00F10391">
        <w:fldChar w:fldCharType="end"/>
      </w:r>
      <w:r w:rsidR="00B445CA">
        <w:t xml:space="preserve"> (p.137)</w:t>
      </w:r>
      <w:r w:rsidRPr="00F10391">
        <w:t xml:space="preserve"> works both ways. Many medical decisions remain steadfastly in the political realm, even when some of them are packaged and sent off to NICE to be deliberated upon. NICE therefore has to be pragmatic and draw upon a range of criteria before making final decisions.</w:t>
      </w:r>
    </w:p>
    <w:p w14:paraId="7C6DE4F6" w14:textId="77777777" w:rsidR="00D22CE3" w:rsidRPr="00F10391" w:rsidRDefault="00D22CE3">
      <w:r w:rsidRPr="00F10391">
        <w:t xml:space="preserve">NICE sits as a bridge between research and policy-making acting as mediator between the disciplines. Trying to negotiate an appropriate middle ground inevitably imposes challenges and conflicts. A paper by Lomas et al. </w:t>
      </w:r>
      <w:r w:rsidRPr="00F10391">
        <w:fldChar w:fldCharType="begin"/>
      </w:r>
      <w:r w:rsidR="00700267">
        <w:instrText xml:space="preserve"> ADDIN EN.CITE &lt;EndNote&gt;&lt;Cite&gt;&lt;Author&gt;Lomas&lt;/Author&gt;&lt;Year&gt;2005&lt;/Year&gt;&lt;RecNum&gt;85&lt;/RecNum&gt;&lt;DisplayText&gt;[214]&lt;/DisplayText&gt;&lt;record&gt;&lt;rec-number&gt;85&lt;/rec-number&gt;&lt;foreign-keys&gt;&lt;key app="EN" db-id="sz9092dv2s5fpze9wpgx0zxgv5ar00aezrvf" timestamp="0"&gt;85&lt;/key&gt;&lt;/foreign-keys&gt;&lt;ref-type name="Journal Article"&gt;17&lt;/ref-type&gt;&lt;contributors&gt;&lt;authors&gt;&lt;author&gt;Lomas, Jonathan&lt;/author&gt;&lt;author&gt;Culyer, Tony&lt;/author&gt;&lt;author&gt;Mccutcheon, Chris&lt;/author&gt;&lt;author&gt;Law, Susan&lt;/author&gt;&lt;author&gt;Tetroe, Jacqueline&lt;/author&gt;&lt;/authors&gt;&lt;/contributors&gt;&lt;titles&gt;&lt;title&gt;-Final Report-Conceptualizing and Combining Evidence for Health System Guidance&lt;/title&gt;&lt;/titles&gt;&lt;dates&gt;&lt;year&gt;2005&lt;/year&gt;&lt;/dates&gt;&lt;urls&gt;&lt;/urls&gt;&lt;/record&gt;&lt;/Cite&gt;&lt;/EndNote&gt;</w:instrText>
      </w:r>
      <w:r w:rsidRPr="00F10391">
        <w:fldChar w:fldCharType="separate"/>
      </w:r>
      <w:r w:rsidR="00700267">
        <w:rPr>
          <w:noProof/>
        </w:rPr>
        <w:t>[214]</w:t>
      </w:r>
      <w:r w:rsidRPr="00F10391">
        <w:fldChar w:fldCharType="end"/>
      </w:r>
      <w:r w:rsidRPr="00F10391">
        <w:t xml:space="preserve"> outlines some of the main conflicts arising from this:</w:t>
      </w:r>
    </w:p>
    <w:tbl>
      <w:tblPr>
        <w:tblW w:w="9242" w:type="dxa"/>
        <w:tblLook w:val="04A0" w:firstRow="1" w:lastRow="0" w:firstColumn="1" w:lastColumn="0" w:noHBand="0" w:noVBand="1"/>
      </w:tblPr>
      <w:tblGrid>
        <w:gridCol w:w="4621"/>
        <w:gridCol w:w="4621"/>
      </w:tblGrid>
      <w:tr w:rsidR="00D22CE3" w:rsidRPr="00F10391" w14:paraId="339BA8AB" w14:textId="77777777" w:rsidTr="00D22CE3">
        <w:trPr>
          <w:trHeight w:val="595"/>
        </w:trPr>
        <w:tc>
          <w:tcPr>
            <w:tcW w:w="4621" w:type="dxa"/>
            <w:shd w:val="clear" w:color="auto" w:fill="auto"/>
          </w:tcPr>
          <w:p w14:paraId="1EF5ABCD" w14:textId="77777777" w:rsidR="00D22CE3" w:rsidRPr="0063065F" w:rsidRDefault="00D22CE3" w:rsidP="0063065F">
            <w:pPr>
              <w:jc w:val="left"/>
              <w:rPr>
                <w:i/>
              </w:rPr>
            </w:pPr>
            <w:r w:rsidRPr="0063065F">
              <w:rPr>
                <w:i/>
              </w:rPr>
              <w:t>Researchers</w:t>
            </w:r>
          </w:p>
        </w:tc>
        <w:tc>
          <w:tcPr>
            <w:tcW w:w="4621" w:type="dxa"/>
            <w:shd w:val="clear" w:color="auto" w:fill="auto"/>
          </w:tcPr>
          <w:p w14:paraId="51CCA9D1" w14:textId="77777777" w:rsidR="00D22CE3" w:rsidRPr="0063065F" w:rsidRDefault="00D22CE3" w:rsidP="0063065F">
            <w:pPr>
              <w:jc w:val="left"/>
              <w:rPr>
                <w:i/>
              </w:rPr>
            </w:pPr>
            <w:r w:rsidRPr="0063065F">
              <w:rPr>
                <w:i/>
              </w:rPr>
              <w:t>Policy makers</w:t>
            </w:r>
          </w:p>
        </w:tc>
      </w:tr>
      <w:tr w:rsidR="00D22CE3" w:rsidRPr="00F10391" w14:paraId="7EF4201B" w14:textId="77777777" w:rsidTr="00D22CE3">
        <w:trPr>
          <w:trHeight w:hRule="exact" w:val="454"/>
        </w:trPr>
        <w:tc>
          <w:tcPr>
            <w:tcW w:w="4621" w:type="dxa"/>
            <w:shd w:val="clear" w:color="auto" w:fill="auto"/>
          </w:tcPr>
          <w:p w14:paraId="75A2779E" w14:textId="77777777" w:rsidR="00D22CE3" w:rsidRPr="00F10391" w:rsidRDefault="00D22CE3">
            <w:pPr>
              <w:jc w:val="left"/>
            </w:pPr>
            <w:r w:rsidRPr="00F10391">
              <w:t>Statements backed up by science</w:t>
            </w:r>
          </w:p>
        </w:tc>
        <w:tc>
          <w:tcPr>
            <w:tcW w:w="4621" w:type="dxa"/>
            <w:shd w:val="clear" w:color="auto" w:fill="auto"/>
          </w:tcPr>
          <w:p w14:paraId="74D3DDE2" w14:textId="77777777" w:rsidR="00D22CE3" w:rsidRPr="00F10391" w:rsidRDefault="00D22CE3">
            <w:pPr>
              <w:jc w:val="left"/>
            </w:pPr>
            <w:r w:rsidRPr="00F10391">
              <w:t>Decisions dependent on context</w:t>
            </w:r>
          </w:p>
        </w:tc>
      </w:tr>
      <w:tr w:rsidR="00D22CE3" w:rsidRPr="00F10391" w14:paraId="4E9C267E" w14:textId="77777777" w:rsidTr="00D22CE3">
        <w:trPr>
          <w:trHeight w:hRule="exact" w:val="454"/>
        </w:trPr>
        <w:tc>
          <w:tcPr>
            <w:tcW w:w="4621" w:type="dxa"/>
            <w:shd w:val="clear" w:color="auto" w:fill="auto"/>
          </w:tcPr>
          <w:p w14:paraId="7680B97F" w14:textId="77777777" w:rsidR="00D22CE3" w:rsidRPr="00F10391" w:rsidRDefault="00D22CE3">
            <w:pPr>
              <w:jc w:val="left"/>
            </w:pPr>
            <w:r w:rsidRPr="00F10391">
              <w:t>Proven empirically</w:t>
            </w:r>
          </w:p>
        </w:tc>
        <w:tc>
          <w:tcPr>
            <w:tcW w:w="4621" w:type="dxa"/>
            <w:shd w:val="clear" w:color="auto" w:fill="auto"/>
          </w:tcPr>
          <w:p w14:paraId="4359298F" w14:textId="77777777" w:rsidR="00D22CE3" w:rsidRPr="00F10391" w:rsidRDefault="00D22CE3">
            <w:pPr>
              <w:jc w:val="left"/>
            </w:pPr>
            <w:r w:rsidRPr="00F10391">
              <w:t>Must reflect common sense</w:t>
            </w:r>
          </w:p>
        </w:tc>
      </w:tr>
      <w:tr w:rsidR="00D22CE3" w:rsidRPr="00F10391" w14:paraId="2FAB9A84" w14:textId="77777777" w:rsidTr="00D22CE3">
        <w:trPr>
          <w:trHeight w:hRule="exact" w:val="454"/>
        </w:trPr>
        <w:tc>
          <w:tcPr>
            <w:tcW w:w="4621" w:type="dxa"/>
            <w:shd w:val="clear" w:color="auto" w:fill="auto"/>
          </w:tcPr>
          <w:p w14:paraId="577D9DEB" w14:textId="77777777" w:rsidR="00D22CE3" w:rsidRPr="00F10391" w:rsidRDefault="00D22CE3">
            <w:pPr>
              <w:jc w:val="left"/>
            </w:pPr>
            <w:r w:rsidRPr="00F10391">
              <w:t>Theoretically driven</w:t>
            </w:r>
          </w:p>
        </w:tc>
        <w:tc>
          <w:tcPr>
            <w:tcW w:w="4621" w:type="dxa"/>
            <w:shd w:val="clear" w:color="auto" w:fill="auto"/>
          </w:tcPr>
          <w:p w14:paraId="09201AAA" w14:textId="77777777" w:rsidR="00D22CE3" w:rsidRPr="00F10391" w:rsidRDefault="00D22CE3">
            <w:pPr>
              <w:jc w:val="left"/>
            </w:pPr>
            <w:r w:rsidRPr="00F10391">
              <w:t>Policy relevant</w:t>
            </w:r>
          </w:p>
        </w:tc>
      </w:tr>
      <w:tr w:rsidR="00D22CE3" w:rsidRPr="00F10391" w14:paraId="179A7B00" w14:textId="77777777" w:rsidTr="00D22CE3">
        <w:trPr>
          <w:trHeight w:hRule="exact" w:val="454"/>
        </w:trPr>
        <w:tc>
          <w:tcPr>
            <w:tcW w:w="4621" w:type="dxa"/>
            <w:shd w:val="clear" w:color="auto" w:fill="auto"/>
          </w:tcPr>
          <w:p w14:paraId="65537A9D" w14:textId="77777777" w:rsidR="00D22CE3" w:rsidRPr="00F10391" w:rsidRDefault="00D22CE3">
            <w:pPr>
              <w:jc w:val="left"/>
            </w:pPr>
            <w:r w:rsidRPr="00F10391">
              <w:t>Study takes as long as required</w:t>
            </w:r>
          </w:p>
        </w:tc>
        <w:tc>
          <w:tcPr>
            <w:tcW w:w="4621" w:type="dxa"/>
            <w:shd w:val="clear" w:color="auto" w:fill="auto"/>
          </w:tcPr>
          <w:p w14:paraId="4E93CFDF" w14:textId="77777777" w:rsidR="00D22CE3" w:rsidRPr="00F10391" w:rsidRDefault="00D22CE3">
            <w:pPr>
              <w:jc w:val="left"/>
            </w:pPr>
            <w:r w:rsidRPr="00F10391">
              <w:t>Timeliness imperative</w:t>
            </w:r>
          </w:p>
        </w:tc>
      </w:tr>
      <w:tr w:rsidR="00D22CE3" w:rsidRPr="00F10391" w14:paraId="05070B61" w14:textId="77777777" w:rsidTr="00D22CE3">
        <w:trPr>
          <w:trHeight w:val="854"/>
        </w:trPr>
        <w:tc>
          <w:tcPr>
            <w:tcW w:w="4621" w:type="dxa"/>
            <w:shd w:val="clear" w:color="auto" w:fill="auto"/>
          </w:tcPr>
          <w:p w14:paraId="1C6D7270" w14:textId="77777777" w:rsidR="00D22CE3" w:rsidRPr="00F10391" w:rsidRDefault="00D22CE3">
            <w:pPr>
              <w:jc w:val="left"/>
            </w:pPr>
            <w:r w:rsidRPr="00F10391">
              <w:t>Caveats and limitations highlighted, with the need for further research seemingly inevitable</w:t>
            </w:r>
          </w:p>
        </w:tc>
        <w:tc>
          <w:tcPr>
            <w:tcW w:w="4621" w:type="dxa"/>
            <w:shd w:val="clear" w:color="auto" w:fill="auto"/>
          </w:tcPr>
          <w:p w14:paraId="2DCBF872" w14:textId="77777777" w:rsidR="00D22CE3" w:rsidRPr="00F10391" w:rsidRDefault="00D22CE3">
            <w:pPr>
              <w:jc w:val="left"/>
            </w:pPr>
            <w:r w:rsidRPr="00F10391">
              <w:t>Clear message</w:t>
            </w:r>
          </w:p>
        </w:tc>
      </w:tr>
    </w:tbl>
    <w:p w14:paraId="7A4C332B" w14:textId="77777777" w:rsidR="00D22CE3" w:rsidRPr="00F10391" w:rsidRDefault="00D22CE3" w:rsidP="00494A9A">
      <w:r w:rsidRPr="00F10391">
        <w:t xml:space="preserve">NICE’s role involves interpreting such empirical evidence and its translation into feasible guidelines, which must be palatable in policy settings. It inevitably encounters regular controversy of varying degrees, from a wide range of stakeholders. Whether the two points of view are ever wholly reconcilable is disputable. NICE serves a useful purpose for both the government and the health service in setting clear ground rules and allowing physicians to focus entirely on the treatment of their patients, rather than requiring them to consider whether or not this represents a responsible use of healthcare resources on a population level. Sociologist Richard Titmuss stated that "the conflict between professional ethics and economic man should be reduced as far as humanly possible" </w:t>
      </w:r>
      <w:r w:rsidRPr="00F10391">
        <w:fldChar w:fldCharType="begin"/>
      </w:r>
      <w:r w:rsidR="00700267">
        <w:instrText xml:space="preserve"> ADDIN EN.CITE &lt;EndNote&gt;&lt;Cite&gt;&lt;Author&gt;Ashton&lt;/Author&gt;&lt;Year&gt;2012&lt;/Year&gt;&lt;RecNum&gt;170&lt;/RecNum&gt;&lt;DisplayText&gt;[215]&lt;/DisplayText&gt;&lt;record&gt;&lt;rec-number&gt;170&lt;/rec-number&gt;&lt;foreign-keys&gt;&lt;key app="EN" db-id="sz9092dv2s5fpze9wpgx0zxgv5ar00aezrvf" timestamp="0"&gt;170&lt;/key&gt;&lt;/foreign-keys&gt;&lt;ref-type name="Journal Article"&gt;17&lt;/ref-type&gt;&lt;contributors&gt;&lt;authors&gt;&lt;author&gt;Ashton, JR &lt;/author&gt;&lt;/authors&gt;&lt;/contributors&gt;&lt;titles&gt;&lt;title&gt;The art of medicine: defending democracy and the National Health Service&lt;/title&gt;&lt;secondary-title&gt;The Lancet&lt;/secondary-title&gt;&lt;/titles&gt;&lt;pages&gt;997-998 &lt;/pages&gt;&lt;volume&gt;379&lt;/volume&gt;&lt;number&gt;9820&lt;/number&gt;&lt;dates&gt;&lt;year&gt;2012&lt;/year&gt;&lt;/dates&gt;&lt;urls&gt;&lt;/urls&gt;&lt;/record&gt;&lt;/Cite&gt;&lt;/EndNote&gt;</w:instrText>
      </w:r>
      <w:r w:rsidRPr="00F10391">
        <w:fldChar w:fldCharType="separate"/>
      </w:r>
      <w:r w:rsidR="00700267">
        <w:rPr>
          <w:noProof/>
        </w:rPr>
        <w:t>[215]</w:t>
      </w:r>
      <w:r w:rsidRPr="00F10391">
        <w:fldChar w:fldCharType="end"/>
      </w:r>
      <w:r w:rsidRPr="00F10391">
        <w:t xml:space="preserve"> </w:t>
      </w:r>
      <w:r w:rsidR="006B1BF2">
        <w:t xml:space="preserve">(p.998) </w:t>
      </w:r>
      <w:r w:rsidRPr="00F10391">
        <w:t>and NICE’s existence allows these concerns to be separated into parallel contexts.</w:t>
      </w:r>
    </w:p>
    <w:p w14:paraId="5853FBE5" w14:textId="77777777" w:rsidR="00D22CE3" w:rsidRPr="00F10391" w:rsidRDefault="00D22CE3" w:rsidP="00494A9A">
      <w:pPr>
        <w:rPr>
          <w:iCs/>
        </w:rPr>
      </w:pPr>
      <w:r w:rsidRPr="00F10391">
        <w:t xml:space="preserve">Virchow too described this disconnect between the theory-driven medical world and the practical realities of politics (which his compatriot Otto van Bismarck defined as “the art of the possible” </w:t>
      </w:r>
      <w:r w:rsidRPr="00F10391">
        <w:fldChar w:fldCharType="begin"/>
      </w:r>
      <w:r w:rsidR="00700267">
        <w:instrText xml:space="preserve"> ADDIN EN.CITE &lt;EndNote&gt;&lt;Cite&gt;&lt;Author&gt;Poschinger&lt;/Author&gt;&lt;Year&gt;1895&lt;/Year&gt;&lt;RecNum&gt;13&lt;/RecNum&gt;&lt;DisplayText&gt;[216]&lt;/DisplayText&gt;&lt;record&gt;&lt;rec-number&gt;13&lt;/rec-number&gt;&lt;foreign-keys&gt;&lt;key app="EN" db-id="sz9092dv2s5fpze9wpgx0zxgv5ar00aezrvf" timestamp="0"&gt;13&lt;/key&gt;&lt;/foreign-keys&gt;&lt;ref-type name="Book"&gt;6&lt;/ref-type&gt;&lt;contributors&gt;&lt;authors&gt;&lt;author&gt;Poschinger,  Heinrich von&lt;/author&gt;&lt;author&gt;Bismark Schoenhausen, Otto Eduard Leopold von&lt;/author&gt;&lt;/authors&gt;&lt;/contributors&gt;&lt;titles&gt;&lt;title&gt;Fürst Bismark: Neue Tischgespräche und Interviews&lt;/title&gt;&lt;/titles&gt;&lt;dates&gt;&lt;year&gt;1895&lt;/year&gt;&lt;/dates&gt;&lt;pub-location&gt;Stuttgart&lt;/pub-location&gt;&lt;urls&gt;&lt;/urls&gt;&lt;/record&gt;&lt;/Cite&gt;&lt;/EndNote&gt;</w:instrText>
      </w:r>
      <w:r w:rsidRPr="00F10391">
        <w:fldChar w:fldCharType="separate"/>
      </w:r>
      <w:r w:rsidR="00700267">
        <w:rPr>
          <w:noProof/>
        </w:rPr>
        <w:t>[216]</w:t>
      </w:r>
      <w:r w:rsidRPr="00F10391">
        <w:fldChar w:fldCharType="end"/>
      </w:r>
      <w:r w:rsidR="006B1BF2">
        <w:t xml:space="preserve"> </w:t>
      </w:r>
      <w:r w:rsidR="009C0496">
        <w:t>(</w:t>
      </w:r>
      <w:r w:rsidR="006B1BF2">
        <w:t>p.218</w:t>
      </w:r>
      <w:r w:rsidRPr="00F10391">
        <w:t xml:space="preserve">). </w:t>
      </w:r>
      <w:r w:rsidRPr="00F10391">
        <w:rPr>
          <w:iCs/>
        </w:rPr>
        <w:t>Compromise, trade-offs and pragmatism are at the heart of NICE’s role, combining both perspectives, in line with what Virchow stated at the time:</w:t>
      </w:r>
    </w:p>
    <w:p w14:paraId="28F36306" w14:textId="3E368DCA" w:rsidR="00D22CE3" w:rsidRPr="00F10391" w:rsidRDefault="00D22CE3" w:rsidP="006A5AA3">
      <w:pPr>
        <w:ind w:left="720"/>
      </w:pPr>
      <w:r w:rsidRPr="00F10391">
        <w:rPr>
          <w:i/>
        </w:rPr>
        <w:t xml:space="preserve"> </w:t>
      </w:r>
      <w:r w:rsidRPr="00F10391">
        <w:t xml:space="preserve">“Medicine, as a social science, as the science of human beings, has the obligation to point out problems and to attempt their theoretical solution: the politician, the practical anthropologist, must find the means for their actual solution” </w:t>
      </w:r>
      <w:r w:rsidRPr="00F10391">
        <w:fldChar w:fldCharType="begin"/>
      </w:r>
      <w:r w:rsidR="00700267">
        <w:instrText xml:space="preserve"> ADDIN EN.CITE &lt;EndNote&gt;&lt;Cite&gt;&lt;Author&gt;Broom&lt;/Author&gt;&lt;Year&gt;2013&lt;/Year&gt;&lt;RecNum&gt;411&lt;/RecNum&gt;&lt;DisplayText&gt;[217]&lt;/DisplayText&gt;&lt;record&gt;&lt;rec-number&gt;411&lt;/rec-number&gt;&lt;foreign-keys&gt;&lt;key app="EN" db-id="sz9092dv2s5fpze9wpgx0zxgv5ar00aezrvf" timestamp="1459444122"&gt;411&lt;/key&gt;&lt;/foreign-keys&gt;&lt;ref-type name="Journal Article"&gt;17&lt;/ref-type&gt;&lt;contributors&gt;&lt;authors&gt;&lt;author&gt;Broom, Dorothy&lt;/author&gt;&lt;author&gt;Banwell, Cathy&lt;/author&gt;&lt;author&gt;Gardner, Don&lt;/author&gt;&lt;/authors&gt;&lt;/contributors&gt;&lt;titles&gt;&lt;title&gt;Antecedents of Culture-in-Health Research&lt;/title&gt;&lt;secondary-title&gt;When Culture Impacts Health: Global Lessons for Effective Health Research&lt;/secondary-title&gt;&lt;/titles&gt;&lt;periodical&gt;&lt;full-title&gt;When Culture Impacts Health: Global Lessons for Effective Health Research&lt;/full-title&gt;&lt;/periodical&gt;&lt;pages&gt;15&lt;/pages&gt;&lt;dates&gt;&lt;year&gt;2013&lt;/year&gt;&lt;/dates&gt;&lt;isbn&gt;0124159435&lt;/isbn&gt;&lt;urls&gt;&lt;/urls&gt;&lt;/record&gt;&lt;/Cite&gt;&lt;/EndNote&gt;</w:instrText>
      </w:r>
      <w:r w:rsidRPr="00F10391">
        <w:fldChar w:fldCharType="separate"/>
      </w:r>
      <w:r w:rsidR="00700267">
        <w:rPr>
          <w:noProof/>
        </w:rPr>
        <w:t>[217]</w:t>
      </w:r>
      <w:r w:rsidRPr="00F10391">
        <w:fldChar w:fldCharType="end"/>
      </w:r>
      <w:r w:rsidRPr="00F10391">
        <w:t xml:space="preserve"> (</w:t>
      </w:r>
      <w:r w:rsidR="008533CC">
        <w:t>p.</w:t>
      </w:r>
      <w:r w:rsidRPr="00F10391">
        <w:t xml:space="preserve">15). </w:t>
      </w:r>
    </w:p>
    <w:p w14:paraId="1C2AA710" w14:textId="77777777" w:rsidR="00D22CE3" w:rsidRPr="00F10391" w:rsidRDefault="00D22CE3" w:rsidP="0063065F">
      <w:pPr>
        <w:ind w:left="720"/>
      </w:pPr>
    </w:p>
    <w:p w14:paraId="2B57C809" w14:textId="6741AC32" w:rsidR="000127DD" w:rsidRPr="00F10391" w:rsidRDefault="000127DD" w:rsidP="00494A9A">
      <w:bookmarkStart w:id="403" w:name="_Toc313523531"/>
      <w:bookmarkStart w:id="404" w:name="_Toc441508969"/>
      <w:bookmarkStart w:id="405" w:name="_Toc453235407"/>
      <w:bookmarkStart w:id="406" w:name="_Toc453595480"/>
    </w:p>
    <w:p w14:paraId="189EFB83" w14:textId="77777777" w:rsidR="000127DD" w:rsidRPr="00F10391" w:rsidRDefault="000127DD" w:rsidP="00490B5D"/>
    <w:p w14:paraId="26238B30" w14:textId="77777777" w:rsidR="000127DD" w:rsidRPr="00F10391" w:rsidRDefault="000127DD" w:rsidP="00490B5D"/>
    <w:p w14:paraId="3C9F6590" w14:textId="77777777" w:rsidR="00D22CE3" w:rsidRPr="00F10391" w:rsidRDefault="00D22CE3" w:rsidP="006A5AA3">
      <w:pPr>
        <w:pStyle w:val="Numberedheading2"/>
      </w:pPr>
      <w:bookmarkStart w:id="407" w:name="_Toc476241577"/>
      <w:r w:rsidRPr="00F10391">
        <w:lastRenderedPageBreak/>
        <w:t>4.2</w:t>
      </w:r>
      <w:r w:rsidRPr="00F10391">
        <w:tab/>
      </w:r>
      <w:r w:rsidRPr="00F10391">
        <w:tab/>
        <w:t>Overview of current decision-making process in the CPH</w:t>
      </w:r>
      <w:bookmarkEnd w:id="403"/>
      <w:bookmarkEnd w:id="404"/>
      <w:bookmarkEnd w:id="405"/>
      <w:bookmarkEnd w:id="406"/>
      <w:bookmarkEnd w:id="407"/>
    </w:p>
    <w:p w14:paraId="4A0816D6" w14:textId="77777777" w:rsidR="000127DD" w:rsidRPr="00F10391" w:rsidRDefault="000127DD" w:rsidP="006942ED">
      <w:bookmarkStart w:id="408" w:name="_Toc313523532"/>
      <w:bookmarkStart w:id="409" w:name="_Toc441508970"/>
      <w:bookmarkStart w:id="410" w:name="_Toc453235408"/>
      <w:bookmarkStart w:id="411" w:name="_Toc453595481"/>
      <w:bookmarkStart w:id="412" w:name="_Toc304640225"/>
    </w:p>
    <w:p w14:paraId="3360DB32" w14:textId="77777777" w:rsidR="00D22CE3" w:rsidRPr="00F10391" w:rsidRDefault="00D22CE3">
      <w:pPr>
        <w:pStyle w:val="Heading3"/>
      </w:pPr>
      <w:bookmarkStart w:id="413" w:name="_Toc476241578"/>
      <w:r w:rsidRPr="00F10391">
        <w:t>4.2.1</w:t>
      </w:r>
      <w:r w:rsidRPr="00F10391">
        <w:tab/>
      </w:r>
      <w:r w:rsidRPr="00F10391">
        <w:tab/>
        <w:t>Stakeholders and decision-makers</w:t>
      </w:r>
      <w:bookmarkEnd w:id="408"/>
      <w:bookmarkEnd w:id="409"/>
      <w:bookmarkEnd w:id="410"/>
      <w:bookmarkEnd w:id="411"/>
      <w:bookmarkEnd w:id="413"/>
      <w:r w:rsidRPr="00F10391">
        <w:t xml:space="preserve"> </w:t>
      </w:r>
      <w:bookmarkEnd w:id="412"/>
    </w:p>
    <w:p w14:paraId="25C5E3A2" w14:textId="77777777" w:rsidR="00D22CE3" w:rsidRPr="00F10391" w:rsidRDefault="00D22CE3">
      <w:r w:rsidRPr="00F10391">
        <w:t xml:space="preserve">The process of transforming the original topic idea into published guidance, which is ready for implementation, involves a range of processes and stakeholders. </w:t>
      </w:r>
    </w:p>
    <w:p w14:paraId="33BA88DB" w14:textId="77777777" w:rsidR="00D22CE3" w:rsidRPr="00F10391" w:rsidRDefault="00D22CE3">
      <w:r w:rsidRPr="00F10391">
        <w:t xml:space="preserve">Potential topics for public health guidance are evaluated at Topic Appraisal Workshops (TAWs), which take place a number of times each year. Scopes for each potential topic are drawn up in advance of the meeting by the Information Services team. These are based on suggestions from within NICE, the Department of Health, other stakeholders and (until 2012) directly from public submissions. These are discussed at the TAW until a general consensus emerges and about 5 are selected. Other topics will be directly chosen by the Minister, who will instruct NICE to investigate them further. Minsters have no further involvement with – and will not comment on – the guidance until its publication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w:t>
      </w:r>
    </w:p>
    <w:p w14:paraId="16210C95" w14:textId="77777777" w:rsidR="00D22CE3" w:rsidRPr="00F10391" w:rsidRDefault="00D22CE3">
      <w:r w:rsidRPr="00F10391">
        <w:t xml:space="preserve">Once a topic has been selected, a draft scope is drawn up, explaining what the guidance will and will not cover, in light of previous guidance and other concerns. CPH staff must then recruit suitable members for the Public Health Advisory Committees (PHAC) – the committee ultimately charged with devising the guidance – who will investigate the topic and weigh up evidence going forward. </w:t>
      </w:r>
    </w:p>
    <w:p w14:paraId="0CEC6D80" w14:textId="77777777" w:rsidR="00D22CE3" w:rsidRPr="00F10391" w:rsidRDefault="00D22CE3">
      <w:r w:rsidRPr="00F10391">
        <w:t>The selection of PHAC members can be a delicate process. Typically, a PHAC for any given topic will contain around 12 members. About half of these will come from a sitting core group, which works together as part of the PHAC for a period of 3 years, over a number of pieces of guidance. Core members include specialists in methods, epidemiology, health economics and statistics but may also have an interest in a given area, such as obesity or diabetes. While not necessarily expert on the exact topic at hand, they can be assigned to topics on the basis of their general area of specialisation. The remainder of the PHAC will be largely made up of specialists on the topic in question, alongside 1-2 lay members. It is vital at this stage that the right combination of expertise is selected. Group dynamics must also be managed – with one topic I worked on during my time in the CPH, a prominent doctor was ruled out of contention because of perceived conflicts of interest and a fear that he/she may have ended up carrying too much influence within the group given their regular media presence.</w:t>
      </w:r>
    </w:p>
    <w:p w14:paraId="653171E8" w14:textId="77777777" w:rsidR="00D22CE3" w:rsidRPr="00F10391" w:rsidRDefault="00D22CE3">
      <w:r w:rsidRPr="00F10391">
        <w:t>CPH staff do not sit on the PHAC itself, though they attend meetings and are involved throughout the process in advisory and other roles, and carry a great deal of influence over the group. Once the committee has begun considering evidence, their role is primarily one of facilitating and providing oversight. CPH staff are responsible for the initial drafting of minutes, comments and early versions of the recommendations, which are revised after comments from the committee. They also manage other processes throughout, such as inviting expert testimony to fill evidence gaps at the request of the committee. Once the PHAC has stood down, NICE is responsible for ensuring that the guidance is disseminated, and later for ensuring the timely revision of guidance, if and when that is necessary.</w:t>
      </w:r>
    </w:p>
    <w:p w14:paraId="34EBCA24" w14:textId="77777777" w:rsidR="00D22CE3" w:rsidRPr="00F10391" w:rsidRDefault="00D22CE3">
      <w:r w:rsidRPr="00F10391">
        <w:t xml:space="preserve">Literature searches and economic modelling are normally carried out by ‘evidence providers’. These groups are contracted to develop one or both of these stages, again guided by the CPH </w:t>
      </w:r>
      <w:r w:rsidRPr="00F10391">
        <w:lastRenderedPageBreak/>
        <w:t>staff assigned to the project. Evidence providers are typically university units that have tendered for the contract, chosen based upon experience and expertise in the area. On occasion, CPH staff have also carried out these stages on behalf of the committee when necessary.</w:t>
      </w:r>
    </w:p>
    <w:p w14:paraId="54B6A064" w14:textId="77777777" w:rsidR="00D22CE3" w:rsidRPr="00F10391" w:rsidRDefault="00D22CE3">
      <w:r w:rsidRPr="00F10391">
        <w:t xml:space="preserve">The Patient and Public Involvement Programme (PPIP) involves other perspectives in the guidance process. It facilitates testimony from members of the public with experience of the topic who can better describe perspectives of those with the condition, as well as their family and carers. They may also help to fill places on the committee itself, and provide commentary on the draft guidance before the final version is published. </w:t>
      </w:r>
    </w:p>
    <w:p w14:paraId="7D3409F2" w14:textId="77777777" w:rsidR="00D22CE3" w:rsidRPr="00F10391" w:rsidRDefault="00D22CE3">
      <w:r w:rsidRPr="00F10391">
        <w:t>NICE staff from other departments outside of the CPH also play a role. Editors help to write and format the guidance in line with the NICE house style. The communications team disseminates the findings to stakeholders, the public and the media. The Information Services team obtains the literature required in the early stages of the process – such as scoping – and provide oversight to the literature review process. The CPH Director and ultimately the Chairman and Board of NICE, while not taking part hands on in the guidance development process, remain ultimately responsible for the output, and provide advisory roles and further oversight throughout.</w:t>
      </w:r>
    </w:p>
    <w:p w14:paraId="506E7F26" w14:textId="77777777" w:rsidR="00D22CE3" w:rsidRPr="00F10391" w:rsidRDefault="00D22CE3">
      <w:r w:rsidRPr="00F10391">
        <w:t xml:space="preserve">Prior to the 2012 public health methods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there were two different types of committees in place of PHACs. The Public Health Intervention Advisory Committee (PHIAC – not to be confused with PHACs) was a standing multi-disciplinary panel which could look at clear, well defined public health topics with a relatively tight scope and a short turnaround time. These included topics such as “Prevention of sexually transmitted infections and under 18 conceptions” </w:t>
      </w:r>
      <w:r w:rsidRPr="00F10391">
        <w:fldChar w:fldCharType="begin"/>
      </w:r>
      <w:r w:rsidR="00700267">
        <w:instrText xml:space="preserve"> ADDIN EN.CITE &lt;EndNote&gt;&lt;Cite&gt;&lt;Author&gt;NICE&lt;/Author&gt;&lt;Year&gt;2007&lt;/Year&gt;&lt;RecNum&gt;201&lt;/RecNum&gt;&lt;DisplayText&gt;[218]&lt;/DisplayText&gt;&lt;record&gt;&lt;rec-number&gt;201&lt;/rec-number&gt;&lt;foreign-keys&gt;&lt;key app="EN" db-id="sz9092dv2s5fpze9wpgx0zxgv5ar00aezrvf" timestamp="0"&gt;201&lt;/key&gt;&lt;/foreign-keys&gt;&lt;ref-type name="Report"&gt;27&lt;/ref-type&gt;&lt;contributors&gt;&lt;authors&gt;&lt;author&gt;NICE&lt;/author&gt;&lt;/authors&gt;&lt;/contributors&gt;&lt;titles&gt;&lt;title&gt;Prevention of sexually transmitted infections and under 18 conceptions&lt;/title&gt;&lt;secondary-title&gt;PH3&lt;/secondary-title&gt;&lt;/titles&gt;&lt;dates&gt;&lt;year&gt;2007&lt;/year&gt;&lt;/dates&gt;&lt;pub-location&gt;London&lt;/pub-location&gt;&lt;publisher&gt;National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[218]</w:t>
      </w:r>
      <w:r w:rsidRPr="00F10391">
        <w:fldChar w:fldCharType="end"/>
      </w:r>
      <w:r w:rsidRPr="00F10391">
        <w:t xml:space="preserve"> and “School-based interventions on alcohol” </w:t>
      </w:r>
      <w:r w:rsidRPr="00F10391">
        <w:fldChar w:fldCharType="begin"/>
      </w:r>
      <w:r w:rsidR="00700267">
        <w:instrText xml:space="preserve"> ADDIN EN.CITE &lt;EndNote&gt;&lt;Cite&gt;&lt;Author&gt;NICE&lt;/Author&gt;&lt;Year&gt;2007&lt;/Year&gt;&lt;RecNum&gt;205&lt;/RecNum&gt;&lt;DisplayText&gt;[219]&lt;/DisplayText&gt;&lt;record&gt;&lt;rec-number&gt;205&lt;/rec-number&gt;&lt;foreign-keys&gt;&lt;key app="EN" db-id="sz9092dv2s5fpze9wpgx0zxgv5ar00aezrvf" timestamp="0"&gt;205&lt;/key&gt;&lt;/foreign-keys&gt;&lt;ref-type name="Report"&gt;27&lt;/ref-type&gt;&lt;contributors&gt;&lt;authors&gt;&lt;author&gt;NICE&lt;/author&gt;&lt;/authors&gt;&lt;/contributors&gt;&lt;titles&gt;&lt;title&gt;School-based interventions on alcohol&lt;/title&gt;&lt;secondary-title&gt;PH7&lt;/secondary-title&gt;&lt;/titles&gt;&lt;dates&gt;&lt;year&gt;2007&lt;/year&gt;&lt;/dates&gt;&lt;pub-location&gt;London &lt;/pub-location&gt;&lt;publisher&gt;National Institute for Health and Care Excellence&lt;/publisher&gt;&lt;urls&gt;&lt;/urls&gt;&lt;/record&gt;&lt;/Cite&gt;&lt;/EndNote&gt;</w:instrText>
      </w:r>
      <w:r w:rsidRPr="00F10391">
        <w:fldChar w:fldCharType="separate"/>
      </w:r>
      <w:r w:rsidR="00700267">
        <w:rPr>
          <w:noProof/>
        </w:rPr>
        <w:t>[219]</w:t>
      </w:r>
      <w:r w:rsidRPr="00F10391">
        <w:fldChar w:fldCharType="end"/>
      </w:r>
      <w:r w:rsidRPr="00F10391">
        <w:t xml:space="preserve">. Programme Development Groups (PDGs) were assembled on a topic-by-topic basis, to create guidance in broader, more complicated or less clearly defined areas, such as “Behaviour change” </w:t>
      </w:r>
      <w:r w:rsidRPr="00F10391">
        <w:fldChar w:fldCharType="begin"/>
      </w:r>
      <w:r w:rsidR="00700267">
        <w:instrText xml:space="preserve"> ADDIN EN.CITE &lt;EndNote&gt;&lt;Cite&gt;&lt;Author&gt;NICE&lt;/Author&gt;&lt;Year&gt;2007&lt;/Year&gt;&lt;RecNum&gt;204&lt;/RecNum&gt;&lt;DisplayText&gt;[220]&lt;/DisplayText&gt;&lt;record&gt;&lt;rec-number&gt;204&lt;/rec-number&gt;&lt;foreign-keys&gt;&lt;key app="EN" db-id="sz9092dv2s5fpze9wpgx0zxgv5ar00aezrvf" timestamp="0"&gt;204&lt;/key&gt;&lt;/foreign-keys&gt;&lt;ref-type name="Report"&gt;27&lt;/ref-type&gt;&lt;contributors&gt;&lt;authors&gt;&lt;author&gt;NICE&lt;/author&gt;&lt;/authors&gt;&lt;/contributors&gt;&lt;titles&gt;&lt;title&gt;Behaviour change: the principles for effective interventions&lt;/title&gt;&lt;secondary-title&gt;PH6&lt;/secondary-title&gt;&lt;/titles&gt;&lt;dates&gt;&lt;year&gt;2007&lt;/year&gt;&lt;/dates&gt;&lt;pub-location&gt;London&lt;/pub-location&gt;&lt;publisher&gt;National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[220]</w:t>
      </w:r>
      <w:r w:rsidRPr="00F10391">
        <w:fldChar w:fldCharType="end"/>
      </w:r>
      <w:r w:rsidRPr="00F10391">
        <w:t xml:space="preserve"> or “Community engagement” </w:t>
      </w:r>
      <w:r w:rsidRPr="00F10391">
        <w:fldChar w:fldCharType="begin"/>
      </w:r>
      <w:r w:rsidR="00700267">
        <w:instrText xml:space="preserve"> ADDIN EN.CITE &lt;EndNote&gt;&lt;Cite&gt;&lt;Author&gt;NICE&lt;/Author&gt;&lt;Year&gt;2008&lt;/Year&gt;&lt;RecNum&gt;207&lt;/RecNum&gt;&lt;DisplayText&gt;[221]&lt;/DisplayText&gt;&lt;record&gt;&lt;rec-number&gt;207&lt;/rec-number&gt;&lt;foreign-keys&gt;&lt;key app="EN" db-id="sz9092dv2s5fpze9wpgx0zxgv5ar00aezrvf" timestamp="0"&gt;207&lt;/key&gt;&lt;/foreign-keys&gt;&lt;ref-type name="Report"&gt;27&lt;/ref-type&gt;&lt;contributors&gt;&lt;authors&gt;&lt;author&gt;NICE&lt;/author&gt;&lt;/authors&gt;&lt;/contributors&gt;&lt;titles&gt;&lt;title&gt;Community engagement&lt;/title&gt;&lt;secondary-title&gt;PH9&lt;/secondary-title&gt;&lt;/titles&gt;&lt;dates&gt;&lt;year&gt;2008&lt;/year&gt;&lt;/dates&gt;&lt;pub-location&gt;London&lt;/pub-location&gt;&lt;publisher&gt;National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[221]</w:t>
      </w:r>
      <w:r w:rsidRPr="00F10391">
        <w:fldChar w:fldCharType="end"/>
      </w:r>
      <w:r w:rsidRPr="00F10391">
        <w:t xml:space="preserve">. PDGs could take up to a year to create suitable guidance. Over time, the question of whether the PHIAC or a PDG should be used for a given topic became less clear, and PDGs became more common. The revision of procedures and founding of PHACs was an attempt to reflect this reality and to take the best from both approaches. Appropriate committees could be assigned to the topic at hand, with the benefit of having worked together before and of a broad knowledge of the area, while also allowing subject experts to be included to ensure that all relevant areas were covered. </w:t>
      </w:r>
    </w:p>
    <w:p w14:paraId="3A10C6EC" w14:textId="77777777" w:rsidR="00D22CE3" w:rsidRPr="00F10391" w:rsidRDefault="00D22CE3"/>
    <w:p w14:paraId="30AC17B7" w14:textId="77777777" w:rsidR="00D22CE3" w:rsidRPr="00F10391" w:rsidRDefault="00D22CE3">
      <w:pPr>
        <w:pStyle w:val="Heading3"/>
      </w:pPr>
      <w:bookmarkStart w:id="414" w:name="_Toc304640226"/>
      <w:bookmarkStart w:id="415" w:name="_Toc313523533"/>
      <w:bookmarkStart w:id="416" w:name="_Toc441508971"/>
      <w:bookmarkStart w:id="417" w:name="_Toc453235409"/>
      <w:bookmarkStart w:id="418" w:name="_Toc453595482"/>
      <w:bookmarkStart w:id="419" w:name="_Toc476241579"/>
      <w:r w:rsidRPr="00F10391">
        <w:t>4.2.2</w:t>
      </w:r>
      <w:r w:rsidRPr="00F10391">
        <w:tab/>
      </w:r>
      <w:r w:rsidRPr="00F10391">
        <w:tab/>
        <w:t>Stages in the public health guidance development process</w:t>
      </w:r>
      <w:bookmarkEnd w:id="414"/>
      <w:bookmarkEnd w:id="415"/>
      <w:bookmarkEnd w:id="416"/>
      <w:bookmarkEnd w:id="417"/>
      <w:bookmarkEnd w:id="418"/>
      <w:bookmarkEnd w:id="419"/>
    </w:p>
    <w:p w14:paraId="55168200" w14:textId="77777777" w:rsidR="00D22CE3" w:rsidRPr="00F10391" w:rsidRDefault="00D22CE3">
      <w:r w:rsidRPr="00F10391">
        <w:t xml:space="preserve">Once a topic has been selected for the CPH – whether through the TAW process, or from a direct request from the Minister – the scoping stage begins. This is concerned with defining the fine grained details pertaining to the rest of the work: the identification of other relevant guidance previously issued, boundary setting for what is in and out of scope of the work arising from this, identification of the key systematic reviews and broadly setting parameters for the study. </w:t>
      </w:r>
    </w:p>
    <w:p w14:paraId="5B860E85" w14:textId="7B527036" w:rsidR="00D22CE3" w:rsidRPr="00F10391" w:rsidRDefault="00D22CE3">
      <w:pPr>
        <w:pStyle w:val="Caption"/>
      </w:pPr>
      <w:bookmarkStart w:id="420" w:name="_Toc304643523"/>
      <w:bookmarkStart w:id="421" w:name="_Toc444180814"/>
      <w:bookmarkStart w:id="422" w:name="_Toc476241451"/>
      <w:r w:rsidRPr="00F10391">
        <w:lastRenderedPageBreak/>
        <w:t xml:space="preserve">Figure </w:t>
      </w:r>
      <w:r w:rsidR="000F1034">
        <w:fldChar w:fldCharType="begin"/>
      </w:r>
      <w:r w:rsidR="000F1034">
        <w:instrText xml:space="preserve"> STYLEREF 1 \s </w:instrText>
      </w:r>
      <w:r w:rsidR="000F1034">
        <w:fldChar w:fldCharType="separate"/>
      </w:r>
      <w:r w:rsidR="00B37229">
        <w:rPr>
          <w:noProof/>
        </w:rPr>
        <w:t>4</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Stages to CPH guidance development process</w:t>
      </w:r>
      <w:bookmarkEnd w:id="420"/>
      <w:bookmarkEnd w:id="421"/>
      <w:bookmarkEnd w:id="422"/>
    </w:p>
    <w:p w14:paraId="40E7D9F6" w14:textId="77777777" w:rsidR="00D22CE3" w:rsidRPr="00F10391" w:rsidRDefault="00D22CE3">
      <w:pPr>
        <w:pStyle w:val="Caption"/>
      </w:pPr>
      <w:r w:rsidRPr="00F10391">
        <w:rPr>
          <w:noProof/>
          <w:lang w:val="en-IE" w:eastAsia="en-IE"/>
        </w:rPr>
        <w:drawing>
          <wp:inline distT="0" distB="0" distL="0" distR="0" wp14:anchorId="7BF331BE" wp14:editId="3BC840E8">
            <wp:extent cx="5504507" cy="519413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808" cy="5207631"/>
                    </a:xfrm>
                    <a:prstGeom prst="rect">
                      <a:avLst/>
                    </a:prstGeom>
                    <a:noFill/>
                  </pic:spPr>
                </pic:pic>
              </a:graphicData>
            </a:graphic>
          </wp:inline>
        </w:drawing>
      </w:r>
    </w:p>
    <w:p w14:paraId="19A17D73" w14:textId="77777777" w:rsidR="00D22CE3" w:rsidRPr="00F10391" w:rsidRDefault="00D22CE3"/>
    <w:p w14:paraId="63565867" w14:textId="77777777" w:rsidR="00D22CE3" w:rsidRPr="00F10391" w:rsidRDefault="00D22CE3">
      <w:r w:rsidRPr="00F10391">
        <w:t>The PHAC is not involved until the actual guidance development process begins; at which point the evidence is disclosed and weighed up to draw out the relevant considerations, recommendations are drafted, and recommendations for future research proposed. The panel will generally meet around 10 times over the course of about a year. Early on they are presented with the evidence reviews from the evidence providers, indicating the level of scientific evidence available in a range of potential settings. The likely costs of the intervention may be included at this stage or in a subsequent economic report, so that the cost-effectiveness of the intervention can be estimated. It is rare in public health that high quality cost-effectiveness data will be available at this stage. Remaining gaps in the evidence base can be filled through four channels:</w:t>
      </w:r>
    </w:p>
    <w:p w14:paraId="028A4708" w14:textId="77777777" w:rsidR="00D22CE3" w:rsidRPr="00F10391" w:rsidRDefault="00D22CE3">
      <w:pPr>
        <w:pStyle w:val="ListParagraph"/>
        <w:numPr>
          <w:ilvl w:val="0"/>
          <w:numId w:val="16"/>
        </w:numPr>
      </w:pPr>
      <w:r w:rsidRPr="00F10391">
        <w:t xml:space="preserve">Invited expert testimony from practitioners or academics specialising in the topic’s field. </w:t>
      </w:r>
    </w:p>
    <w:p w14:paraId="0DD3A8B2" w14:textId="77777777" w:rsidR="00D22CE3" w:rsidRPr="00F10391" w:rsidRDefault="00D22CE3">
      <w:pPr>
        <w:pStyle w:val="ListParagraph"/>
        <w:numPr>
          <w:ilvl w:val="0"/>
          <w:numId w:val="16"/>
        </w:numPr>
      </w:pPr>
      <w:r w:rsidRPr="00F10391">
        <w:t>Further economic modelling, including what if analysis, depending on the level of evidence available.</w:t>
      </w:r>
    </w:p>
    <w:p w14:paraId="0BFB5D48" w14:textId="77777777" w:rsidR="00D22CE3" w:rsidRPr="00F10391" w:rsidRDefault="00D22CE3">
      <w:pPr>
        <w:pStyle w:val="ListParagraph"/>
        <w:numPr>
          <w:ilvl w:val="0"/>
          <w:numId w:val="16"/>
        </w:numPr>
      </w:pPr>
      <w:r w:rsidRPr="00F10391">
        <w:t>Grey literature and contact with authors of as yet unpublished work.</w:t>
      </w:r>
    </w:p>
    <w:p w14:paraId="45364881" w14:textId="207C8201" w:rsidR="00D22CE3" w:rsidRPr="00F10391" w:rsidRDefault="00D22CE3">
      <w:pPr>
        <w:pStyle w:val="ListParagraph"/>
        <w:numPr>
          <w:ilvl w:val="0"/>
          <w:numId w:val="16"/>
        </w:numPr>
      </w:pPr>
      <w:r w:rsidRPr="00F10391">
        <w:lastRenderedPageBreak/>
        <w:t xml:space="preserve">The collective </w:t>
      </w:r>
      <w:r w:rsidR="001B7ADD">
        <w:t>judgment</w:t>
      </w:r>
      <w:r w:rsidRPr="00F10391">
        <w:t xml:space="preserve"> of the PHAC.</w:t>
      </w:r>
    </w:p>
    <w:p w14:paraId="4E88634A" w14:textId="38E04554" w:rsidR="00D22CE3" w:rsidRPr="00F10391" w:rsidRDefault="00D22CE3">
      <w:r w:rsidRPr="00F10391">
        <w:t xml:space="preserve">‘Evidence statements’ spell out the evidence accepted in devising the guidance. This section outlines the extrapolations and </w:t>
      </w:r>
      <w:r w:rsidR="001B7ADD">
        <w:t>judgment</w:t>
      </w:r>
      <w:r w:rsidRPr="00F10391">
        <w:t>s used in arriving at the decisions, the barriers and facilitators to following through on guidance, equality and diversity issues, and the potential for broader societal impacts.</w:t>
      </w:r>
    </w:p>
    <w:p w14:paraId="6155F356" w14:textId="77777777" w:rsidR="00D22CE3" w:rsidRPr="00F10391" w:rsidRDefault="00D22CE3">
      <w:r w:rsidRPr="00F10391">
        <w:t xml:space="preserve">The recommendations themselves are based upon a number of factors. The strength of the supporting evidence – its type, quality, quantity and consistency – must all be taken into account. The applicability of the evidence to the relevant populations and settings must also be considered. For example, if it worked in a city, will it work in rural communities? Is the study still relevant if it was carried out 20 years ago? If it worked in Japan, will it work in the UK? Issues relating to the context of the intervention’s delivery come to the fore in public health decisions, which are bound up with the health system and broader societal and sociological structures. There is clearly a less complex relationship at play with pharmacological impacts of drugs on the body; we would expect a drug’s efficacy in Leicester to work throughout the country and perhaps the world, whereas a community level obesity intervention may not even work on the other side of the city </w:t>
      </w:r>
      <w:r w:rsidRPr="00F10391">
        <w:fldChar w:fldCharType="begin"/>
      </w:r>
      <w:r w:rsidR="00700267">
        <w:instrText xml:space="preserve"> ADDIN EN.CITE &lt;EndNote&gt;&lt;Cite&gt;&lt;Author&gt;Fischer&lt;/Author&gt;&lt;Year&gt;2012&lt;/Year&gt;&lt;RecNum&gt;175&lt;/RecNum&gt;&lt;DisplayText&gt;[182]&lt;/DisplayText&gt;&lt;record&gt;&lt;rec-number&gt;175&lt;/rec-number&gt;&lt;foreign-keys&gt;&lt;key app="EN" db-id="sz9092dv2s5fpze9wpgx0zxgv5ar00aezrvf" timestamp="0"&gt;175&lt;/key&gt;&lt;/foreign-keys&gt;&lt;ref-type name="Report"&gt;27&lt;/ref-type&gt;&lt;contributors&gt;&lt;authors&gt;&lt;author&gt;Fischer, A; Phillips, C; Varney, J&lt;/author&gt;&lt;/authors&gt;&lt;/contributors&gt;&lt;titles&gt;&lt;title&gt;Obesity – working with local communities economic modelling; Cost-effectiveness analysis in partnership working for reducing obesity and other long-term conditions. &lt;/title&gt;&lt;secondary-title&gt;Obesity – working with local communities&lt;/secondary-title&gt;&lt;/titles&gt;&lt;dates&gt;&lt;year&gt;2012&lt;/year&gt;&lt;/dates&gt;&lt;pub-location&gt;London&lt;/pub-location&gt;&lt;publisher&gt;National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[182]</w:t>
      </w:r>
      <w:r w:rsidRPr="00F10391">
        <w:fldChar w:fldCharType="end"/>
      </w:r>
      <w:r w:rsidRPr="00F10391">
        <w:t>.</w:t>
      </w:r>
    </w:p>
    <w:p w14:paraId="396501D6" w14:textId="77777777" w:rsidR="00D22CE3" w:rsidRPr="00F10391" w:rsidRDefault="00D22CE3">
      <w:r w:rsidRPr="00F10391">
        <w:t xml:space="preserve">The cost-effectiveness of the intervention is of fundamental importance to all NICE decisions, and the size of the effect may also be considered independently of this, both on individual and population health. Other considerations must also be taken into account, including the impact on inequalities, the potential risks to health, the feasibility of implementing the guidance and in many cases unique aspects particular to that guidance topic. It is extremely unlikely that a single formula could ever be applied to make decisions for NICE in this way capturing all relevant factors, so deliberation is likely to remain vital to ensure common sense can prevail. </w:t>
      </w:r>
    </w:p>
    <w:p w14:paraId="73042F2D" w14:textId="146608BA" w:rsidR="00D22CE3" w:rsidRPr="00F10391" w:rsidRDefault="00D22CE3">
      <w:r w:rsidRPr="00F10391">
        <w:t xml:space="preserve">Questions relating to the quality of the evidence must also be considered, and balanced with the degree of applicability of the literature to the context in which the intervention would be used. Inevitably these will come into conflict at times. Where evidence is mixed, the PHAC and evidence providers must consider reasons why this is the case, what the overall message and direction of travel is in these findings, and whether it is appropriate to extrapolate and apply these to the UK today. These are not simple questions and require careful consideration, interpretation and application of previously established social value </w:t>
      </w:r>
      <w:r w:rsidR="001B7ADD">
        <w:t>judgment</w:t>
      </w:r>
      <w:r w:rsidRPr="00F10391">
        <w:t xml:space="preserve">s. </w:t>
      </w:r>
    </w:p>
    <w:p w14:paraId="0292D9A5" w14:textId="0B9D7441" w:rsidR="00D22CE3" w:rsidRPr="00F10391" w:rsidRDefault="00D22CE3">
      <w:r w:rsidRPr="00F10391">
        <w:t xml:space="preserve">Based upon the discussions at these meetings CPH staff will begin to write up the suggested recommendations of the committee, from the second half of the process onwards. These are presented to the committee for further discussion and are fine-tuned accordingly. Weighing up of each of these questions is carried out through the deliberation process, overseen by the CPH staff assigned to the topic. </w:t>
      </w:r>
      <w:r w:rsidR="001B7ADD">
        <w:t>Judgment</w:t>
      </w:r>
      <w:r w:rsidRPr="00F10391">
        <w:t xml:space="preserve"> is required to interpret each step of the process and arrive at suitable recommendations. Guidance development faces challenges throughout in weighing up the beliefs and knowledge of PHAC members, which may well contrast with the published evidence available. There is also the risk of scope creep; it is natural that the PHAC will be eager to push right up to bounds of what it is allowed to recommend, but NICE staff and the chair must ensure that they push no further. For example, in the ‘Obesity – working with local communities’ guidance, what constitutes a ‘local community’ in truth has a level of vagueness associated with it, and the chair had to ensure that the committee did not overstep the mark on this issue on more than one occasion.</w:t>
      </w:r>
    </w:p>
    <w:p w14:paraId="56B45200" w14:textId="77777777" w:rsidR="00D22CE3" w:rsidRPr="00F10391" w:rsidRDefault="00D22CE3">
      <w:r w:rsidRPr="00F10391">
        <w:lastRenderedPageBreak/>
        <w:t xml:space="preserve">The recommendations, once agreed, are made available to stakeholders so that they can comment and influence the final recommendations before their publication. Such groups include those responsible for delivering care, those receiving care (including patient groups and PPIP), those financing it, those managing care (policy makers and public health services), in certain cases employers, those monitoring the care provided, the pharmaceutical/device industries, and other industries that may be affected by the guidance (such as tobacco firms in smoking-related topics). </w:t>
      </w:r>
    </w:p>
    <w:p w14:paraId="5EBAB9A5" w14:textId="77777777" w:rsidR="00D22CE3" w:rsidRPr="00F10391" w:rsidRDefault="00D22CE3">
      <w:r w:rsidRPr="00F10391">
        <w:t>Once the validation stage is completed, the recommendations are published and the results are widely distributed to stakeholders and the public through appropriate channels. The results are also made available online, through NICE’s ‘Pathways’ website, which allows users to drill down to find guidance specific to the health area in question.</w:t>
      </w:r>
    </w:p>
    <w:p w14:paraId="3C70D226" w14:textId="77777777" w:rsidR="00D22CE3" w:rsidRPr="00F10391" w:rsidRDefault="00D22CE3">
      <w:r w:rsidRPr="00F10391">
        <w:t xml:space="preserve">NICE are also committed to helping local authorities implement the findings in their communities. This remains a crucial and sensitive area in light of the devolution of public health responsibility to local government. There is a variety of ways in which NICE can help with this, whether by allowing local communities access to meetings with CPH staff, or providing tools which might help monitor and understand the impacts of the intervention on the local community or show the likely return on investment from providing such services. </w:t>
      </w:r>
    </w:p>
    <w:p w14:paraId="4F3AC229" w14:textId="77777777" w:rsidR="00D22CE3" w:rsidRPr="00F10391" w:rsidRDefault="00D22CE3"/>
    <w:p w14:paraId="1C378E3E" w14:textId="77777777" w:rsidR="00D22CE3" w:rsidRPr="00F10391" w:rsidRDefault="00D22CE3">
      <w:pPr>
        <w:pStyle w:val="Heading3"/>
      </w:pPr>
      <w:bookmarkStart w:id="423" w:name="_Toc304640227"/>
      <w:bookmarkStart w:id="424" w:name="_Toc313523534"/>
      <w:bookmarkStart w:id="425" w:name="_Toc441508972"/>
      <w:bookmarkStart w:id="426" w:name="_Toc453235410"/>
      <w:bookmarkStart w:id="427" w:name="_Toc453595483"/>
      <w:bookmarkStart w:id="428" w:name="_Toc476241580"/>
      <w:r w:rsidRPr="00F10391">
        <w:t>4.2.3</w:t>
      </w:r>
      <w:r w:rsidRPr="00F10391">
        <w:tab/>
      </w:r>
      <w:r w:rsidRPr="00F10391">
        <w:tab/>
        <w:t>Decision frameworks used in the public health guidance development process</w:t>
      </w:r>
      <w:bookmarkEnd w:id="423"/>
      <w:bookmarkEnd w:id="424"/>
      <w:bookmarkEnd w:id="425"/>
      <w:bookmarkEnd w:id="426"/>
      <w:bookmarkEnd w:id="427"/>
      <w:bookmarkEnd w:id="428"/>
    </w:p>
    <w:p w14:paraId="1A5890DB" w14:textId="77777777" w:rsidR="00D22CE3" w:rsidRPr="00F10391" w:rsidRDefault="00D22CE3">
      <w:r w:rsidRPr="00F10391">
        <w:t>The CPH has a standardised framework by which to structure the guideline development process, referred to as the reference case. It specifies the perspective that should be used for the economic evaluation and the appropriate time horizon, discount rate and so on when considering the impact of an intervention. These are better characterised as norms rather than strict rules, as certain deviations are permitted when deemed necessary, though they need to be justified transparently and clearly. The approach ensures evaluations broadly follow the same format each time, so that the results within the CPH (and across other NICE directorates) are largely comparable. This also ensures ease of understanding for practitioners, increasing confidence in the findings.</w:t>
      </w:r>
    </w:p>
    <w:p w14:paraId="52B9DB1A" w14:textId="77777777" w:rsidR="00D22CE3" w:rsidRPr="00F10391" w:rsidRDefault="00D22CE3">
      <w:r w:rsidRPr="00F10391">
        <w:t xml:space="preserve">The CPH’s reference case has gradually shifted since it was first issued in 2006, shown in Table 4.1 </w:t>
      </w:r>
      <w:r w:rsidRPr="00F10391">
        <w:fldChar w:fldCharType="begin">
          <w:fldData xml:space="preserve">PEVuZE5vdGU+PENpdGU+PEF1dGhvcj5OSUNFPC9BdXRob3I+PFllYXI+MjAwNjwvWWVhcj48UmVj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</w:fldData>
        </w:fldChar>
      </w:r>
      <w:r w:rsidR="00700267">
        <w:instrText xml:space="preserve"> ADDIN EN.CITE </w:instrText>
      </w:r>
      <w:r w:rsidR="00700267">
        <w:fldChar w:fldCharType="begin">
          <w:fldData xml:space="preserve">PEVuZE5vdGU+PENpdGU+PEF1dGhvcj5OSUNFPC9BdXRob3I+PFllYXI+MjAwNjwvWWVhcj48UmVj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</w:fldData>
        </w:fldChar>
      </w:r>
      <w:r w:rsidR="00700267">
        <w:instrText xml:space="preserve"> ADDIN EN.CITE.DATA </w:instrText>
      </w:r>
      <w:r w:rsidR="00700267">
        <w:fldChar w:fldCharType="end"/>
      </w:r>
      <w:r w:rsidRPr="00F10391">
        <w:fldChar w:fldCharType="separate"/>
      </w:r>
      <w:r w:rsidR="00700267">
        <w:rPr>
          <w:noProof/>
        </w:rPr>
        <w:t>[10, 222-225]</w:t>
      </w:r>
      <w:r w:rsidRPr="00F10391">
        <w:fldChar w:fldCharType="end"/>
      </w:r>
      <w:r w:rsidRPr="00F10391">
        <w:t xml:space="preserve">. In 2006, it borrowed heavily from the standard NICE reference case, but experience in applying these approaches to the more complex area of public health appears to be pushing it more and more towards a tailored set of techniques and assumptions. The 2012 methods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reflected this, alongside changes in line with those introduced in the Health and Social Care Act </w:t>
      </w:r>
      <w:r w:rsidRPr="00F10391">
        <w:fldChar w:fldCharType="begin"/>
      </w:r>
      <w:r w:rsidR="00700267">
        <w:instrText xml:space="preserve"> ADDIN EN.CITE &lt;EndNote&gt;&lt;Cite&gt;&lt;Author&gt;UK Government&lt;/Author&gt;&lt;Year&gt;2012&lt;/Year&gt;&lt;RecNum&gt;172&lt;/RecNum&gt;&lt;DisplayText&gt;[17]&lt;/DisplayText&gt;&lt;record&gt;&lt;rec-number&gt;172&lt;/rec-number&gt;&lt;foreign-keys&gt;&lt;key app="EN" db-id="sz9092dv2s5fpze9wpgx0zxgv5ar00aezrvf" timestamp="0"&gt;172&lt;/key&gt;&lt;/foreign-keys&gt;&lt;ref-type name="Report"&gt;27&lt;/ref-type&gt;&lt;contributors&gt;&lt;authors&gt;&lt;author&gt;UK Government,&lt;/author&gt;&lt;/authors&gt;&lt;/contributors&gt;&lt;titles&gt;&lt;title&gt;The Health and Social Care Act&lt;/title&gt;&lt;/titles&gt;&lt;dates&gt;&lt;year&gt;2012&lt;/year&gt;&lt;/dates&gt;&lt;pub-location&gt;London&lt;/pub-location&gt;&lt;publisher&gt;Stationery Office&lt;/publisher&gt;&lt;urls&gt;&lt;related-urls&gt;&lt;url&gt;Available at http://www.legislation.gov.uk/ukpga/2012/7/contents/enacted&lt;/url&gt;&lt;/related-urls&gt;&lt;/urls&gt;&lt;access-date&gt;15 October 2014&lt;/access-date&gt;&lt;/record&gt;&lt;/Cite&gt;&lt;/EndNote&gt;</w:instrText>
      </w:r>
      <w:r w:rsidRPr="00F10391">
        <w:fldChar w:fldCharType="separate"/>
      </w:r>
      <w:r w:rsidR="00700267">
        <w:rPr>
          <w:noProof/>
        </w:rPr>
        <w:t>[17]</w:t>
      </w:r>
      <w:r w:rsidRPr="00F10391">
        <w:fldChar w:fldCharType="end"/>
      </w:r>
      <w:r w:rsidRPr="00F10391">
        <w:t xml:space="preserve">. The latest updates to methods guidance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published in October 2014, allow for further discretion still.</w:t>
      </w:r>
    </w:p>
    <w:p w14:paraId="3F176177" w14:textId="77777777" w:rsidR="00D22CE3" w:rsidRPr="00F10391" w:rsidRDefault="00D22CE3">
      <w:r w:rsidRPr="00F10391">
        <w:t>Since 2012, a local government perspective has been permitted when the costs and benefits largely accrue at this level, as would be expected with the changes arising from the Health and Social Care Act. A societal perspective is also allowed, which has previously been used in a secondary role on occasion. The 2014 guidance will apply across directorates for the first time. It allows discretion depending on the nature of health, non-health and social care outcomes.</w:t>
      </w:r>
    </w:p>
    <w:bookmarkStart w:id="429" w:name="_Toc444180792"/>
    <w:bookmarkStart w:id="430" w:name="_Toc304643502"/>
    <w:p w14:paraId="7F02F715" w14:textId="77777777" w:rsidR="00D22CE3" w:rsidRPr="00F10391" w:rsidRDefault="00D22CE3" w:rsidP="0063065F">
      <w:pPr>
        <w:rPr>
          <w:lang w:eastAsia="en-US"/>
        </w:rPr>
      </w:pPr>
      <w:r w:rsidRPr="00F10391">
        <w:rPr>
          <w:rFonts w:ascii="Charter Roman" w:hAnsi="Charter Roman"/>
          <w:i/>
          <w:noProof/>
          <w:sz w:val="20"/>
          <w:szCs w:val="20"/>
          <w:lang w:val="en-IE" w:eastAsia="en-IE"/>
        </w:rPr>
        <w:lastRenderedPageBreak/>
        <mc:AlternateContent>
          <mc:Choice Requires="wps">
            <w:drawing>
              <wp:anchor distT="45720" distB="45720" distL="114300" distR="114300" simplePos="0" relativeHeight="251667456" behindDoc="0" locked="0" layoutInCell="1" allowOverlap="1" wp14:anchorId="0C6ED9EE" wp14:editId="13AB242E">
                <wp:simplePos x="0" y="0"/>
                <wp:positionH relativeFrom="column">
                  <wp:posOffset>-2616200</wp:posOffset>
                </wp:positionH>
                <wp:positionV relativeFrom="paragraph">
                  <wp:posOffset>5613400</wp:posOffset>
                </wp:positionV>
                <wp:extent cx="5829300" cy="292100"/>
                <wp:effectExtent l="6350" t="0" r="635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29300" cy="292100"/>
                        </a:xfrm>
                        <a:prstGeom prst="rect">
                          <a:avLst/>
                        </a:prstGeom>
                        <a:solidFill>
                          <a:srgbClr val="FFFFFF"/>
                        </a:solidFill>
                        <a:ln w="9525">
                          <a:noFill/>
                          <a:miter lim="800000"/>
                          <a:headEnd/>
                          <a:tailEnd/>
                        </a:ln>
                      </wps:spPr>
                      <wps:txbx>
                        <w:txbxContent>
                          <w:p w14:paraId="02EE12B9" w14:textId="579E611C" w:rsidR="0063065F" w:rsidRDefault="0063065F" w:rsidP="00494A9A">
                            <w:bookmarkStart w:id="431" w:name="_Toc476241428"/>
                            <w:r w:rsidRPr="008D62E3">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rsidRPr="008D62E3">
                              <w:t xml:space="preserve"> – The CPH's evolving reference case from 2006-2014</w:t>
                            </w:r>
                            <w:r>
                              <w:t>, continued over coming pages</w:t>
                            </w:r>
                            <w:bookmarkEnd w:id="431"/>
                          </w:p>
                          <w:p w14:paraId="025107C5" w14:textId="77777777" w:rsidR="0063065F" w:rsidRDefault="0063065F" w:rsidP="00494A9A"/>
                          <w:p w14:paraId="79A3CBC2" w14:textId="77777777" w:rsidR="0063065F" w:rsidRDefault="0063065F" w:rsidP="00494A9A"/>
                          <w:p w14:paraId="1BCCD559" w14:textId="77777777" w:rsidR="0063065F" w:rsidRDefault="0063065F" w:rsidP="00494A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D9EE" id="_x0000_s1027" type="#_x0000_t202" style="position:absolute;left:0;text-align:left;margin-left:-206pt;margin-top:442pt;width:459pt;height:23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" stroked="f">
                <v:textbox>
                  <w:txbxContent>
                    <w:p w14:paraId="02EE12B9" w14:textId="579E611C" w:rsidR="0063065F" w:rsidRDefault="0063065F" w:rsidP="00494A9A">
                      <w:bookmarkStart w:id="433" w:name="_Toc476241428"/>
                      <w:r w:rsidRPr="008D62E3">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rsidRPr="008D62E3">
                        <w:t xml:space="preserve"> – The CPH's evolving reference case from 2006-2014</w:t>
                      </w:r>
                      <w:r>
                        <w:t>, continued over coming pages</w:t>
                      </w:r>
                      <w:bookmarkEnd w:id="433"/>
                    </w:p>
                    <w:p w14:paraId="025107C5" w14:textId="77777777" w:rsidR="0063065F" w:rsidRDefault="0063065F" w:rsidP="00494A9A"/>
                    <w:p w14:paraId="79A3CBC2" w14:textId="77777777" w:rsidR="0063065F" w:rsidRDefault="0063065F" w:rsidP="00494A9A"/>
                    <w:p w14:paraId="1BCCD559" w14:textId="77777777" w:rsidR="0063065F" w:rsidRDefault="0063065F" w:rsidP="00494A9A"/>
                  </w:txbxContent>
                </v:textbox>
                <w10:wrap type="square"/>
              </v:shape>
            </w:pict>
          </mc:Fallback>
        </mc:AlternateContent>
      </w:r>
      <w:bookmarkEnd w:id="429"/>
      <w:bookmarkEnd w:id="430"/>
      <w:r w:rsidRPr="00F10391">
        <w:rPr>
          <w:noProof/>
          <w:lang w:val="en-IE" w:eastAsia="en-IE"/>
        </w:rPr>
        <w:drawing>
          <wp:inline distT="0" distB="0" distL="0" distR="0" wp14:anchorId="2797AC57" wp14:editId="00BB3EDB">
            <wp:extent cx="8698225" cy="4552170"/>
            <wp:effectExtent l="0" t="3492" r="4762" b="4763"/>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712148" cy="4559457"/>
                    </a:xfrm>
                    <a:prstGeom prst="rect">
                      <a:avLst/>
                    </a:prstGeom>
                    <a:noFill/>
                    <a:ln>
                      <a:noFill/>
                    </a:ln>
                  </pic:spPr>
                </pic:pic>
              </a:graphicData>
            </a:graphic>
          </wp:inline>
        </w:drawing>
      </w:r>
    </w:p>
    <w:p w14:paraId="2FCDCD34" w14:textId="77777777" w:rsidR="00D22CE3" w:rsidRPr="00F10391" w:rsidRDefault="00D22CE3" w:rsidP="00494A9A">
      <w:r w:rsidRPr="00F10391">
        <w:rPr>
          <w:noProof/>
          <w:lang w:val="en-IE" w:eastAsia="en-IE"/>
        </w:rPr>
        <w:lastRenderedPageBreak/>
        <w:drawing>
          <wp:inline distT="0" distB="0" distL="0" distR="0" wp14:anchorId="2A670258" wp14:editId="4CD1B8F2">
            <wp:extent cx="8749582" cy="4782820"/>
            <wp:effectExtent l="1905" t="0" r="0" b="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771080" cy="4794572"/>
                    </a:xfrm>
                    <a:prstGeom prst="rect">
                      <a:avLst/>
                    </a:prstGeom>
                    <a:noFill/>
                    <a:ln>
                      <a:noFill/>
                    </a:ln>
                  </pic:spPr>
                </pic:pic>
              </a:graphicData>
            </a:graphic>
          </wp:inline>
        </w:drawing>
      </w:r>
    </w:p>
    <w:p w14:paraId="0545FF03" w14:textId="77777777" w:rsidR="00D22CE3" w:rsidRPr="00F10391" w:rsidRDefault="00D22CE3" w:rsidP="00494A9A"/>
    <w:p w14:paraId="6954D5A0" w14:textId="77777777" w:rsidR="00D22CE3" w:rsidRPr="00F10391" w:rsidRDefault="00D22CE3" w:rsidP="00494A9A">
      <w:r w:rsidRPr="00F10391">
        <w:rPr>
          <w:noProof/>
          <w:lang w:val="en-IE" w:eastAsia="en-IE"/>
        </w:rPr>
        <w:drawing>
          <wp:inline distT="0" distB="0" distL="0" distR="0" wp14:anchorId="24B0EC20" wp14:editId="325F5F71">
            <wp:extent cx="8483227" cy="2970117"/>
            <wp:effectExtent l="0" t="5715" r="7620" b="762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528224" cy="2985871"/>
                    </a:xfrm>
                    <a:prstGeom prst="rect">
                      <a:avLst/>
                    </a:prstGeom>
                    <a:noFill/>
                    <a:ln>
                      <a:noFill/>
                    </a:ln>
                  </pic:spPr>
                </pic:pic>
              </a:graphicData>
            </a:graphic>
          </wp:inline>
        </w:drawing>
      </w:r>
    </w:p>
    <w:p w14:paraId="76945C86" w14:textId="77777777" w:rsidR="00D22CE3" w:rsidRPr="00F10391" w:rsidRDefault="00D22CE3" w:rsidP="00494A9A">
      <w:r w:rsidRPr="00F10391">
        <w:lastRenderedPageBreak/>
        <w:t xml:space="preserve">While cost-consequence analysis has always been allowed (if rarely used) since 2006 </w:t>
      </w:r>
      <w:r w:rsidRPr="00F10391">
        <w:fldChar w:fldCharType="begin"/>
      </w:r>
      <w:r w:rsidR="00700267">
        <w:instrText xml:space="preserve"> ADDIN EN.CITE &lt;EndNote&gt;&lt;Cite&gt;&lt;Author&gt;NICE&lt;/Author&gt;&lt;Year&gt;2006&lt;/Year&gt;&lt;RecNum&gt;103&lt;/RecNum&gt;&lt;DisplayText&gt;[222]&lt;/DisplayText&gt;&lt;record&gt;&lt;rec-number&gt;103&lt;/rec-number&gt;&lt;foreign-keys&gt;&lt;key app="EN" db-id="sz9092dv2s5fpze9wpgx0zxgv5ar00aezrvf" timestamp="0"&gt;103&lt;/key&gt;&lt;/foreign-keys&gt;&lt;ref-type name="Report"&gt;27&lt;/ref-type&gt;&lt;contributors&gt;&lt;authors&gt;&lt;author&gt;NICE&lt;/author&gt;&lt;/authors&gt;&lt;/contributors&gt;&lt;titles&gt;&lt;title&gt;Methods for the development of NICE public health guidance&lt;/title&gt;&lt;secondary-title&gt;NICE: London&lt;/secondary-title&gt;&lt;/titles&gt;&lt;dates&gt;&lt;year&gt;2006&lt;/year&gt;&lt;/dates&gt;&lt;pub-location&gt;London&lt;/pub-location&gt;&lt;publisher&gt;National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[222]</w:t>
      </w:r>
      <w:r w:rsidRPr="00F10391">
        <w:fldChar w:fldCharType="end"/>
      </w:r>
      <w:r w:rsidRPr="00F10391">
        <w:t xml:space="preserve">, and cost-benefit analysis permitted since 2009 </w:t>
      </w:r>
      <w:r w:rsidRPr="00F10391">
        <w:fldChar w:fldCharType="begin"/>
      </w:r>
      <w:r w:rsidR="00700267">
        <w:instrText xml:space="preserve"> ADDIN EN.CITE &lt;EndNote&gt;&lt;Cite&gt;&lt;Author&gt;NICE&lt;/Author&gt;&lt;Year&gt;2009&lt;/Year&gt;&lt;RecNum&gt;186&lt;/RecNum&gt;&lt;DisplayText&gt;[224]&lt;/DisplayText&gt;&lt;record&gt;&lt;rec-number&gt;186&lt;/rec-number&gt;&lt;foreign-keys&gt;&lt;key app="EN" db-id="sz9092dv2s5fpze9wpgx0zxgv5ar00aezrvf" timestamp="0"&gt;186&lt;/key&gt;&lt;/foreign-keys&gt;&lt;ref-type name="Report"&gt;27&lt;/ref-type&gt;&lt;contributors&gt;&lt;authors&gt;&lt;author&gt;NICE  &lt;/author&gt;&lt;/authors&gt;&lt;/contributors&gt;&lt;titles&gt;&lt;title&gt;Methods for the development of NICE public health guidance&lt;/title&gt;&lt;/titles&gt;&lt;edition&gt;Second edition&lt;/edition&gt;&lt;dates&gt;&lt;year&gt;2009&lt;/year&gt;&lt;/dates&gt;&lt;pub-location&gt;London&lt;/pub-location&gt;&lt;publisher&gt;National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[224]</w:t>
      </w:r>
      <w:r w:rsidRPr="00F10391">
        <w:fldChar w:fldCharType="end"/>
      </w:r>
      <w:r w:rsidRPr="00F10391">
        <w:t xml:space="preserve">, they are featured much more prominently in the manual since 2012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with cost-utility analysis seemingly recommended primarily to ensure comparability with other NICE departments. </w:t>
      </w:r>
    </w:p>
    <w:p w14:paraId="34AE751F" w14:textId="77777777" w:rsidR="00D22CE3" w:rsidRPr="00F10391" w:rsidRDefault="00D22CE3" w:rsidP="00490B5D">
      <w:r w:rsidRPr="00F10391">
        <w:t xml:space="preserve">The discounting rate has been reduced from 3.5% to 1.5% on both costs and benefits in public health, reflecting the necessity of taking a longer-term perspective in public health to accurately reflect the savings made. The Treasury Green Book </w:t>
      </w:r>
      <w:r w:rsidRPr="00F10391">
        <w:fldChar w:fldCharType="begin"/>
      </w:r>
      <w:r w:rsidR="00700267">
        <w:instrText xml:space="preserve"> ADDIN EN.CITE &lt;EndNote&gt;&lt;Cite&gt;&lt;Author&gt;Treasury&lt;/Author&gt;&lt;Year&gt;2003&lt;/Year&gt;&lt;RecNum&gt;59&lt;/RecNum&gt;&lt;DisplayText&gt;[226]&lt;/DisplayText&gt;&lt;record&gt;&lt;rec-number&gt;59&lt;/rec-number&gt;&lt;foreign-keys&gt;&lt;key app="EN" db-id="sz9092dv2s5fpze9wpgx0zxgv5ar00aezrvf" timestamp="0"&gt;59&lt;/key&gt;&lt;/foreign-keys&gt;&lt;ref-type name="Book"&gt;6&lt;/ref-type&gt;&lt;contributors&gt;&lt;authors&gt;&lt;author&gt;HM Treasury,&lt;/author&gt;&lt;/authors&gt;&lt;/contributors&gt;&lt;titles&gt;&lt;title&gt;The Green Book: appraisal and evaluation in central government: Treasury guidance&lt;/title&gt;&lt;/titles&gt;&lt;dates&gt;&lt;year&gt;2003&lt;/year&gt;&lt;/dates&gt;&lt;publisher&gt;Stationery Office&lt;/publisher&gt;&lt;isbn&gt;0115601074&lt;/isbn&gt;&lt;urls&gt;&lt;/urls&gt;&lt;/record&gt;&lt;/Cite&gt;&lt;/EndNote&gt;</w:instrText>
      </w:r>
      <w:r w:rsidRPr="00F10391">
        <w:fldChar w:fldCharType="separate"/>
      </w:r>
      <w:r w:rsidR="00700267">
        <w:rPr>
          <w:noProof/>
        </w:rPr>
        <w:t>[226]</w:t>
      </w:r>
      <w:r w:rsidRPr="00F10391">
        <w:fldChar w:fldCharType="end"/>
      </w:r>
      <w:r w:rsidRPr="00F10391">
        <w:t xml:space="preserve"> allows a discount rate of anywhere between 1.5% to 3.5% be used across government departments, provided the decision is justifiable. Within other NICE directorates, the lower rate was already used where “treatment effects are both substantial in restoring health and sustained over a very long period (normally at least 30 years)” </w:t>
      </w:r>
      <w:r w:rsidRPr="00F10391">
        <w:fldChar w:fldCharType="begin"/>
      </w:r>
      <w:r w:rsidR="00700267">
        <w:instrText xml:space="preserve"> ADDIN EN.CITE &lt;EndNote&gt;&lt;Cite&gt;&lt;Author&gt;NICE&lt;/Author&gt;&lt;Year&gt;2008&lt;/Year&gt;&lt;RecNum&gt;185&lt;/RecNum&gt;&lt;DisplayText&gt;[227]&lt;/DisplayText&gt;&lt;record&gt;&lt;rec-number&gt;185&lt;/rec-number&gt;&lt;foreign-keys&gt;&lt;key app="EN" db-id="sz9092dv2s5fpze9wpgx0zxgv5ar00aezrvf" timestamp="0"&gt;185&lt;/key&gt;&lt;/foreign-keys&gt;&lt;ref-type name="Report"&gt;27&lt;/ref-type&gt;&lt;contributors&gt;&lt;authors&gt;&lt;author&gt;NICE&lt;/author&gt;&lt;/authors&gt;&lt;/contributors&gt;&lt;titles&gt;&lt;title&gt;Guide to the Methods of Technology Appraisals&lt;/title&gt;&lt;/titles&gt;&lt;dates&gt;&lt;year&gt;2008&lt;/year&gt;&lt;/dates&gt;&lt;pub-location&gt;London&lt;/pub-location&gt;&lt;publisher&gt;National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[227]</w:t>
      </w:r>
      <w:r w:rsidRPr="00F10391">
        <w:fldChar w:fldCharType="end"/>
      </w:r>
      <w:r w:rsidRPr="00F10391">
        <w:t xml:space="preserve">, further necessitating the apparent need within the CPH to revise the rate downwards in order to allow fair comparisons of cost-effectiveness. Sensitivity analyses are required to show the effect of applying the higher discount rate, again to ensure comparability. </w:t>
      </w:r>
    </w:p>
    <w:p w14:paraId="23CFE43B" w14:textId="77777777" w:rsidR="00D22CE3" w:rsidRPr="00F10391" w:rsidRDefault="00D22CE3" w:rsidP="00490B5D">
      <w:r w:rsidRPr="00F10391">
        <w:t>Other elements of the reference case have not changed over this time; QALYs remain the sole recommended measure of health effects, and explicit equity weighting is not permitted. These too may change in future, even outside the realm of public health. Before his retirement as chair of NICE, Sir Michael Rawlins made clear his view that changes seem required in future in both areas:</w:t>
      </w:r>
    </w:p>
    <w:p w14:paraId="79736739" w14:textId="323EB4C5" w:rsidR="00D22CE3" w:rsidRPr="00F10391" w:rsidRDefault="00D22CE3" w:rsidP="006A5AA3">
      <w:pPr>
        <w:ind w:left="720"/>
      </w:pPr>
      <w:r w:rsidRPr="00F10391">
        <w:t xml:space="preserve">“I am uneasy about the mantra of ‘a QALY is a QALY is a QALY’. It means that an increase in utility from 0.3 to 0.5 is valued the same as an increase from 0.7 to 0.9. I am not sure that this is fair. It certainly fails to meet John Rawls’ approach to distributive justice, which states that resources should be allocated in a manner that brings the greatest benefit to the least-advantaged members of society” </w:t>
      </w:r>
      <w:r w:rsidRPr="00F10391">
        <w:fldChar w:fldCharType="begin"/>
      </w:r>
      <w:r w:rsidR="00700267">
        <w:instrText xml:space="preserve"> ADDIN EN.CITE &lt;EndNote&gt;&lt;Cite&gt;&lt;Author&gt;Rawlins&lt;/Author&gt;&lt;Year&gt;2012&lt;/Year&gt;&lt;RecNum&gt;113&lt;/RecNum&gt;&lt;DisplayText&gt;[228]&lt;/DisplayText&gt;&lt;record&gt;&lt;rec-number&gt;113&lt;/rec-number&gt;&lt;foreign-keys&gt;&lt;key app="EN" db-id="sz9092dv2s5fpze9wpgx0zxgv5ar00aezrvf" timestamp="0"&gt;113&lt;/key&gt;&lt;/foreign-keys&gt;&lt;ref-type name="Journal Article"&gt;17&lt;/ref-type&gt;&lt;contributors&gt;&lt;authors&gt;&lt;author&gt;Rawlins, Michael&lt;/author&gt;&lt;/authors&gt;&lt;/contributors&gt;&lt;titles&gt;&lt;title&gt;Reflections: NICE, health economics, and outcomes research&lt;/title&gt;&lt;secondary-title&gt;Value in Health&lt;/secondary-title&gt;&lt;/titles&gt;&lt;periodical&gt;&lt;full-title&gt;Value in Health&lt;/full-title&gt;&lt;/periodical&gt;&lt;pages&gt;568-569&lt;/pages&gt;&lt;volume&gt;15&lt;/volume&gt;&lt;number&gt;3&lt;/number&gt;&lt;dates&gt;&lt;year&gt;2012&lt;/year&gt;&lt;/dates&gt;&lt;isbn&gt;1098-3015&lt;/isbn&gt;&lt;urls&gt;&lt;related-urls&gt;&lt;url&gt;http://www.valueinhealthjournal.com/article/S1098-3015(12)00065-4/pdf&lt;/url&gt;&lt;/related-urls&gt;&lt;/urls&gt;&lt;/record&gt;&lt;/Cite&gt;&lt;/EndNote&gt;</w:instrText>
      </w:r>
      <w:r w:rsidRPr="00F10391">
        <w:fldChar w:fldCharType="separate"/>
      </w:r>
      <w:r w:rsidR="00700267">
        <w:rPr>
          <w:noProof/>
        </w:rPr>
        <w:t>[228]</w:t>
      </w:r>
      <w:r w:rsidRPr="00F10391">
        <w:fldChar w:fldCharType="end"/>
      </w:r>
      <w:r w:rsidRPr="00F10391">
        <w:t xml:space="preserve"> (</w:t>
      </w:r>
      <w:r w:rsidR="008533CC">
        <w:t>p.</w:t>
      </w:r>
      <w:r w:rsidRPr="00F10391">
        <w:t>568)</w:t>
      </w:r>
      <w:r w:rsidR="0006231D">
        <w:t>.</w:t>
      </w:r>
    </w:p>
    <w:p w14:paraId="5B4BF3F6" w14:textId="77777777" w:rsidR="00D22CE3" w:rsidRPr="00F10391" w:rsidRDefault="00D22CE3" w:rsidP="00494A9A">
      <w:r w:rsidRPr="00F10391">
        <w:t xml:space="preserve">In the same article, Rawlins also speculated about the future role of equity weighting being formally incorporated into the process. </w:t>
      </w:r>
    </w:p>
    <w:p w14:paraId="0BDB00C2" w14:textId="49C38C1B" w:rsidR="00D22CE3" w:rsidRPr="00F10391" w:rsidRDefault="00D22CE3" w:rsidP="006A5AA3">
      <w:pPr>
        <w:ind w:left="720"/>
      </w:pPr>
      <w:r w:rsidRPr="00F10391">
        <w:t xml:space="preserve">“It would be better, though, if – at least in part – such judgments were to be incorporated quantitatively, rather than qualitatively, into decision-making. In other words, ‘equity weighting’ needs to be developed in a robust manner so that allocative decision-making becomes more explicit” </w:t>
      </w:r>
      <w:r w:rsidRPr="00F10391">
        <w:fldChar w:fldCharType="begin"/>
      </w:r>
      <w:r w:rsidR="00700267">
        <w:instrText xml:space="preserve"> ADDIN EN.CITE &lt;EndNote&gt;&lt;Cite&gt;&lt;Author&gt;Rawlins&lt;/Author&gt;&lt;Year&gt;2012&lt;/Year&gt;&lt;RecNum&gt;113&lt;/RecNum&gt;&lt;DisplayText&gt;[228]&lt;/DisplayText&gt;&lt;record&gt;&lt;rec-number&gt;113&lt;/rec-number&gt;&lt;foreign-keys&gt;&lt;key app="EN" db-id="sz9092dv2s5fpze9wpgx0zxgv5ar00aezrvf" timestamp="0"&gt;113&lt;/key&gt;&lt;/foreign-keys&gt;&lt;ref-type name="Journal Article"&gt;17&lt;/ref-type&gt;&lt;contributors&gt;&lt;authors&gt;&lt;author&gt;Rawlins, Michael&lt;/author&gt;&lt;/authors&gt;&lt;/contributors&gt;&lt;titles&gt;&lt;title&gt;Reflections: NICE, health economics, and outcomes research&lt;/title&gt;&lt;secondary-title&gt;Value in Health&lt;/secondary-title&gt;&lt;/titles&gt;&lt;periodical&gt;&lt;full-title&gt;Value in Health&lt;/full-title&gt;&lt;/periodical&gt;&lt;pages&gt;568-569&lt;/pages&gt;&lt;volume&gt;15&lt;/volume&gt;&lt;number&gt;3&lt;/number&gt;&lt;dates&gt;&lt;year&gt;2012&lt;/year&gt;&lt;/dates&gt;&lt;isbn&gt;1098-3015&lt;/isbn&gt;&lt;urls&gt;&lt;related-urls&gt;&lt;url&gt;http://www.valueinhealthjournal.com/article/S1098-3015(12)00065-4/pdf&lt;/url&gt;&lt;/related-urls&gt;&lt;/urls&gt;&lt;/record&gt;&lt;/Cite&gt;&lt;/EndNote&gt;</w:instrText>
      </w:r>
      <w:r w:rsidRPr="00F10391">
        <w:fldChar w:fldCharType="separate"/>
      </w:r>
      <w:r w:rsidR="00700267">
        <w:rPr>
          <w:noProof/>
        </w:rPr>
        <w:t>[228]</w:t>
      </w:r>
      <w:r w:rsidRPr="00F10391">
        <w:fldChar w:fldCharType="end"/>
      </w:r>
      <w:r w:rsidRPr="00F10391">
        <w:t xml:space="preserve"> (</w:t>
      </w:r>
      <w:r w:rsidR="008533CC">
        <w:t>p.</w:t>
      </w:r>
      <w:r w:rsidRPr="00F10391">
        <w:t>568)</w:t>
      </w:r>
      <w:r w:rsidR="0006231D">
        <w:t>.</w:t>
      </w:r>
    </w:p>
    <w:p w14:paraId="6BB8C487" w14:textId="77777777" w:rsidR="00D22CE3" w:rsidRPr="00F10391" w:rsidRDefault="00D22CE3" w:rsidP="00494A9A">
      <w:r w:rsidRPr="00F10391">
        <w:t xml:space="preserve">The shifts in the processes employed in the CPH, particularly the use of CCA and the more complex perspectives, could be used as a stepping stone towards a more quantitative decision analytic approaches, examined further in Section 5.4.2 of the next chapter. One perhaps </w:t>
      </w:r>
      <w:r w:rsidR="00F10391" w:rsidRPr="00F10391">
        <w:t>surprising omission</w:t>
      </w:r>
      <w:r w:rsidRPr="00F10391">
        <w:t xml:space="preserve"> from the reference case is the cost-effectiveness threshold employed, which has not officially changed since NICE’s foundation. </w:t>
      </w:r>
      <w:bookmarkStart w:id="432" w:name="_Toc304643524"/>
    </w:p>
    <w:p w14:paraId="2A5855C5" w14:textId="33BE2B42" w:rsidR="00D22CE3" w:rsidRPr="00F10391" w:rsidRDefault="00D22CE3" w:rsidP="00494A9A">
      <w:r w:rsidRPr="00F10391">
        <w:t xml:space="preserve">In such issues there is a recurring challenge in reconciling the need for flexibility while ensuring as standardised a framework as possible, in both the reference case and in relevant legislation. No such framework can cover every eventuality and NICE has also published principles to be followed to structure such social value </w:t>
      </w:r>
      <w:r w:rsidR="001B7ADD">
        <w:t>judgment</w:t>
      </w:r>
      <w:r w:rsidRPr="00F10391">
        <w:t xml:space="preserve">s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shown in Figure 4.2. These are informed by ethical principles used in healthcare, as well as issues around distributional and procedural justice and were designed to correspond to the accountability for reasonableness framework </w:t>
      </w:r>
      <w:r w:rsidRPr="00F10391">
        <w:fldChar w:fldCharType="begin"/>
      </w:r>
      <w:r w:rsidR="00700267">
        <w:instrText xml:space="preserve"> ADDIN EN.CITE &lt;EndNote&gt;&lt;Cite&gt;&lt;Author&gt;Daniels&lt;/Author&gt;&lt;Year&gt;2002&lt;/Year&gt;&lt;RecNum&gt;32&lt;/RecNum&gt;&lt;DisplayText&gt;[123]&lt;/DisplayText&gt;&lt;record&gt;&lt;rec-number&gt;32&lt;/rec-number&gt;&lt;foreign-keys&gt;&lt;key app="EN" db-id="sz9092dv2s5fpze9wpgx0zxgv5ar00aezrvf" timestamp="0"&gt;32&lt;/key&gt;&lt;/foreign-keys&gt;&lt;ref-type name="Journal Article"&gt;17&lt;/ref-type&gt;&lt;contributors&gt;&lt;authors&gt;&lt;author&gt;Daniels, Norman&lt;/author&gt;&lt;author&gt;Sabin, James E&lt;/author&gt;&lt;/authors&gt;&lt;/contributors&gt;&lt;titles&gt;&lt;title&gt;Setting limits fairly: can we learn to share medical resources?&lt;/title&gt;&lt;secondary-title&gt;OUP Catalogue&lt;/secondary-title&gt;&lt;/titles&gt;&lt;dates&gt;&lt;year&gt;2002&lt;/year&gt;&lt;/dates&gt;&lt;urls&gt;&lt;/urls&gt;&lt;/record&gt;&lt;/Cite&gt;&lt;/EndNote&gt;</w:instrText>
      </w:r>
      <w:r w:rsidRPr="00F10391">
        <w:fldChar w:fldCharType="separate"/>
      </w:r>
      <w:r w:rsidR="00700267">
        <w:rPr>
          <w:noProof/>
        </w:rPr>
        <w:t>[123]</w:t>
      </w:r>
      <w:r w:rsidRPr="00F10391">
        <w:fldChar w:fldCharType="end"/>
      </w:r>
      <w:r w:rsidRPr="00F10391">
        <w:t xml:space="preserve">, to ensure a fair decision-making process. </w:t>
      </w:r>
    </w:p>
    <w:p w14:paraId="19DF419B" w14:textId="60E35807" w:rsidR="00D22CE3" w:rsidRPr="00F10391" w:rsidRDefault="00D22CE3" w:rsidP="00494A9A">
      <w:pPr>
        <w:rPr>
          <w:b/>
          <w:i/>
        </w:rPr>
      </w:pPr>
      <w:r w:rsidRPr="00F10391">
        <w:lastRenderedPageBreak/>
        <w:t xml:space="preserve">The social value </w:t>
      </w:r>
      <w:r w:rsidR="001B7ADD">
        <w:t>judgment</w:t>
      </w:r>
      <w:r w:rsidRPr="00F10391">
        <w:t xml:space="preserve"> principles broadly ensure that recommended interventions should be both effective and cost-effective, while incorporating other relevant concerns into the decision-making process. They also ensure that a wide variety of inequalities should be addressed where possible, and that dividing the population into distinct subgroups is only acceptable where there is clear evidence of differences in effectiveness between these groups.</w:t>
      </w:r>
      <w:r w:rsidRPr="00F10391">
        <w:rPr>
          <w:b/>
          <w:i/>
        </w:rPr>
        <w:t xml:space="preserve"> </w:t>
      </w:r>
      <w:bookmarkStart w:id="433" w:name="_Toc444180815"/>
    </w:p>
    <w:bookmarkStart w:id="434" w:name="_Toc476241452"/>
    <w:p w14:paraId="24E4A563" w14:textId="6DE2BE20" w:rsidR="00D22CE3" w:rsidRPr="00F10391" w:rsidRDefault="00D22CE3" w:rsidP="00490B5D">
      <w:pPr>
        <w:pStyle w:val="Caption"/>
      </w:pPr>
      <w:r w:rsidRPr="00F10391">
        <w:rPr>
          <w:noProof/>
          <w:lang w:val="en-IE" w:eastAsia="en-IE"/>
        </w:rPr>
        <mc:AlternateContent>
          <mc:Choice Requires="wps">
            <w:drawing>
              <wp:anchor distT="0" distB="0" distL="114300" distR="114300" simplePos="0" relativeHeight="251661312" behindDoc="0" locked="0" layoutInCell="1" allowOverlap="1" wp14:anchorId="6637A573" wp14:editId="7FD30AE2">
                <wp:simplePos x="0" y="0"/>
                <wp:positionH relativeFrom="margin">
                  <wp:posOffset>0</wp:posOffset>
                </wp:positionH>
                <wp:positionV relativeFrom="line">
                  <wp:posOffset>267855</wp:posOffset>
                </wp:positionV>
                <wp:extent cx="5737609" cy="7195127"/>
                <wp:effectExtent l="0" t="0" r="15875" b="254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609" cy="7195127"/>
                        </a:xfrm>
                        <a:prstGeom prst="rect">
                          <a:avLst/>
                        </a:prstGeom>
                        <a:noFill/>
                        <a:ln>
                          <a:solidFill>
                            <a:sysClr val="windowText" lastClr="000000"/>
                          </a:solidFill>
                        </a:ln>
                        <a:effectLst/>
                        <a:extLst>
                          <a:ext uri="{FAA26D3D-D897-4be2-8F04-BA451C77F1D7}">
                            <ma14:placeholderFlag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01FCBD" w14:textId="77777777" w:rsidR="0063065F" w:rsidRPr="002F282C" w:rsidRDefault="0063065F" w:rsidP="00494A9A">
                            <w:pPr>
                              <w:pStyle w:val="ListParagraph"/>
                              <w:numPr>
                                <w:ilvl w:val="0"/>
                                <w:numId w:val="61"/>
                              </w:numPr>
                            </w:pPr>
                            <w:r w:rsidRPr="002F282C">
                              <w:t>NICE should not recommend an intervention (that is, a treatment, procedure, action or programme) if there is no evidence, or not enough evidence, on which to make a clear decision. But NICE’s advisory bodies may recommend the use of the intervention within a research programme if this will provide more information about its effectiveness, safety or cost.</w:t>
                            </w:r>
                          </w:p>
                          <w:p w14:paraId="3949CBAE" w14:textId="77777777" w:rsidR="0063065F" w:rsidRPr="002F282C" w:rsidRDefault="0063065F" w:rsidP="00494A9A">
                            <w:pPr>
                              <w:pStyle w:val="ListParagraph"/>
                              <w:numPr>
                                <w:ilvl w:val="0"/>
                                <w:numId w:val="61"/>
                              </w:numPr>
                            </w:pPr>
                            <w:r w:rsidRPr="002F282C">
                              <w:t>Those developing clinical guidelines, technology appraisals or public health guidance must take into account the relative costs and benefits of interventions (their ‘cost-effectiveness’) when deciding whether or not to recommend them.</w:t>
                            </w:r>
                          </w:p>
                          <w:p w14:paraId="5F17B723" w14:textId="77777777" w:rsidR="0063065F" w:rsidRPr="002F282C" w:rsidRDefault="0063065F" w:rsidP="00490B5D">
                            <w:pPr>
                              <w:pStyle w:val="ListParagraph"/>
                              <w:numPr>
                                <w:ilvl w:val="0"/>
                                <w:numId w:val="61"/>
                              </w:numPr>
                            </w:pPr>
                            <w:r w:rsidRPr="002F282C">
                              <w:t>Decisions about whether to recommend interventions should not be based on evidence of their relative costs and benefits alone. NICE must consider other factors when developing its guidance, including the need to distribute health resources in the fairest way within society as a whole.</w:t>
                            </w:r>
                          </w:p>
                          <w:p w14:paraId="2BD9AD41" w14:textId="77777777" w:rsidR="0063065F" w:rsidRPr="002F282C" w:rsidRDefault="0063065F" w:rsidP="00490B5D">
                            <w:pPr>
                              <w:pStyle w:val="ListParagraph"/>
                              <w:numPr>
                                <w:ilvl w:val="0"/>
                                <w:numId w:val="61"/>
                              </w:numPr>
                            </w:pPr>
                            <w:r w:rsidRPr="002F282C">
                              <w:t>NICE usually expresses the cost-effectiveness of an intervention as the ‘cost (in £) per quality-adjusted life year (QALY) gained.’ This is based on an assessment of how much the intervention costs and how much health benefit it produces compared to an alternative. NICE should explain its reasons when it decides that an intervention with an ICER below £20,000 per QALY gained is not cost-effective; and when an intervention with an ICER of more than £20,000 to £30,000 per QALY gained is cost-effective.</w:t>
                            </w:r>
                          </w:p>
                          <w:p w14:paraId="58D873E6" w14:textId="77777777" w:rsidR="0063065F" w:rsidRPr="002F282C" w:rsidRDefault="0063065F" w:rsidP="006A5AA3">
                            <w:pPr>
                              <w:pStyle w:val="ListParagraph"/>
                              <w:numPr>
                                <w:ilvl w:val="0"/>
                                <w:numId w:val="61"/>
                              </w:numPr>
                            </w:pPr>
                            <w:r w:rsidRPr="002F282C">
                              <w:t>Although NICE accepts that individual NHS users will expect to receive treatments to which their condition will respond, this should not impose a requirement on NICE’s advisory bodies to recommend interventions that are not effective, or are not cost-effective enough to provide the best value to users of the NHS as a whole.</w:t>
                            </w:r>
                          </w:p>
                          <w:p w14:paraId="02E31DDE" w14:textId="2D726D84" w:rsidR="0063065F" w:rsidRPr="002F282C" w:rsidRDefault="0063065F" w:rsidP="006942ED">
                            <w:pPr>
                              <w:pStyle w:val="ListParagraph"/>
                              <w:numPr>
                                <w:ilvl w:val="0"/>
                                <w:numId w:val="61"/>
                              </w:numPr>
                            </w:pPr>
                            <w:r w:rsidRPr="002F282C">
                              <w:t xml:space="preserve">NICE should consider and respond to comments it receives about its draft guidance, and make changes where appropriate. But NICE and its advisory bodies must use their own </w:t>
                            </w:r>
                            <w:r>
                              <w:t>judgment</w:t>
                            </w:r>
                            <w:r w:rsidRPr="002F282C">
                              <w:t xml:space="preserve"> to ensure that what it recommends is cost-effective and takes account o</w:t>
                            </w:r>
                            <w:r>
                              <w:t>f the need to distribute health resources in the fairest way within society as a whole.</w:t>
                            </w:r>
                          </w:p>
                          <w:p w14:paraId="5DFD82EC" w14:textId="77777777" w:rsidR="0063065F" w:rsidRPr="002F282C" w:rsidRDefault="0063065F">
                            <w:pPr>
                              <w:pStyle w:val="ListParagraph"/>
                              <w:numPr>
                                <w:ilvl w:val="0"/>
                                <w:numId w:val="61"/>
                              </w:numPr>
                            </w:pPr>
                            <w:r w:rsidRPr="002F282C">
                              <w:t>NICE can recommend that use of an intervention is restricted to a particular group of people within the population (for example, people under or over a certain age, or women only), but only in certain circumstances. There must be clear evidence about the increased effectiveness of the intervention in this subgroup, or other reasons relating to fairness for society as a whole, or a legal requirement to act in this way.</w:t>
                            </w:r>
                          </w:p>
                          <w:p w14:paraId="61947732" w14:textId="77777777" w:rsidR="0063065F" w:rsidRPr="002F282C" w:rsidRDefault="0063065F">
                            <w:pPr>
                              <w:pStyle w:val="ListParagraph"/>
                              <w:numPr>
                                <w:ilvl w:val="0"/>
                                <w:numId w:val="61"/>
                              </w:numPr>
                            </w:pPr>
                            <w:r w:rsidRPr="002F282C">
                              <w:t>When choosing guidance topics, developing guidance and supporting those who put its guidance into practice, the Institute should actively consider reducing health inequalities including those associated with sex, age, race, disability and socioeconomic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37A573" id="Text Box 5" o:spid="_x0000_s1028" type="#_x0000_t202" style="position:absolute;left:0;text-align:left;margin-left:0;margin-top:21.1pt;width:451.8pt;height:56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" filled="f" strokecolor="windowText">
                <v:path arrowok="t"/>
                <v:textbox>
                  <w:txbxContent>
                    <w:p w14:paraId="7A01FCBD" w14:textId="77777777" w:rsidR="0063065F" w:rsidRPr="002F282C" w:rsidRDefault="0063065F" w:rsidP="00494A9A">
                      <w:pPr>
                        <w:pStyle w:val="ListParagraph"/>
                        <w:numPr>
                          <w:ilvl w:val="0"/>
                          <w:numId w:val="61"/>
                        </w:numPr>
                      </w:pPr>
                      <w:r w:rsidRPr="002F282C">
                        <w:t>NICE should not recommend an intervention (that is, a treatment, procedure, action or programme) if there is no evidence, or not enough evidence, on which to make a clear decision. But NICE’s advisory bodies may recommend the use of the intervention within a research programme if this will provide more information about its effectiveness, safety or cost.</w:t>
                      </w:r>
                    </w:p>
                    <w:p w14:paraId="3949CBAE" w14:textId="77777777" w:rsidR="0063065F" w:rsidRPr="002F282C" w:rsidRDefault="0063065F" w:rsidP="00494A9A">
                      <w:pPr>
                        <w:pStyle w:val="ListParagraph"/>
                        <w:numPr>
                          <w:ilvl w:val="0"/>
                          <w:numId w:val="61"/>
                        </w:numPr>
                      </w:pPr>
                      <w:r w:rsidRPr="002F282C">
                        <w:t>Those developing clinical guidelines, technology appraisals or public health guidance must take into account the relative costs and benefits of interventions (their ‘cost-effectiveness’) when deciding whether or not to recommend them.</w:t>
                      </w:r>
                    </w:p>
                    <w:p w14:paraId="5F17B723" w14:textId="77777777" w:rsidR="0063065F" w:rsidRPr="002F282C" w:rsidRDefault="0063065F" w:rsidP="00490B5D">
                      <w:pPr>
                        <w:pStyle w:val="ListParagraph"/>
                        <w:numPr>
                          <w:ilvl w:val="0"/>
                          <w:numId w:val="61"/>
                        </w:numPr>
                      </w:pPr>
                      <w:r w:rsidRPr="002F282C">
                        <w:t>Decisions about whether to recommend interventions should not be based on evidence of their relative costs and benefits alone. NICE must consider other factors when developing its guidance, including the need to distribute health resources in the fairest way within society as a whole.</w:t>
                      </w:r>
                    </w:p>
                    <w:p w14:paraId="2BD9AD41" w14:textId="77777777" w:rsidR="0063065F" w:rsidRPr="002F282C" w:rsidRDefault="0063065F" w:rsidP="00490B5D">
                      <w:pPr>
                        <w:pStyle w:val="ListParagraph"/>
                        <w:numPr>
                          <w:ilvl w:val="0"/>
                          <w:numId w:val="61"/>
                        </w:numPr>
                      </w:pPr>
                      <w:r w:rsidRPr="002F282C">
                        <w:t>NICE usually expresses the cost-effectiveness of an intervention as the ‘cost (in £) per quality-adjusted life year (QALY) gained.’ This is based on an assessment of how much the intervention costs and how much health benefit it produces compared to an alternative. NICE should explain its reasons when it decides that an intervention with an ICER below £20,000 per QALY gained is not cost-effective; and when an intervention with an ICER of more than £20,000 to £30,000 per QALY gained is cost-effective.</w:t>
                      </w:r>
                    </w:p>
                    <w:p w14:paraId="58D873E6" w14:textId="77777777" w:rsidR="0063065F" w:rsidRPr="002F282C" w:rsidRDefault="0063065F" w:rsidP="006A5AA3">
                      <w:pPr>
                        <w:pStyle w:val="ListParagraph"/>
                        <w:numPr>
                          <w:ilvl w:val="0"/>
                          <w:numId w:val="61"/>
                        </w:numPr>
                      </w:pPr>
                      <w:r w:rsidRPr="002F282C">
                        <w:t>Although NICE accepts that individual NHS users will expect to receive treatments to which their condition will respond, this should not impose a requirement on NICE’s advisory bodies to recommend interventions that are not effective, or are not cost-effective enough to provide the best value to users of the NHS as a whole.</w:t>
                      </w:r>
                    </w:p>
                    <w:p w14:paraId="02E31DDE" w14:textId="2D726D84" w:rsidR="0063065F" w:rsidRPr="002F282C" w:rsidRDefault="0063065F" w:rsidP="006942ED">
                      <w:pPr>
                        <w:pStyle w:val="ListParagraph"/>
                        <w:numPr>
                          <w:ilvl w:val="0"/>
                          <w:numId w:val="61"/>
                        </w:numPr>
                      </w:pPr>
                      <w:r w:rsidRPr="002F282C">
                        <w:t xml:space="preserve">NICE should consider and respond to comments it receives about its draft guidance, and make changes where appropriate. But NICE and its advisory bodies must use their own </w:t>
                      </w:r>
                      <w:r>
                        <w:t>judgment</w:t>
                      </w:r>
                      <w:r w:rsidRPr="002F282C">
                        <w:t xml:space="preserve"> to ensure that what it recommends is cost-effective and takes account o</w:t>
                      </w:r>
                      <w:r>
                        <w:t>f the need to distribute health resources in the fairest way within society as a whole.</w:t>
                      </w:r>
                    </w:p>
                    <w:p w14:paraId="5DFD82EC" w14:textId="77777777" w:rsidR="0063065F" w:rsidRPr="002F282C" w:rsidRDefault="0063065F">
                      <w:pPr>
                        <w:pStyle w:val="ListParagraph"/>
                        <w:numPr>
                          <w:ilvl w:val="0"/>
                          <w:numId w:val="61"/>
                        </w:numPr>
                      </w:pPr>
                      <w:r w:rsidRPr="002F282C">
                        <w:t>NICE can recommend that use of an intervention is restricted to a particular group of people within the population (for example, people under or over a certain age, or women only), but only in certain circumstances. There must be clear evidence about the increased effectiveness of the intervention in this subgroup, or other reasons relating to fairness for society as a whole, or a legal requirement to act in this way.</w:t>
                      </w:r>
                    </w:p>
                    <w:p w14:paraId="61947732" w14:textId="77777777" w:rsidR="0063065F" w:rsidRPr="002F282C" w:rsidRDefault="0063065F">
                      <w:pPr>
                        <w:pStyle w:val="ListParagraph"/>
                        <w:numPr>
                          <w:ilvl w:val="0"/>
                          <w:numId w:val="61"/>
                        </w:numPr>
                      </w:pPr>
                      <w:r w:rsidRPr="002F282C">
                        <w:t>When choosing guidance topics, developing guidance and supporting those who put its guidance into practice, the Institute should actively consider reducing health inequalities including those associated with sex, age, race, disability and socioeconomic status.</w:t>
                      </w:r>
                    </w:p>
                  </w:txbxContent>
                </v:textbox>
                <w10:wrap anchorx="margin" anchory="line"/>
              </v:shape>
            </w:pict>
          </mc:Fallback>
        </mc:AlternateContent>
      </w:r>
      <w:r w:rsidRPr="00F10391">
        <w:t xml:space="preserve">Figure </w:t>
      </w:r>
      <w:r w:rsidR="000F1034">
        <w:fldChar w:fldCharType="begin"/>
      </w:r>
      <w:r w:rsidR="000F1034">
        <w:instrText xml:space="preserve"> STYLEREF 1 \s </w:instrText>
      </w:r>
      <w:r w:rsidR="000F1034">
        <w:fldChar w:fldCharType="separate"/>
      </w:r>
      <w:r w:rsidR="00B37229">
        <w:rPr>
          <w:noProof/>
        </w:rPr>
        <w:t>4</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2</w:t>
      </w:r>
      <w:r w:rsidR="000F1034">
        <w:rPr>
          <w:noProof/>
        </w:rPr>
        <w:fldChar w:fldCharType="end"/>
      </w:r>
      <w:r w:rsidRPr="00F10391">
        <w:t xml:space="preserve"> – The eight principles outlined in NICE's Social Value </w:t>
      </w:r>
      <w:r w:rsidR="001B7ADD">
        <w:t>Judgment</w:t>
      </w:r>
      <w:r w:rsidRPr="00F10391">
        <w:t xml:space="preserve">s document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bookmarkEnd w:id="432"/>
      <w:bookmarkEnd w:id="433"/>
      <w:r w:rsidR="00700267">
        <w:rPr>
          <w:noProof/>
        </w:rPr>
        <w:t>[63]</w:t>
      </w:r>
      <w:bookmarkEnd w:id="434"/>
      <w:r w:rsidRPr="00F10391">
        <w:fldChar w:fldCharType="end"/>
      </w:r>
    </w:p>
    <w:p w14:paraId="72A984C7" w14:textId="77777777" w:rsidR="00D22CE3" w:rsidRPr="00F10391" w:rsidRDefault="00D22CE3" w:rsidP="00490B5D"/>
    <w:p w14:paraId="6C57C0E0" w14:textId="77777777" w:rsidR="00D22CE3" w:rsidRPr="00F10391" w:rsidRDefault="00D22CE3" w:rsidP="006A5AA3"/>
    <w:p w14:paraId="7D8F3181" w14:textId="77777777" w:rsidR="00D22CE3" w:rsidRPr="00F10391" w:rsidRDefault="00D22CE3" w:rsidP="006942ED"/>
    <w:p w14:paraId="796B23DC" w14:textId="77777777" w:rsidR="00D22CE3" w:rsidRPr="00F10391" w:rsidRDefault="00D22CE3"/>
    <w:p w14:paraId="1E4BB4D2" w14:textId="77777777" w:rsidR="00D22CE3" w:rsidRPr="00F10391" w:rsidRDefault="00D22CE3"/>
    <w:p w14:paraId="5964A68B" w14:textId="77777777" w:rsidR="00D22CE3" w:rsidRPr="00F10391" w:rsidRDefault="00D22CE3"/>
    <w:p w14:paraId="0555FC90" w14:textId="77777777" w:rsidR="00D22CE3" w:rsidRPr="00F10391" w:rsidRDefault="00D22CE3"/>
    <w:p w14:paraId="4EC6E087" w14:textId="77777777" w:rsidR="00D22CE3" w:rsidRPr="00F10391" w:rsidRDefault="00D22CE3">
      <w:pPr>
        <w:sectPr w:rsidR="00D22CE3" w:rsidRPr="00F10391" w:rsidSect="00D22CE3">
          <w:footerReference w:type="default" r:id="rId25"/>
          <w:pgSz w:w="11906" w:h="16838" w:code="9"/>
          <w:pgMar w:top="1440" w:right="1440" w:bottom="1440" w:left="1440" w:header="708" w:footer="708" w:gutter="0"/>
          <w:cols w:space="708"/>
          <w:docGrid w:linePitch="360"/>
        </w:sectPr>
      </w:pPr>
    </w:p>
    <w:p w14:paraId="3EA06812" w14:textId="77777777" w:rsidR="00D22CE3" w:rsidRPr="00F10391" w:rsidRDefault="00D22CE3">
      <w:pPr>
        <w:pStyle w:val="Heading3"/>
      </w:pPr>
      <w:bookmarkStart w:id="435" w:name="_Toc313523535"/>
      <w:bookmarkStart w:id="436" w:name="_Toc441508973"/>
      <w:bookmarkStart w:id="437" w:name="_Toc453235411"/>
      <w:bookmarkStart w:id="438" w:name="_Toc453595484"/>
      <w:bookmarkStart w:id="439" w:name="_Toc476241581"/>
      <w:bookmarkStart w:id="440" w:name="_Toc304640228"/>
      <w:r w:rsidRPr="00F10391">
        <w:lastRenderedPageBreak/>
        <w:t>4.2.4</w:t>
      </w:r>
      <w:r w:rsidRPr="00F10391">
        <w:tab/>
      </w:r>
      <w:r w:rsidRPr="00F10391">
        <w:tab/>
        <w:t>NICE as a national healthcare resource manager</w:t>
      </w:r>
      <w:bookmarkEnd w:id="435"/>
      <w:bookmarkEnd w:id="436"/>
      <w:bookmarkEnd w:id="437"/>
      <w:bookmarkEnd w:id="438"/>
      <w:bookmarkEnd w:id="439"/>
    </w:p>
    <w:p w14:paraId="2AC549E4" w14:textId="77777777" w:rsidR="00D22CE3" w:rsidRPr="00F10391" w:rsidRDefault="00D22CE3">
      <w:r w:rsidRPr="00F10391">
        <w:t xml:space="preserve">NICE can be seen as a manager of the healthcare system with responsibilities for “planning, organising, coordinating, commanding and controlling” </w:t>
      </w:r>
      <w:r w:rsidRPr="00F10391">
        <w:fldChar w:fldCharType="begin"/>
      </w:r>
      <w:r w:rsidR="00700267">
        <w:instrText xml:space="preserve"> ADDIN EN.CITE &lt;EndNote&gt;&lt;Cite&gt;&lt;Author&gt;Mintzberg&lt;/Author&gt;&lt;Year&gt;1973&lt;/Year&gt;&lt;RecNum&gt;95&lt;/RecNum&gt;&lt;DisplayText&gt;[210]&lt;/DisplayText&gt;&lt;record&gt;&lt;rec-number&gt;95&lt;/rec-number&gt;&lt;foreign-keys&gt;&lt;key app="EN" db-id="sz9092dv2s5fpze9wpgx0zxgv5ar00aezrvf" timestamp="0"&gt;95&lt;/key&gt;&lt;/foreign-keys&gt;&lt;ref-type name="Book"&gt;6&lt;/ref-type&gt;&lt;contributors&gt;&lt;authors&gt;&lt;author&gt;Mintzberg, Henry&lt;/author&gt;&lt;/authors&gt;&lt;/contributors&gt;&lt;titles&gt;&lt;title&gt;Nature of managerial work&lt;/title&gt;&lt;/titles&gt;&lt;dates&gt;&lt;year&gt;1973&lt;/year&gt;&lt;/dates&gt;&lt;pub-location&gt;New York&lt;/pub-location&gt;&lt;publisher&gt;Harper and Row&lt;/publisher&gt;&lt;urls&gt;&lt;/urls&gt;&lt;/record&gt;&lt;/Cite&gt;&lt;/EndNote&gt;</w:instrText>
      </w:r>
      <w:r w:rsidRPr="00F10391">
        <w:fldChar w:fldCharType="separate"/>
      </w:r>
      <w:r w:rsidR="00700267">
        <w:rPr>
          <w:noProof/>
        </w:rPr>
        <w:t>[210]</w:t>
      </w:r>
      <w:r w:rsidRPr="00F10391">
        <w:fldChar w:fldCharType="end"/>
      </w:r>
      <w:r w:rsidR="00CA30F5">
        <w:t xml:space="preserve"> (p.9)</w:t>
      </w:r>
      <w:r w:rsidRPr="00F10391">
        <w:t xml:space="preserve">. Mintzberg contrasted different types of manager, and to some extent NICE’s contradictions and challenges might be explained by how it is trying to reflect the values of two of these simultaneously. </w:t>
      </w:r>
    </w:p>
    <w:p w14:paraId="6DB07103" w14:textId="2EA4B50E" w:rsidR="00D22CE3" w:rsidRPr="00F10391" w:rsidRDefault="00D22CE3">
      <w:r w:rsidRPr="00F10391">
        <w:t xml:space="preserve">The </w:t>
      </w:r>
      <w:r w:rsidRPr="00F10391">
        <w:rPr>
          <w:i/>
        </w:rPr>
        <w:t>entrepreneurship school</w:t>
      </w:r>
      <w:r w:rsidRPr="00F10391">
        <w:t xml:space="preserve"> expects mangers to act rationally; “ambiguous problems, ill-defined and conflicting goals do not exist”</w:t>
      </w:r>
      <w:r w:rsidR="00CB52C4">
        <w:t xml:space="preserve"> </w:t>
      </w:r>
      <w:r w:rsidR="00CB52C4" w:rsidRPr="00F10391">
        <w:fldChar w:fldCharType="begin"/>
      </w:r>
      <w:r w:rsidR="00700267">
        <w:instrText xml:space="preserve"> ADDIN EN.CITE &lt;EndNote&gt;&lt;Cite&gt;&lt;Author&gt;Mintzberg&lt;/Author&gt;&lt;Year&gt;1973&lt;/Year&gt;&lt;RecNum&gt;95&lt;/RecNum&gt;&lt;DisplayText&gt;[210]&lt;/DisplayText&gt;&lt;record&gt;&lt;rec-number&gt;95&lt;/rec-number&gt;&lt;foreign-keys&gt;&lt;key app="EN" db-id="sz9092dv2s5fpze9wpgx0zxgv5ar00aezrvf" timestamp="0"&gt;95&lt;/key&gt;&lt;/foreign-keys&gt;&lt;ref-type name="Book"&gt;6&lt;/ref-type&gt;&lt;contributors&gt;&lt;authors&gt;&lt;author&gt;Mintzberg, Henry&lt;/author&gt;&lt;/authors&gt;&lt;/contributors&gt;&lt;titles&gt;&lt;title&gt;Nature of managerial work&lt;/title&gt;&lt;/titles&gt;&lt;dates&gt;&lt;year&gt;1973&lt;/year&gt;&lt;/dates&gt;&lt;pub-location&gt;New York&lt;/pub-location&gt;&lt;publisher&gt;Harper and Row&lt;/publisher&gt;&lt;urls&gt;&lt;/urls&gt;&lt;/record&gt;&lt;/Cite&gt;&lt;/EndNote&gt;</w:instrText>
      </w:r>
      <w:r w:rsidR="00CB52C4" w:rsidRPr="00F10391">
        <w:fldChar w:fldCharType="separate"/>
      </w:r>
      <w:r w:rsidR="00700267">
        <w:rPr>
          <w:noProof/>
        </w:rPr>
        <w:t>[210]</w:t>
      </w:r>
      <w:r w:rsidR="00CB52C4" w:rsidRPr="00F10391">
        <w:fldChar w:fldCharType="end"/>
      </w:r>
      <w:r w:rsidR="00CB52C4">
        <w:t xml:space="preserve"> </w:t>
      </w:r>
      <w:r w:rsidR="004E2EC1">
        <w:t>(p.12).</w:t>
      </w:r>
      <w:r w:rsidRPr="00F10391">
        <w:t xml:space="preserve"> In such a situation there is an explicit problem, explicit goals and possible courses of action with known consequences; manager ranks these and chooses best option, maximising the known objective function, which in the case of NICE might align with population level QALYs (or some objective function that further includes equity or other concerns). Such a positivist system might on some level remain the aspiration of NICE, but in practice its decision problems are rarely so neat. </w:t>
      </w:r>
    </w:p>
    <w:p w14:paraId="24EC8158" w14:textId="77777777" w:rsidR="00D22CE3" w:rsidRPr="00F10391" w:rsidRDefault="00D22CE3">
      <w:r w:rsidRPr="00F10391">
        <w:t xml:space="preserve">Mintzberg’s </w:t>
      </w:r>
      <w:r w:rsidRPr="00F10391">
        <w:rPr>
          <w:i/>
        </w:rPr>
        <w:t>Decision Theory School</w:t>
      </w:r>
      <w:r w:rsidRPr="00F10391">
        <w:t xml:space="preserve"> characterises the nature of decision-making as “complex and poorly understood and the manager can use no predetermined method in its solution”</w:t>
      </w:r>
      <w:r w:rsidR="004E2EC1">
        <w:t xml:space="preserve"> </w:t>
      </w:r>
      <w:r w:rsidR="00CB52C4" w:rsidRPr="00F10391">
        <w:fldChar w:fldCharType="begin"/>
      </w:r>
      <w:r w:rsidR="00700267">
        <w:instrText xml:space="preserve"> ADDIN EN.CITE &lt;EndNote&gt;&lt;Cite&gt;&lt;Author&gt;Mintzberg&lt;/Author&gt;&lt;Year&gt;1973&lt;/Year&gt;&lt;RecNum&gt;95&lt;/RecNum&gt;&lt;DisplayText&gt;[210]&lt;/DisplayText&gt;&lt;record&gt;&lt;rec-number&gt;95&lt;/rec-number&gt;&lt;foreign-keys&gt;&lt;key app="EN" db-id="sz9092dv2s5fpze9wpgx0zxgv5ar00aezrvf" timestamp="0"&gt;95&lt;/key&gt;&lt;/foreign-keys&gt;&lt;ref-type name="Book"&gt;6&lt;/ref-type&gt;&lt;contributors&gt;&lt;authors&gt;&lt;author&gt;Mintzberg, Henry&lt;/author&gt;&lt;/authors&gt;&lt;/contributors&gt;&lt;titles&gt;&lt;title&gt;Nature of managerial work&lt;/title&gt;&lt;/titles&gt;&lt;dates&gt;&lt;year&gt;1973&lt;/year&gt;&lt;/dates&gt;&lt;pub-location&gt;New York&lt;/pub-location&gt;&lt;publisher&gt;Harper and Row&lt;/publisher&gt;&lt;urls&gt;&lt;/urls&gt;&lt;/record&gt;&lt;/Cite&gt;&lt;/EndNote&gt;</w:instrText>
      </w:r>
      <w:r w:rsidR="00CB52C4" w:rsidRPr="00F10391">
        <w:fldChar w:fldCharType="separate"/>
      </w:r>
      <w:r w:rsidR="00700267">
        <w:rPr>
          <w:noProof/>
        </w:rPr>
        <w:t>[210]</w:t>
      </w:r>
      <w:r w:rsidR="00CB52C4" w:rsidRPr="00F10391">
        <w:fldChar w:fldCharType="end"/>
      </w:r>
      <w:r w:rsidR="00CB52C4">
        <w:t xml:space="preserve"> </w:t>
      </w:r>
      <w:r w:rsidR="004E2EC1">
        <w:t>(p.13-14)</w:t>
      </w:r>
      <w:r w:rsidRPr="00F10391">
        <w:t xml:space="preserve">. While clearly this is not wholly applicable to NICE either, there are limits to what is known and how far systems can solve them in reality. In such a setting, managers “may not have explicit goals systems or preferences functions…a most important and neglected part of the decision-making process is the step to define the problem… alternatives and the consequences are seldom known with clarity and choices are made to satisfy constraints and not to maximise objectives” </w:t>
      </w:r>
      <w:r w:rsidRPr="00F10391">
        <w:fldChar w:fldCharType="begin"/>
      </w:r>
      <w:r w:rsidR="00700267">
        <w:instrText xml:space="preserve"> ADDIN EN.CITE &lt;EndNote&gt;&lt;Cite&gt;&lt;Author&gt;Mintzberg&lt;/Author&gt;&lt;Year&gt;1973&lt;/Year&gt;&lt;RecNum&gt;95&lt;/RecNum&gt;&lt;DisplayText&gt;[210]&lt;/DisplayText&gt;&lt;record&gt;&lt;rec-number&gt;95&lt;/rec-number&gt;&lt;foreign-keys&gt;&lt;key app="EN" db-id="sz9092dv2s5fpze9wpgx0zxgv5ar00aezrvf" timestamp="0"&gt;95&lt;/key&gt;&lt;/foreign-keys&gt;&lt;ref-type name="Book"&gt;6&lt;/ref-type&gt;&lt;contributors&gt;&lt;authors&gt;&lt;author&gt;Mintzberg, Henry&lt;/author&gt;&lt;/authors&gt;&lt;/contributors&gt;&lt;titles&gt;&lt;title&gt;Nature of managerial work&lt;/title&gt;&lt;/titles&gt;&lt;dates&gt;&lt;year&gt;1973&lt;/year&gt;&lt;/dates&gt;&lt;pub-location&gt;New York&lt;/pub-location&gt;&lt;publisher&gt;Harper and Row&lt;/publisher&gt;&lt;urls&gt;&lt;/urls&gt;&lt;/record&gt;&lt;/Cite&gt;&lt;/EndNote&gt;</w:instrText>
      </w:r>
      <w:r w:rsidRPr="00F10391">
        <w:fldChar w:fldCharType="separate"/>
      </w:r>
      <w:r w:rsidR="00700267">
        <w:rPr>
          <w:noProof/>
        </w:rPr>
        <w:t>[210]</w:t>
      </w:r>
      <w:r w:rsidRPr="00F10391">
        <w:fldChar w:fldCharType="end"/>
      </w:r>
      <w:r w:rsidR="004E2EC1">
        <w:t xml:space="preserve"> (p.14)</w:t>
      </w:r>
      <w:r w:rsidRPr="00F10391">
        <w:t>.</w:t>
      </w:r>
    </w:p>
    <w:p w14:paraId="202ACD2F" w14:textId="55BEDCAC" w:rsidR="00D22CE3" w:rsidRPr="00F10391" w:rsidRDefault="00D22CE3">
      <w:r w:rsidRPr="00F10391">
        <w:t xml:space="preserve">The CPH, on some level, attempts to do both of these at the same time. The problem itself is not always known, and the scope must be crafted and interpreted throughout, building the evidence base and recommendations, weighing up and reconciling conflicting outcomes and revising.  By precedent, through the reference case and other formalised structures in place, NICE has a set of procedures that it follows in order to ensure that the findings are at least comparable and likely to be relatively consistent across health settings. Though a simplification, the entrepreneurship school can be seen as corresponding to the health maximisation stage and the decision theory school the less structured attempts to combine other factors to arrive at a final answer. The approach attempts to combine the best of both, but is inevitably a compromise. </w:t>
      </w:r>
      <w:r w:rsidR="001B7ADD">
        <w:t>Judgment</w:t>
      </w:r>
      <w:r w:rsidRPr="00F10391">
        <w:t xml:space="preserve"> is required at all stages to ensure any conflicting objectives and outcomes are weighed up appropriately. Though evidence is paramount in NICE, such value </w:t>
      </w:r>
      <w:r w:rsidR="001B7ADD">
        <w:t>judgment</w:t>
      </w:r>
      <w:r w:rsidRPr="00F10391">
        <w:t xml:space="preserve">s and other concerns are ultimately inescapable. </w:t>
      </w:r>
    </w:p>
    <w:p w14:paraId="250E511A" w14:textId="77777777" w:rsidR="00D22CE3" w:rsidRPr="00F10391" w:rsidRDefault="00D22CE3"/>
    <w:p w14:paraId="314A21CC" w14:textId="77777777" w:rsidR="00D22CE3" w:rsidRPr="00F10391" w:rsidRDefault="00D22CE3">
      <w:pPr>
        <w:pStyle w:val="Numberedheading2"/>
      </w:pPr>
      <w:bookmarkStart w:id="441" w:name="_Toc313523536"/>
      <w:bookmarkStart w:id="442" w:name="_Toc441508974"/>
      <w:bookmarkStart w:id="443" w:name="_Toc453235412"/>
      <w:bookmarkStart w:id="444" w:name="_Toc453595485"/>
      <w:bookmarkStart w:id="445" w:name="_Toc476241582"/>
      <w:r w:rsidRPr="00F10391">
        <w:t>4.3</w:t>
      </w:r>
      <w:r w:rsidRPr="00F10391">
        <w:tab/>
      </w:r>
      <w:r w:rsidRPr="00F10391">
        <w:tab/>
        <w:t>Practical issues with current NICE approaches</w:t>
      </w:r>
      <w:bookmarkEnd w:id="440"/>
      <w:bookmarkEnd w:id="441"/>
      <w:bookmarkEnd w:id="442"/>
      <w:bookmarkEnd w:id="443"/>
      <w:bookmarkEnd w:id="444"/>
      <w:bookmarkEnd w:id="445"/>
    </w:p>
    <w:p w14:paraId="03FF504D" w14:textId="77777777" w:rsidR="00D22CE3" w:rsidRPr="00F10391" w:rsidRDefault="00D22CE3"/>
    <w:p w14:paraId="74B84E7F" w14:textId="77777777" w:rsidR="00D22CE3" w:rsidRPr="00F10391" w:rsidRDefault="00D22CE3">
      <w:r w:rsidRPr="00F10391">
        <w:t xml:space="preserve">While the previous section described the formal processes used in theory – in some sense a more detailed explanation of the flowchart of Figure 4.1 – in practice there are a number of factors that complicate their implementation. NICE’s role has evolved since its foundation, expanding beyond its original mandate of reducing local variation. With the incorporation of new perspectives comes the need for compromise. As the organisation has become more </w:t>
      </w:r>
      <w:r w:rsidRPr="00F10391">
        <w:lastRenderedPageBreak/>
        <w:t>complex, this has implicitly required the re-evaluation of its own organisational objectives; some explicitly stated and some not. These objectives are, at times, in conflict.</w:t>
      </w:r>
    </w:p>
    <w:p w14:paraId="5DA844A3" w14:textId="77777777" w:rsidR="00D22CE3" w:rsidRPr="00F10391" w:rsidRDefault="00D22CE3">
      <w:r w:rsidRPr="00F10391">
        <w:t>NICE may face challenges in that local authorities are further removed from CPH settings than their predecessors in the NHS-based PCTs, which may impact on their likelihood of implementation. Current pressures on financial resources in the healthcare system are likely to continue for the foreseeable future, and as such there will be increased need on the part of public health to justify expenditure on interventions and programmes, and to ensure that cost-effective interventions are employed. This takes place in a context where there is also likely to be increased pressure from other healthcare settings given the aging population and other factors.</w:t>
      </w:r>
    </w:p>
    <w:p w14:paraId="1B5E0DA3" w14:textId="77777777" w:rsidR="00D22CE3" w:rsidRPr="00F10391" w:rsidRDefault="00D22CE3"/>
    <w:p w14:paraId="023DF9B0" w14:textId="77777777" w:rsidR="00D22CE3" w:rsidRPr="00F10391" w:rsidRDefault="00D22CE3">
      <w:pPr>
        <w:pStyle w:val="Heading3"/>
      </w:pPr>
      <w:bookmarkStart w:id="446" w:name="_Toc313523537"/>
      <w:bookmarkStart w:id="447" w:name="_Toc441508975"/>
      <w:bookmarkStart w:id="448" w:name="_Toc453235413"/>
      <w:bookmarkStart w:id="449" w:name="_Toc453595486"/>
      <w:bookmarkStart w:id="450" w:name="_Toc476241583"/>
      <w:r w:rsidRPr="00F10391">
        <w:t>4.3.1</w:t>
      </w:r>
      <w:r w:rsidRPr="00F10391">
        <w:tab/>
      </w:r>
      <w:r w:rsidRPr="00F10391">
        <w:tab/>
        <w:t>The use of multiple criteria</w:t>
      </w:r>
      <w:bookmarkEnd w:id="446"/>
      <w:bookmarkEnd w:id="447"/>
      <w:bookmarkEnd w:id="448"/>
      <w:bookmarkEnd w:id="449"/>
      <w:bookmarkEnd w:id="450"/>
    </w:p>
    <w:p w14:paraId="1EA095C1" w14:textId="77777777" w:rsidR="00D22CE3" w:rsidRPr="00F10391" w:rsidRDefault="00D22CE3">
      <w:r w:rsidRPr="00F10391">
        <w:t xml:space="preserve">The NHS places as a central tenet the objective of ensuring equal access to health care for all, regardless of ability to pay. NICE was founded to further ensure equal access to healthcare regardless of geography. It is bound by the Equality Act, 2010 </w:t>
      </w:r>
      <w:r w:rsidRPr="00F10391">
        <w:fldChar w:fldCharType="begin"/>
      </w:r>
      <w:r w:rsidR="00700267">
        <w:instrText xml:space="preserve"> ADDIN EN.CITE &lt;EndNote&gt;&lt;Cite&gt;&lt;Author&gt;Government&lt;/Author&gt;&lt;Year&gt;2010&lt;/Year&gt;&lt;RecNum&gt;269&lt;/RecNum&gt;&lt;DisplayText&gt;[229]&lt;/DisplayText&gt;&lt;record&gt;&lt;rec-number&gt;269&lt;/rec-number&gt;&lt;foreign-keys&gt;&lt;key app="EN" db-id="sz9092dv2s5fpze9wpgx0zxgv5ar00aezrvf" timestamp="0"&gt;269&lt;/key&gt;&lt;/foreign-keys&gt;&lt;ref-type name="Report"&gt;27&lt;/ref-type&gt;&lt;contributors&gt;&lt;authors&gt;&lt;author&gt;UK Government,&lt;/author&gt;&lt;/authors&gt;&lt;secondary-authors&gt;&lt;author&gt;Equality and Human Rights Commission.&lt;/author&gt;&lt;/secondary-authors&gt;&lt;/contributors&gt;&lt;titles&gt;&lt;title&gt;Equality Act 2010 &lt;/title&gt;&lt;/titles&gt;&lt;dates&gt;&lt;year&gt;2010&lt;/year&gt;&lt;/dates&gt;&lt;pub-location&gt;London&lt;/pub-location&gt;&lt;urls&gt;&lt;/urls&gt;&lt;/record&gt;&lt;/Cite&gt;&lt;/EndNote&gt;</w:instrText>
      </w:r>
      <w:r w:rsidRPr="00F10391">
        <w:fldChar w:fldCharType="separate"/>
      </w:r>
      <w:r w:rsidR="00700267">
        <w:rPr>
          <w:noProof/>
        </w:rPr>
        <w:t>[229]</w:t>
      </w:r>
      <w:r w:rsidRPr="00F10391">
        <w:fldChar w:fldCharType="end"/>
      </w:r>
      <w:r w:rsidRPr="00F10391">
        <w:t xml:space="preserve"> and the Human Rights Act of 1998 </w:t>
      </w:r>
      <w:r w:rsidRPr="00F10391">
        <w:fldChar w:fldCharType="begin"/>
      </w:r>
      <w:r w:rsidR="00700267">
        <w:instrText xml:space="preserve"> ADDIN EN.CITE &lt;EndNote&gt;&lt;Cite&gt;&lt;Author&gt;Government&lt;/Author&gt;&lt;Year&gt;1998&lt;/Year&gt;&lt;RecNum&gt;270&lt;/RecNum&gt;&lt;DisplayText&gt;[230]&lt;/DisplayText&gt;&lt;record&gt;&lt;rec-number&gt;270&lt;/rec-number&gt;&lt;foreign-keys&gt;&lt;key app="EN" db-id="sz9092dv2s5fpze9wpgx0zxgv5ar00aezrvf" timestamp="0"&gt;270&lt;/key&gt;&lt;/foreign-keys&gt;&lt;ref-type name="Report"&gt;27&lt;/ref-type&gt;&lt;contributors&gt;&lt;authors&gt;&lt;author&gt;UK Government,&lt;/author&gt;&lt;/authors&gt;&lt;/contributors&gt;&lt;titles&gt;&lt;title&gt;Human Rights Act&lt;/title&gt;&lt;/titles&gt;&lt;dates&gt;&lt;year&gt;1998&lt;/year&gt;&lt;/dates&gt;&lt;pub-location&gt;London&lt;/pub-location&gt;&lt;urls&gt;&lt;/urls&gt;&lt;/record&gt;&lt;/Cite&gt;&lt;/EndNote&gt;</w:instrText>
      </w:r>
      <w:r w:rsidRPr="00F10391">
        <w:fldChar w:fldCharType="separate"/>
      </w:r>
      <w:r w:rsidR="00700267">
        <w:rPr>
          <w:noProof/>
        </w:rPr>
        <w:t>[230]</w:t>
      </w:r>
      <w:r w:rsidRPr="00F10391">
        <w:fldChar w:fldCharType="end"/>
      </w:r>
      <w:r w:rsidRPr="00F10391">
        <w:t xml:space="preserve">. As a result, for a time it was unclear if characteristics such as age, sex and social class could be considered in prioritising specific drugs for patients, on grounds of discrimination legislation </w:t>
      </w:r>
      <w:r w:rsidRPr="00F10391">
        <w:fldChar w:fldCharType="begin"/>
      </w:r>
      <w:r w:rsidR="00700267">
        <w:instrText xml:space="preserve"> ADDIN EN.CITE &lt;EndNote&gt;&lt;Cite&gt;&lt;Author&gt;Devlin&lt;/Author&gt;&lt;Year&gt;2004&lt;/Year&gt;&lt;RecNum&gt;36&lt;/RecNum&gt;&lt;DisplayText&gt;[201]&lt;/DisplayText&gt;&lt;record&gt;&lt;rec-number&gt;36&lt;/rec-number&gt;&lt;foreign-keys&gt;&lt;key app="EN" db-id="sz9092dv2s5fpze9wpgx0zxgv5ar00aezrvf" timestamp="0"&gt;36&lt;/key&gt;&lt;/fo</w:instrText>
      </w:r>
      <w:r w:rsidR="00700267">
        <w:rPr>
          <w:rFonts w:hint="eastAsia"/>
        </w:rPr>
        <w:instrText>reign-keys&gt;&lt;ref-type name="Journal Article"&gt;17&lt;/ref-type&gt;&lt;contributors&gt;&lt;authors&gt;&lt;author&gt;Devlin, Nancy&lt;/author&gt;&lt;author&gt;Parkin, David&lt;/author&gt;&lt;/authors&gt;&lt;/contributors&gt;&lt;titles&gt;&lt;title&gt;Does NICE have a cost</w:instrText>
      </w:r>
      <w:r w:rsidR="00700267">
        <w:rPr>
          <w:rFonts w:hint="eastAsia"/>
        </w:rPr>
        <w:instrText>‐</w:instrText>
      </w:r>
      <w:r w:rsidR="00700267">
        <w:rPr>
          <w:rFonts w:hint="eastAsia"/>
        </w:rPr>
        <w:instrText>effectiveness threshold and what other factors influe</w:instrText>
      </w:r>
      <w:r w:rsidR="00700267">
        <w:instrText>nce its decisions? A binary choice analysis&lt;/title&gt;&lt;secondary-title&gt;Health economics&lt;/secondary-title&gt;&lt;/titles&gt;&lt;periodical&gt;&lt;full-title&gt;Health economics&lt;/full-title&gt;&lt;/periodical&gt;&lt;pages&gt;437-452&lt;/pages&gt;&lt;volume&gt;13&lt;/volume&gt;&lt;number&gt;5&lt;/number&gt;&lt;dates&gt;&lt;year&gt;2004&lt;/year&gt;&lt;/dates&gt;&lt;isbn&gt;1099-1050&lt;/isbn&gt;&lt;urls&gt;&lt;related-urls&gt;&lt;url&gt;http://onlinelibrary.wiley.com/doi/10.1002/hec.864/abstract&lt;/url&gt;&lt;url&gt;http://onlinelibrary.wiley.com/store/10.1002/hec.864/asset/864_ftp.pdf?v=1&amp;amp;t=i4h49uku&amp;amp;s=d095e0323f25c531ff89fc772ab211ff0a57b728&lt;/url&gt;&lt;url&gt;http://onlinelibrary.wiley.com/doi/10.1002/hec.864/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[201]</w:t>
      </w:r>
      <w:r w:rsidRPr="00F10391">
        <w:fldChar w:fldCharType="end"/>
      </w:r>
      <w:r w:rsidRPr="00F10391">
        <w:t xml:space="preserve">. Similarly, an attempt to use a cost-utility analysis based ‘league-table’ approach to prioritise Medicare funding in Oregon in the early 1990’s required a presidential waiver and significant political horse-trading to ensure that it did not fall foul of the Americans with Disabilities Act </w:t>
      </w:r>
      <w:r w:rsidRPr="00F10391">
        <w:fldChar w:fldCharType="begin"/>
      </w:r>
      <w:r w:rsidR="00700267">
        <w:instrText xml:space="preserve"> ADDIN EN.CITE &lt;EndNote&gt;&lt;Cite&gt;&lt;Author&gt;Blumstein&lt;/Author&gt;&lt;Year&gt;1997&lt;/Year&gt;&lt;RecNum&gt;14&lt;/RecNum&gt;&lt;DisplayText&gt;[70]&lt;/DisplayText&gt;&lt;record&gt;&lt;rec-number&gt;14&lt;/rec-number&gt;&lt;foreign-keys&gt;&lt;key app="EN" db-id="sz9092dv2s5fpze9wpgx0zxgv5ar00aezrvf" timestamp="0"&gt;14&lt;/key&gt;&lt;/foreign-keys&gt;&lt;ref-type name="Journal Article"&gt;17&lt;/ref-type&gt;&lt;contributors&gt;&lt;authors&gt;&lt;author&gt;Blumstein, James F&lt;/author&gt;&lt;/authors&gt;&lt;/contributors&gt;&lt;titles&gt;&lt;title&gt;The Oregon experiment: the role of cost-benefit analysis in the allocation of Medicaid funds&lt;/title&gt;&lt;secondary-title&gt;Social science &amp;amp; medicine&lt;/secondary-title&gt;&lt;/titles&gt;&lt;periodical&gt;&lt;full-title&gt;Social science &amp;amp; medicine&lt;/full-title&gt;&lt;/periodical&gt;&lt;pages&gt;545-554&lt;/pages&gt;&lt;volume&gt;45&lt;/volume&gt;&lt;number&gt;4&lt;/number&gt;&lt;dates&gt;&lt;year&gt;1997&lt;/year&gt;&lt;/dates&gt;&lt;isbn&gt;0277-9536&lt;/isbn&gt;&lt;urls&gt;&lt;related-urls&gt;&lt;url&gt;http://www.sciencedirect.com/science/article/pii/S0277953696003954&lt;/url&gt;&lt;/related-urls&gt;&lt;/urls&gt;&lt;/record&gt;&lt;/Cite&gt;&lt;/EndNote&gt;</w:instrText>
      </w:r>
      <w:r w:rsidRPr="00F10391">
        <w:fldChar w:fldCharType="separate"/>
      </w:r>
      <w:r w:rsidR="00700267">
        <w:rPr>
          <w:noProof/>
        </w:rPr>
        <w:t>[70]</w:t>
      </w:r>
      <w:r w:rsidRPr="00F10391">
        <w:fldChar w:fldCharType="end"/>
      </w:r>
      <w:r w:rsidRPr="00F10391">
        <w:t xml:space="preserve">. </w:t>
      </w:r>
    </w:p>
    <w:p w14:paraId="119DC52A" w14:textId="77777777" w:rsidR="00D22CE3" w:rsidRPr="00F10391" w:rsidRDefault="00D22CE3">
      <w:r w:rsidRPr="00F10391">
        <w:t xml:space="preserve">However, a number of specific issues are explicitly allowed when there is clear evidence of differences in effectiveness between groups: in terms of race, age, and sex/gender and sexual orientation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Decision-makers should give special consideration when there are issues related to disability and diseases associated with social stigma. Conditions related to previous patient behaviour (such as those potentially considered self-induced due to addiction issues) should not be taken into account as it is often very difficult to know for certain the causation of the health issue, although if the behaviour is unlikely to change this may be considered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Guidance should not be given specifically for different socioeconomic groups, though in practice deciding which topics to investigate is of course also value-laden. Some CPH guidance has been explicit in the social groups at which it is aimed, such as certain age groups (such as </w:t>
      </w:r>
      <w:r w:rsidRPr="00F10391">
        <w:rPr>
          <w:i/>
        </w:rPr>
        <w:t xml:space="preserve">Interventions to reduce substance misuse among vulnerable young people </w:t>
      </w:r>
      <w:r w:rsidRPr="00F10391">
        <w:fldChar w:fldCharType="begin"/>
      </w:r>
      <w:r w:rsidR="00700267">
        <w:instrText xml:space="preserve"> ADDIN EN.CITE &lt;EndNote&gt;&lt;Cite&gt;&lt;Author&gt;NICE&lt;/Author&gt;&lt;Year&gt;2007&lt;/Year&gt;&lt;RecNum&gt;202&lt;/RecNum&gt;&lt;DisplayText&gt;[231]&lt;/DisplayText&gt;&lt;record&gt;&lt;rec-number&gt;202&lt;/rec-number&gt;&lt;foreign-keys&gt;&lt;key app="EN" db-id="sz9092dv2s5fpze9wpgx0zxgv5ar00aezrvf" timestamp="0"&gt;202&lt;/key&gt;&lt;/foreign-keys&gt;&lt;ref-type name="Report"&gt;27&lt;/ref-type&gt;&lt;contributors&gt;&lt;authors&gt;&lt;author&gt;NICE&lt;/author&gt;&lt;/authors&gt;&lt;/contributors&gt;&lt;titles&gt;&lt;title&gt;Interventions to reduce substance misuse among vulnerable young people&lt;/title&gt;&lt;secondary-title&gt;PH4&lt;/secondary-title&gt;&lt;/titles&gt;&lt;dates&gt;&lt;year&gt;2007&lt;/year&gt;&lt;/dates&gt;&lt;pub-location&gt;London&lt;/pub-location&gt;&lt;publisher&gt;National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[231]</w:t>
      </w:r>
      <w:r w:rsidRPr="00F10391">
        <w:fldChar w:fldCharType="end"/>
      </w:r>
      <w:r w:rsidRPr="00F10391">
        <w:t>) or ethnic groups (</w:t>
      </w:r>
      <w:r w:rsidRPr="00F10391">
        <w:rPr>
          <w:i/>
        </w:rPr>
        <w:t xml:space="preserve">Smokeless tobacco cessation – South Asian communities </w:t>
      </w:r>
      <w:r w:rsidRPr="00F10391">
        <w:fldChar w:fldCharType="begin"/>
      </w:r>
      <w:r w:rsidR="00700267">
        <w:instrText xml:space="preserve"> ADDIN EN.CITE &lt;EndNote&gt;&lt;Cite&gt;&lt;Author&gt;NICE&lt;/Author&gt;&lt;Year&gt;2012&lt;/Year&gt;&lt;RecNum&gt;237&lt;/RecNum&gt;&lt;DisplayText&gt;[232]&lt;/DisplayText&gt;&lt;record&gt;&lt;rec-number&gt;237&lt;/rec-number&gt;&lt;foreign-keys&gt;&lt;key app="EN" db-id="sz9092dv2s5fpze9wpgx0zxgv5ar00aezrvf" timestamp="0"&gt;237&lt;/key&gt;&lt;/foreign-keys&gt;&lt;ref-type name="Report"&gt;27&lt;/ref-type&gt;&lt;contributors&gt;&lt;authors&gt;&lt;author&gt;NICE&lt;/author&gt;&lt;/authors&gt;&lt;/contributors&gt;&lt;titles&gt;&lt;title&gt;Smokeless tobacco cessation: South Asian communities&lt;/title&gt;&lt;secondary-title&gt;PH39&lt;/secondary-title&gt;&lt;/titles&gt;&lt;dates&gt;&lt;year&gt;2012&lt;/year&gt;&lt;/dates&gt;&lt;pub-location&gt;London&lt;/pub-location&gt;&lt;publisher&gt;National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[232]</w:t>
      </w:r>
      <w:r w:rsidRPr="00F10391">
        <w:fldChar w:fldCharType="end"/>
      </w:r>
      <w:r w:rsidRPr="00F10391">
        <w:t>). Other health issues chosen for guidance may inescapably be more relevant to certain groups without explicitly stating so, including certain socioeconomic groups.</w:t>
      </w:r>
    </w:p>
    <w:p w14:paraId="6CA1A1A4" w14:textId="77777777" w:rsidR="00D22CE3" w:rsidRPr="00F10391" w:rsidRDefault="00D22CE3">
      <w:r w:rsidRPr="00F10391">
        <w:t>It is also unclear how NICE defines equity and whether it should consider, for example, equality of access to health as of greater or lesser importance against access to alternative treatments. There are practically limitless potential visions of equity that might be used, and definitions arising from these. Absolute and relative concepts of equity can come into conflict, and this can be further complicated by temporal concerns.</w:t>
      </w:r>
    </w:p>
    <w:p w14:paraId="0FC2F210" w14:textId="77777777" w:rsidR="00D22CE3" w:rsidRPr="00F10391" w:rsidRDefault="00D22CE3">
      <w:r w:rsidRPr="00F10391">
        <w:t xml:space="preserve">For example, even a cost-saving intervention might increase inequality in the shorter term, if wealthier populations are likely to be early adopters of the technology. While the introduction </w:t>
      </w:r>
      <w:r w:rsidRPr="00F10391">
        <w:lastRenderedPageBreak/>
        <w:t xml:space="preserve">of ‘Boris Bikes’, for example, has led to increased levels of population-level health </w:t>
      </w:r>
      <w:r w:rsidRPr="00F10391">
        <w:fldChar w:fldCharType="begin"/>
      </w:r>
      <w:r w:rsidR="00700267">
        <w:instrText xml:space="preserve"> ADDIN EN.CITE &lt;EndNote&gt;&lt;Cite&gt;&lt;Author&gt;Woodcock&lt;/Author&gt;&lt;Year&gt;2014&lt;/Year&gt;&lt;RecNum&gt;164&lt;/RecNum&gt;&lt;DisplayText&gt;[233]&lt;/DisplayText&gt;&lt;record&gt;&lt;rec-number&gt;164&lt;/rec-number&gt;&lt;foreign-keys&gt;&lt;key app="EN" db-id="sz9092dv2s5fpze9wpgx0zxgv5ar00aezrvf" timestamp="0"&gt;164&lt;/key&gt;&lt;/foreign-keys&gt;&lt;ref-type name="Journal Article"&gt;17&lt;/ref-type&gt;&lt;contributors&gt;&lt;authors&gt;&lt;author&gt;Woodcock, James&lt;/author&gt;&lt;author&gt;Tainio, Marko&lt;/author&gt;&lt;author&gt;Cheshire, James&lt;/author&gt;&lt;author&gt;O’Brien, Oliver&lt;/author&gt;&lt;author&gt;Goodman, Anna&lt;/author&gt;&lt;/authors&gt;&lt;/contributors&gt;&lt;titles&gt;&lt;title&gt;Health effects of the London bicycle sharing system: health impact modelling study&lt;/title&gt;&lt;secondary-title&gt;BMJ: British Medical Journal&lt;/secondary-title&gt;&lt;/titles&gt;&lt;volume&gt;348&lt;/volume&gt;&lt;dates&gt;&lt;year&gt;2014&lt;/year&gt;&lt;/dates&gt;&lt;isbn&gt;1756-1833&lt;/isbn&gt;&lt;urls&gt;&lt;/urls&gt;&lt;/record&gt;&lt;/Cite&gt;&lt;/EndNote&gt;</w:instrText>
      </w:r>
      <w:r w:rsidRPr="00F10391">
        <w:fldChar w:fldCharType="separate"/>
      </w:r>
      <w:r w:rsidR="00700267">
        <w:rPr>
          <w:noProof/>
        </w:rPr>
        <w:t>[233]</w:t>
      </w:r>
      <w:r w:rsidRPr="00F10391">
        <w:fldChar w:fldCharType="end"/>
      </w:r>
      <w:r w:rsidRPr="00F10391">
        <w:t xml:space="preserve">, it has also increased levels of health inequality, as residents from deprived areas have used the service proportionately less than average (as did women) </w:t>
      </w:r>
      <w:r w:rsidRPr="00F10391">
        <w:fldChar w:fldCharType="begin"/>
      </w:r>
      <w:r w:rsidR="00700267">
        <w:instrText xml:space="preserve"> ADDIN EN.CITE &lt;EndNote&gt;&lt;Cite&gt;&lt;Author&gt;Ogilvie&lt;/Author&gt;&lt;Year&gt;2012&lt;/Year&gt;&lt;RecNum&gt;107&lt;/RecNum&gt;&lt;DisplayText&gt;[234]&lt;/DisplayText&gt;&lt;record&gt;&lt;rec-number&gt;107&lt;/rec-number&gt;&lt;foreign-keys&gt;&lt;key app="EN" db-id="sz9092dv2s5fpze9wpgx0zxgv5ar00aezrvf" timestamp="0"&gt;107&lt;/key&gt;&lt;/foreign-keys&gt;&lt;ref-type name="Journal Article"&gt;17&lt;/ref-type&gt;&lt;contributors&gt;&lt;authors&gt;&lt;author&gt;Ogilvie, Flora&lt;/author&gt;&lt;author&gt;Goodman, Anna&lt;/author&gt;&lt;/authors&gt;&lt;/contributors&gt;&lt;titles&gt;&lt;title&gt;Inequalities in usage of a public bicycle sharing scheme: socio-demographic predictors of uptake and usage of the London (UK) cycle hire scheme&lt;/title&gt;&lt;secondary-title&gt;Preventive medicine&lt;/secondary-title&gt;&lt;/titles&gt;&lt;pages&gt;40-45&lt;/pages&gt;&lt;volume&gt;55&lt;/volume&gt;&lt;number&gt;1&lt;/number&gt;&lt;dates&gt;&lt;year&gt;2012&lt;/year&gt;&lt;/dates&gt;&lt;isbn&gt;0091-7435&lt;/isbn&gt;&lt;urls&gt;&lt;related-urls&gt;&lt;url&gt;http://ac.els-cdn.com/S0091743512001685/1-s2.0-S0091743512001685-main.pdf?_tid=d591ea18-9105-11e4-bf04-00000aab0f6b&amp;amp;acdnat=1420041677_b8e737e15d0fcd4d12dabe36883e8bdb&lt;/url&gt;&lt;url&gt;http://ac.els-cdn.com/S0091743512001685/1-s2.0-S0091743512001685-main.pdf?_tid=68359416-e7a7-11e5-895d-00000aacb35d&amp;amp;acdnat=1457714369_e10fcfec9dad77862d4648c7d84b441a&lt;/url&gt;&lt;/related-urls&gt;&lt;/urls&gt;&lt;/record&gt;&lt;/Cite&gt;&lt;/EndNote&gt;</w:instrText>
      </w:r>
      <w:r w:rsidRPr="00F10391">
        <w:fldChar w:fldCharType="separate"/>
      </w:r>
      <w:r w:rsidR="00700267">
        <w:rPr>
          <w:noProof/>
        </w:rPr>
        <w:t>[234]</w:t>
      </w:r>
      <w:r w:rsidRPr="00F10391">
        <w:fldChar w:fldCharType="end"/>
      </w:r>
      <w:r w:rsidRPr="00F10391">
        <w:t>. In the long run, such inequality may reverse as their use spreads to all groups. But new interventions will always come along, and in the longer run such health inequalities seem to perpetuate over long periods.</w:t>
      </w:r>
    </w:p>
    <w:p w14:paraId="44CD0F6D" w14:textId="6E333CE0" w:rsidR="00D22CE3" w:rsidRPr="00F10391" w:rsidRDefault="00D22CE3">
      <w:r w:rsidRPr="00F10391">
        <w:t xml:space="preserve">Aside from conflicting visions about what constitutes an appropriate approach to defining equity, there are other issues, including non-health concerns, which should be considered as part of any deliberations such as “reduced levels of public disorder resulting from reduced alcohol consumption”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00942A9E">
        <w:t xml:space="preserve"> (p.110</w:t>
      </w:r>
      <w:r w:rsidR="00112B4A">
        <w:t>)</w:t>
      </w:r>
      <w:r w:rsidRPr="00F10391">
        <w:t xml:space="preserve">. One NICE report </w:t>
      </w:r>
      <w:r w:rsidRPr="00F10391">
        <w:fldChar w:fldCharType="begin"/>
      </w:r>
      <w:r w:rsidR="00700267">
        <w:instrText xml:space="preserve"> ADDIN EN.CITE &lt;EndNote&gt;&lt;Cite&gt;&lt;Author&gt;NICE&lt;/Author&gt;&lt;Year&gt;2011&lt;/Year&gt;&lt;RecNum&gt;187&lt;/RecNum&gt;&lt;DisplayText&gt;[235]&lt;/DisplayText&gt;&lt;record&gt;&lt;rec-number&gt;187&lt;/rec-number&gt;&lt;foreign-keys&gt;&lt;key app="EN" db-id="sz9092dv2s5fpze9wpgx0zxgv5ar00aezrvf" timestamp="0"&gt;187&lt;/key&gt;&lt;/foreign-keys&gt;&lt;ref-type name="Report"&gt;27&lt;/ref-type&gt;&lt;contributors&gt;&lt;authors&gt;&lt;author&gt;NICE&lt;/author&gt;&lt;/authors&gt;&lt;/contributors&gt;&lt;titles&gt;&lt;title&gt;Supporting investment in public health: Review of methods for assessing cost-effectiveness, cost impact and return on investment. &lt;/title&gt;&lt;/titles&gt;&lt;dates&gt;&lt;year&gt;2011&lt;/year&gt;&lt;/dates&gt;&lt;pub-location&gt;London&lt;/pub-location&gt;&lt;publisher&gt;National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[235]</w:t>
      </w:r>
      <w:r w:rsidRPr="00F10391">
        <w:fldChar w:fldCharType="end"/>
      </w:r>
      <w:r w:rsidRPr="00F10391">
        <w:t xml:space="preserve"> stated that the following areas are also relevant to the prioritisation process:</w:t>
      </w:r>
    </w:p>
    <w:p w14:paraId="09D5AA9C" w14:textId="77777777" w:rsidR="00D22CE3" w:rsidRPr="00F10391" w:rsidRDefault="00D22CE3">
      <w:pPr>
        <w:pStyle w:val="ListParagraph"/>
        <w:numPr>
          <w:ilvl w:val="0"/>
          <w:numId w:val="7"/>
        </w:numPr>
      </w:pPr>
      <w:r w:rsidRPr="00F10391">
        <w:t>Burden of disease (population affected, morbidity, mortality).</w:t>
      </w:r>
    </w:p>
    <w:p w14:paraId="64FEC643" w14:textId="77777777" w:rsidR="00D22CE3" w:rsidRPr="00F10391" w:rsidRDefault="00D22CE3">
      <w:pPr>
        <w:pStyle w:val="ListParagraph"/>
        <w:numPr>
          <w:ilvl w:val="0"/>
          <w:numId w:val="7"/>
        </w:numPr>
      </w:pPr>
      <w:r w:rsidRPr="00F10391">
        <w:t>Policy importance (that is whether the topic falls within a government priority area).</w:t>
      </w:r>
    </w:p>
    <w:p w14:paraId="1D08DCE5" w14:textId="77777777" w:rsidR="00D22CE3" w:rsidRPr="00F10391" w:rsidRDefault="00D22CE3">
      <w:pPr>
        <w:pStyle w:val="ListParagraph"/>
        <w:numPr>
          <w:ilvl w:val="0"/>
          <w:numId w:val="7"/>
        </w:numPr>
      </w:pPr>
      <w:r w:rsidRPr="00F10391">
        <w:t>Whether there is inappropriate variation in practice across the country.</w:t>
      </w:r>
    </w:p>
    <w:p w14:paraId="780F0DE3" w14:textId="77777777" w:rsidR="00D22CE3" w:rsidRPr="00F10391" w:rsidRDefault="00D22CE3">
      <w:pPr>
        <w:pStyle w:val="ListParagraph"/>
        <w:numPr>
          <w:ilvl w:val="0"/>
          <w:numId w:val="7"/>
        </w:numPr>
      </w:pPr>
      <w:r w:rsidRPr="00F10391">
        <w:t xml:space="preserve">Factors affecting the timeliness or urgency for guidance to be produced. </w:t>
      </w:r>
    </w:p>
    <w:p w14:paraId="7494AF5A" w14:textId="77777777" w:rsidR="00D22CE3" w:rsidRPr="00F10391" w:rsidRDefault="00D22CE3">
      <w:r w:rsidRPr="00F10391">
        <w:t xml:space="preserve">Golan et al.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r w:rsidRPr="00F10391">
        <w:t xml:space="preserve"> also identified nineteen themes that are employed in health systems worldwide to decide upon whether a programme or procedure should be provided, shown in Table 4.2.  Five of these are taken into consideration in the UK, along with two ‘other factors’.</w:t>
      </w:r>
    </w:p>
    <w:p w14:paraId="0718137F" w14:textId="0ED33D4C" w:rsidR="00D22CE3" w:rsidRPr="00F10391" w:rsidRDefault="00D22CE3">
      <w:pPr>
        <w:pStyle w:val="Caption"/>
      </w:pPr>
      <w:bookmarkStart w:id="451" w:name="_Toc476241429"/>
      <w:bookmarkStart w:id="452" w:name="_Toc444180793"/>
      <w:r w:rsidRPr="00F10391">
        <w:t xml:space="preserve">Table </w:t>
      </w:r>
      <w:r w:rsidR="000F1034">
        <w:fldChar w:fldCharType="begin"/>
      </w:r>
      <w:r w:rsidR="000F1034">
        <w:instrText xml:space="preserve"> STYLEREF 1 \s </w:instrText>
      </w:r>
      <w:r w:rsidR="000F1034">
        <w:fldChar w:fldCharType="separate"/>
      </w:r>
      <w:r w:rsidR="00B37229">
        <w:rPr>
          <w:noProof/>
        </w:rPr>
        <w:t>4</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2</w:t>
      </w:r>
      <w:r w:rsidR="000F1034">
        <w:rPr>
          <w:noProof/>
        </w:rPr>
        <w:fldChar w:fldCharType="end"/>
      </w:r>
      <w:r w:rsidRPr="00F10391">
        <w:t xml:space="preserve"> – Criteria used for prioritising interventions, adapted from Golan et al.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bookmarkEnd w:id="452"/>
      <w:r w:rsidR="00700267">
        <w:rPr>
          <w:noProof/>
        </w:rPr>
        <w:t>[120]</w:t>
      </w:r>
      <w:bookmarkEnd w:id="451"/>
      <w:r w:rsidRPr="00F10391">
        <w:fldChar w:fldCharType="end"/>
      </w:r>
    </w:p>
    <w:p w14:paraId="41B0B618" w14:textId="77777777" w:rsidR="00D22CE3" w:rsidRPr="00F10391" w:rsidRDefault="00D22CE3">
      <w:r w:rsidRPr="00F10391">
        <w:rPr>
          <w:noProof/>
          <w:lang w:val="en-IE" w:eastAsia="en-IE"/>
        </w:rPr>
        <w:drawing>
          <wp:inline distT="0" distB="0" distL="0" distR="0" wp14:anchorId="5E5585B2" wp14:editId="11F6F8C6">
            <wp:extent cx="5270500" cy="4790183"/>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4790183"/>
                    </a:xfrm>
                    <a:prstGeom prst="rect">
                      <a:avLst/>
                    </a:prstGeom>
                    <a:noFill/>
                    <a:ln>
                      <a:noFill/>
                    </a:ln>
                  </pic:spPr>
                </pic:pic>
              </a:graphicData>
            </a:graphic>
          </wp:inline>
        </w:drawing>
      </w:r>
    </w:p>
    <w:p w14:paraId="33469115" w14:textId="72D0D544" w:rsidR="00D22CE3" w:rsidRPr="00F10391" w:rsidRDefault="00D22CE3">
      <w:r w:rsidRPr="00F10391">
        <w:lastRenderedPageBreak/>
        <w:t xml:space="preserve">With public health responsibilities moving to local government, these concerns may align better than previously in an NHS context. For better or worse, local authorities may also consider some health issues to be more socially valuable than others, or at least prioritise them differently than PCTs might have, though the York report on the de facto cost-effectiveness threshold </w:t>
      </w:r>
      <w:r w:rsidRPr="00F10391">
        <w:fldChar w:fldCharType="begin"/>
      </w:r>
      <w:r w:rsidR="00700267">
        <w:instrText xml:space="preserve"> ADDIN EN.CITE &lt;EndNote&gt;&lt;Cite&gt;&lt;Author&gt;Claxton&lt;/Author&gt;&lt;Year&gt;2013&lt;/Year&gt;&lt;RecNum&gt;20&lt;/RecNum&gt;&lt;DisplayText&gt;[236]&lt;/DisplayText&gt;&lt;record&gt;&lt;rec-number&gt;20&lt;/rec-number&gt;&lt;foreign-keys&gt;&lt;key app="EN" db-id="sz9092dv2s5fpze9wpgx0zxgv5ar00aezrvf" timestamp="0"&gt;20&lt;/key&gt;&lt;/foreign-keys&gt;&lt;ref-type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NICE cost effectiveness threshold&lt;/title&gt;&lt;secondary-title&gt;York: University of York&lt;/secondary-title&gt;&lt;/titles&gt;&lt;dates&gt;&lt;year&gt;2013&lt;/year&gt;&lt;/dates&gt;&lt;urls&gt;&lt;/urls&gt;&lt;/record&gt;&lt;/Cite&gt;&lt;/EndNote&gt;</w:instrText>
      </w:r>
      <w:r w:rsidRPr="00F10391">
        <w:fldChar w:fldCharType="separate"/>
      </w:r>
      <w:r w:rsidR="00700267">
        <w:rPr>
          <w:noProof/>
        </w:rPr>
        <w:t>[236]</w:t>
      </w:r>
      <w:r w:rsidRPr="00F10391">
        <w:fldChar w:fldCharType="end"/>
      </w:r>
      <w:r w:rsidRPr="00F10391">
        <w:t xml:space="preserve"> also found significant disparities between treatment groups already present in the NHS. Rawlins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describes six special circumstances used as criteria when making </w:t>
      </w:r>
      <w:r w:rsidR="001B7ADD">
        <w:t>judgment</w:t>
      </w:r>
      <w:r w:rsidRPr="00F10391">
        <w:t xml:space="preserve">s relating to cost-effectiveness of pharmacoeconomic decisions. </w:t>
      </w:r>
    </w:p>
    <w:p w14:paraId="3538AEB7" w14:textId="77777777" w:rsidR="00D22CE3" w:rsidRPr="00F10391" w:rsidRDefault="00D22CE3">
      <w:pPr>
        <w:pStyle w:val="ListParagraph"/>
        <w:numPr>
          <w:ilvl w:val="0"/>
          <w:numId w:val="10"/>
        </w:numPr>
      </w:pPr>
      <w:r w:rsidRPr="00F10391">
        <w:t>Severity of underlying illness</w:t>
      </w:r>
    </w:p>
    <w:p w14:paraId="5A938562" w14:textId="77777777" w:rsidR="00D22CE3" w:rsidRPr="00F10391" w:rsidRDefault="00D22CE3">
      <w:pPr>
        <w:pStyle w:val="ListParagraph"/>
        <w:numPr>
          <w:ilvl w:val="0"/>
          <w:numId w:val="10"/>
        </w:numPr>
      </w:pPr>
      <w:r w:rsidRPr="00F10391">
        <w:t>Significant innovation</w:t>
      </w:r>
    </w:p>
    <w:p w14:paraId="6870F7CF" w14:textId="77777777" w:rsidR="00D22CE3" w:rsidRPr="00F10391" w:rsidRDefault="00D22CE3">
      <w:pPr>
        <w:pStyle w:val="ListParagraph"/>
        <w:numPr>
          <w:ilvl w:val="0"/>
          <w:numId w:val="10"/>
        </w:numPr>
      </w:pPr>
      <w:r w:rsidRPr="00F10391">
        <w:t>End-of-life treatments</w:t>
      </w:r>
    </w:p>
    <w:p w14:paraId="50DFC007" w14:textId="77777777" w:rsidR="00D22CE3" w:rsidRPr="00F10391" w:rsidRDefault="00D22CE3">
      <w:pPr>
        <w:pStyle w:val="ListParagraph"/>
        <w:numPr>
          <w:ilvl w:val="0"/>
          <w:numId w:val="10"/>
        </w:numPr>
      </w:pPr>
      <w:r w:rsidRPr="00F10391">
        <w:t xml:space="preserve">Disadvantaged populations </w:t>
      </w:r>
    </w:p>
    <w:p w14:paraId="32D6A1BD" w14:textId="77777777" w:rsidR="00D22CE3" w:rsidRPr="00F10391" w:rsidRDefault="00D22CE3">
      <w:pPr>
        <w:pStyle w:val="ListParagraph"/>
        <w:numPr>
          <w:ilvl w:val="0"/>
          <w:numId w:val="10"/>
        </w:numPr>
      </w:pPr>
      <w:r w:rsidRPr="00F10391">
        <w:t>Stakeholder persuasion</w:t>
      </w:r>
      <w:r w:rsidRPr="00F10391">
        <w:tab/>
      </w:r>
    </w:p>
    <w:p w14:paraId="6F07974A" w14:textId="77777777" w:rsidR="00D22CE3" w:rsidRPr="00F10391" w:rsidRDefault="00D22CE3">
      <w:pPr>
        <w:pStyle w:val="ListParagraph"/>
        <w:numPr>
          <w:ilvl w:val="0"/>
          <w:numId w:val="10"/>
        </w:numPr>
      </w:pPr>
      <w:r w:rsidRPr="00F10391">
        <w:t>Children</w:t>
      </w:r>
    </w:p>
    <w:p w14:paraId="1143E49A" w14:textId="3DFCE53E" w:rsidR="00D22CE3" w:rsidRPr="00F10391" w:rsidRDefault="00D22CE3">
      <w:r w:rsidRPr="00F10391">
        <w:t xml:space="preserve">This list might differ somewhat if it described public health decisions rather than pharmacoeconomic ones (for example, disadvantaged populations could likely become more important, innovation perhaps less so, and other special circumstances might be considered). In current NICE practice, the issues are not explicitly weighted for a number of reasons: the methodology to do so is untested, it was not clear if additive or multiplicative approaches to combine these would be more appropriate, and there was a fear that implementing a formal approach might reduce the role for </w:t>
      </w:r>
      <w:r w:rsidR="001B7ADD">
        <w:t>judgment</w:t>
      </w:r>
      <w:r w:rsidRPr="00F10391">
        <w:t xml:space="preserve"> of advisory bodies.</w:t>
      </w:r>
    </w:p>
    <w:p w14:paraId="74A59F04" w14:textId="77777777" w:rsidR="00D22CE3" w:rsidRPr="00F10391" w:rsidRDefault="00D22CE3">
      <w:r w:rsidRPr="00F10391">
        <w:t xml:space="preserve">There are a range of other concerns that NICE must also take into account. A number of sets of guidance (including recent ones such as PH47 </w:t>
      </w:r>
      <w:r w:rsidRPr="00F10391">
        <w:fldChar w:fldCharType="begin"/>
      </w:r>
      <w:r w:rsidR="00700267">
        <w:instrText xml:space="preserve"> ADDIN EN.CITE &lt;EndNote&gt;&lt;Cite&gt;&lt;Author&gt;NICE&lt;/Author&gt;&lt;Year&gt;2013&lt;/Year&gt;&lt;RecNum&gt;245&lt;/RecNum&gt;&lt;DisplayText&gt;[238]&lt;/DisplayText&gt;&lt;record&gt;&lt;rec-number&gt;245&lt;/rec-number&gt;&lt;foreign-keys&gt;&lt;key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w:t>
      </w:r>
      <w:r w:rsidRPr="00F10391">
        <w:fldChar w:fldCharType="end"/>
      </w:r>
      <w:r w:rsidRPr="00F10391">
        <w:t xml:space="preserve">, PH48 </w:t>
      </w:r>
      <w:r w:rsidRPr="00F10391">
        <w:fldChar w:fldCharType="begin"/>
      </w:r>
      <w:r w:rsidR="00700267">
        <w:instrText xml:space="preserve"> ADDIN EN.CITE &lt;EndNote&gt;&lt;Cite&gt;&lt;Author&gt;NICE&lt;/Author&gt;&lt;Year&gt;2013&lt;/Year&gt;&lt;RecNum&gt;246&lt;/RecNum&gt;&lt;DisplayText&gt;[239]&lt;/DisplayText&gt;&lt;record&gt;&lt;rec-number&gt;246&lt;/rec-number&gt;&lt;foreign-keys&gt;&lt;key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[239]</w:t>
      </w:r>
      <w:r w:rsidRPr="00F10391">
        <w:fldChar w:fldCharType="end"/>
      </w:r>
      <w:r w:rsidRPr="00F10391">
        <w:t xml:space="preserve"> and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describe the deliberation process as one of “informal consensus, based on the following criteria”:</w:t>
      </w:r>
    </w:p>
    <w:p w14:paraId="10D249B4" w14:textId="77777777" w:rsidR="00D22CE3" w:rsidRPr="00F10391" w:rsidRDefault="00D22CE3">
      <w:pPr>
        <w:pStyle w:val="ListParagraph"/>
        <w:numPr>
          <w:ilvl w:val="0"/>
          <w:numId w:val="11"/>
        </w:numPr>
      </w:pPr>
      <w:r w:rsidRPr="00F10391">
        <w:t>Strength (type, quality, quantity and consistency) of the evidence.</w:t>
      </w:r>
    </w:p>
    <w:p w14:paraId="6E622B92" w14:textId="77777777" w:rsidR="00D22CE3" w:rsidRPr="00F10391" w:rsidRDefault="00D22CE3">
      <w:pPr>
        <w:pStyle w:val="ListParagraph"/>
        <w:numPr>
          <w:ilvl w:val="0"/>
          <w:numId w:val="11"/>
        </w:numPr>
      </w:pPr>
      <w:r w:rsidRPr="00F10391">
        <w:t xml:space="preserve">The applicability of the evidence to the populations/settings referred to in the scope. </w:t>
      </w:r>
    </w:p>
    <w:p w14:paraId="472E6E2F" w14:textId="77777777" w:rsidR="00D22CE3" w:rsidRPr="00F10391" w:rsidRDefault="00D22CE3">
      <w:pPr>
        <w:pStyle w:val="ListParagraph"/>
        <w:numPr>
          <w:ilvl w:val="0"/>
          <w:numId w:val="11"/>
        </w:numPr>
      </w:pPr>
      <w:r w:rsidRPr="00F10391">
        <w:t>Effect size and potential impact on the target population's health.</w:t>
      </w:r>
    </w:p>
    <w:p w14:paraId="5B45DB83" w14:textId="77777777" w:rsidR="00D22CE3" w:rsidRPr="00F10391" w:rsidRDefault="00D22CE3">
      <w:pPr>
        <w:pStyle w:val="ListParagraph"/>
        <w:numPr>
          <w:ilvl w:val="0"/>
          <w:numId w:val="11"/>
        </w:numPr>
      </w:pPr>
      <w:r w:rsidRPr="00F10391">
        <w:t>Impact on inequalities in health between different groups of the population.</w:t>
      </w:r>
    </w:p>
    <w:p w14:paraId="220313A6" w14:textId="77777777" w:rsidR="00D22CE3" w:rsidRPr="00F10391" w:rsidRDefault="00D22CE3">
      <w:pPr>
        <w:pStyle w:val="ListParagraph"/>
        <w:numPr>
          <w:ilvl w:val="0"/>
          <w:numId w:val="11"/>
        </w:numPr>
      </w:pPr>
      <w:r w:rsidRPr="00F10391">
        <w:t>Equality and diversity legislation.</w:t>
      </w:r>
    </w:p>
    <w:p w14:paraId="6B157FB9" w14:textId="6F0EF9BD" w:rsidR="00D22CE3" w:rsidRPr="00F10391" w:rsidRDefault="00D22CE3">
      <w:pPr>
        <w:pStyle w:val="ListParagraph"/>
        <w:numPr>
          <w:ilvl w:val="0"/>
          <w:numId w:val="11"/>
        </w:numPr>
      </w:pPr>
      <w:r w:rsidRPr="00F10391">
        <w:t xml:space="preserve">Ethical issues and social value </w:t>
      </w:r>
      <w:r w:rsidR="001B7ADD">
        <w:t>judgment</w:t>
      </w:r>
      <w:r w:rsidRPr="00F10391">
        <w:t>s.</w:t>
      </w:r>
    </w:p>
    <w:p w14:paraId="32D1D3CB" w14:textId="77777777" w:rsidR="00D22CE3" w:rsidRPr="00F10391" w:rsidRDefault="00D22CE3">
      <w:pPr>
        <w:pStyle w:val="ListParagraph"/>
        <w:numPr>
          <w:ilvl w:val="0"/>
          <w:numId w:val="11"/>
        </w:numPr>
      </w:pPr>
      <w:r w:rsidRPr="00F10391">
        <w:t>Balance of harms and benefits.</w:t>
      </w:r>
    </w:p>
    <w:p w14:paraId="36B6E8B1" w14:textId="77777777" w:rsidR="00D22CE3" w:rsidRPr="00F10391" w:rsidRDefault="00D22CE3">
      <w:pPr>
        <w:pStyle w:val="ListParagraph"/>
        <w:numPr>
          <w:ilvl w:val="0"/>
          <w:numId w:val="11"/>
        </w:numPr>
      </w:pPr>
      <w:r w:rsidRPr="00F10391">
        <w:t>Ease of implementation and any anticipated changes in practice.</w:t>
      </w:r>
    </w:p>
    <w:p w14:paraId="22098EE4" w14:textId="77777777" w:rsidR="00D22CE3" w:rsidRPr="00F10391" w:rsidRDefault="00D22CE3">
      <w:r w:rsidRPr="00F10391">
        <w:t xml:space="preserve">In line with the changes arising from the Health and Social Care Act, NICE has begun to offer tools around which local governments can structure and tailor local health services </w:t>
      </w:r>
      <w:r w:rsidRPr="00F10391">
        <w:fldChar w:fldCharType="begin"/>
      </w:r>
      <w:r w:rsidR="00700267">
        <w:instrText xml:space="preserve"> ADDIN EN.CITE &lt;EndNote&gt;&lt;Cite&gt;&lt;Author&gt;NICE&lt;/Author&gt;&lt;Year&gt;2015&lt;/Year&gt;&lt;RecNum&gt;363&lt;/RecNum&gt;&lt;DisplayText&gt;[241-243]&lt;/DisplayText&gt;&lt;record&gt;&lt;rec-number&gt;363&lt;/rec-number&gt;&lt;foreign-keys&gt;&lt;key app="EN" db-id="septax0fnz0ppweaftoxwaf8dwt952vtx2we" timestamp="1451745803"&gt;363&lt;/key&gt;&lt;/foreign-keys&gt;&lt;ref-type name="Web Page"&gt;12&lt;/ref-type&gt;&lt;contributors&gt;&lt;authors&gt;&lt;author&gt;NICE&lt;/author&gt;&lt;/authors&gt;&lt;/contributors&gt;&lt;titles&gt;&lt;title&gt;Physical activity return on investment tool&lt;/title&gt;&lt;/titles&gt;&lt;volume&gt;2016&lt;/volume&gt;&lt;number&gt;Jan 1&lt;/number&gt;&lt;dates&gt;&lt;year&gt;2015&lt;/year&gt;&lt;/dates&gt;&lt;urls&gt;&lt;related-urls&gt;&lt;url&gt;http://www.nice.org.uk/About/What-we-do/Into-practice/Return-on-investment-tools/Physical-activity-return-on-investment-tool&lt;/url&gt;&lt;/related-urls&gt;&lt;/urls&gt;&lt;/record&gt;&lt;/Cite&gt;&lt;Cite&gt;&lt;Author&gt;NICE&lt;/Author&gt;&lt;Year&gt;2015&lt;/Year&gt;&lt;RecNum&gt;364&lt;/RecNum&gt;&lt;record&gt;&lt;rec-number&gt;364&lt;/rec-number&gt;&lt;foreign-keys&gt;&lt;key app="EN" db-id="septax0fnz0ppweaftoxwaf8dwt952vtx2we" timestamp="1451745884"&gt;364&lt;/key&gt;&lt;/foreign-keys&gt;&lt;ref-type name="Web Page"&gt;12&lt;/ref-type&gt;&lt;contributors&gt;&lt;authors&gt;&lt;author&gt;NICE&lt;/author&gt;&lt;/authors&gt;&lt;/contributors&gt;&lt;titles&gt;&lt;title&gt;Tobacco return on investment tool&lt;/title&gt;&lt;/titles&gt;&lt;volume&gt;2016&lt;/volume&gt;&lt;number&gt;Jan 1&lt;/number&gt;&lt;dates&gt;&lt;year&gt;2015&lt;/year&gt;&lt;/dates&gt;&lt;urls&gt;&lt;related-urls&gt;&lt;url&gt;http://www.nice.org.uk/About/What-we-do/Into-practice/Return-on-investment-tools/Tobacco-Return-on-Investment-tool&lt;/url&gt;&lt;/related-urls&gt;&lt;/urls&gt;&lt;/record&gt;&lt;/Cite&gt;&lt;Cite&gt;&lt;Author&gt;NICE&lt;/Author&gt;&lt;Year&gt;2015&lt;/Year&gt;&lt;RecNum&gt;365&lt;/RecNum&gt;&lt;record&gt;&lt;rec-number&gt;365&lt;/rec-number&gt;&lt;foreign-keys&gt;&lt;key app="EN" db-id="septax0fnz0ppweaftoxwaf8dwt952vtx2we" timestamp="1451745939"&gt;365&lt;/key&gt;&lt;/foreign-keys&gt;&lt;ref-type name="Web Page"&gt;12&lt;/ref-type&gt;&lt;contributors&gt;&lt;authors&gt;&lt;author&gt;NICE&lt;/author&gt;&lt;/authors&gt;&lt;/contributors&gt;&lt;titles&gt;&lt;title&gt;Alcohol return on investment tool&lt;/title&gt;&lt;/titles&gt;&lt;volume&gt;2016&lt;/volume&gt;&lt;number&gt;Jan 1&lt;/number&gt;&lt;dates&gt;&lt;year&gt;2015&lt;/year&gt;&lt;/dates&gt;&lt;urls&gt;&lt;related-urls&gt;&lt;url&gt;http://www.nice.org.uk/About/What-we-do/Into-practice/Return-on-investment-tools/Alcohol-return-on-investment-tool&lt;/url&gt;&lt;/related-urls&gt;&lt;/urls&gt;&lt;/record&gt;&lt;/Cite&gt;&lt;/EndNote&gt;</w:instrText>
      </w:r>
      <w:r w:rsidRPr="00F10391">
        <w:fldChar w:fldCharType="separate"/>
      </w:r>
      <w:r w:rsidR="00700267">
        <w:rPr>
          <w:noProof/>
        </w:rPr>
        <w:t>[241-243]</w:t>
      </w:r>
      <w:r w:rsidRPr="00F10391">
        <w:fldChar w:fldCharType="end"/>
      </w:r>
      <w:r w:rsidRPr="00F10391">
        <w:t xml:space="preserve">. One preliminary report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r w:rsidRPr="00F10391">
        <w:t xml:space="preserve">, which intended to help local decision-makers and commissioners determine the cost impact of – and returns on investment from – public health interventions, was based on 14 criteria: </w:t>
      </w:r>
    </w:p>
    <w:p w14:paraId="63BB8A55" w14:textId="77777777" w:rsidR="00D22CE3" w:rsidRPr="00F10391" w:rsidRDefault="00D22CE3">
      <w:pPr>
        <w:pStyle w:val="ListParagraph"/>
        <w:numPr>
          <w:ilvl w:val="0"/>
          <w:numId w:val="12"/>
        </w:numPr>
      </w:pPr>
      <w:r w:rsidRPr="00F10391">
        <w:t>Effectiveness</w:t>
      </w:r>
    </w:p>
    <w:p w14:paraId="2CB6BFFD" w14:textId="77777777" w:rsidR="00D22CE3" w:rsidRPr="00F10391" w:rsidRDefault="00D22CE3">
      <w:pPr>
        <w:pStyle w:val="ListParagraph"/>
        <w:numPr>
          <w:ilvl w:val="0"/>
          <w:numId w:val="12"/>
        </w:numPr>
      </w:pPr>
      <w:r w:rsidRPr="00F10391">
        <w:t>Cost-effectiveness</w:t>
      </w:r>
    </w:p>
    <w:p w14:paraId="79F00FF8" w14:textId="77777777" w:rsidR="00D22CE3" w:rsidRPr="00F10391" w:rsidRDefault="00D22CE3">
      <w:pPr>
        <w:pStyle w:val="ListParagraph"/>
        <w:numPr>
          <w:ilvl w:val="0"/>
          <w:numId w:val="12"/>
        </w:numPr>
      </w:pPr>
      <w:r w:rsidRPr="00F10391">
        <w:t>Affordability</w:t>
      </w:r>
    </w:p>
    <w:p w14:paraId="09A18CBE" w14:textId="77777777" w:rsidR="00D22CE3" w:rsidRPr="00F10391" w:rsidRDefault="00D22CE3">
      <w:pPr>
        <w:pStyle w:val="ListParagraph"/>
        <w:numPr>
          <w:ilvl w:val="0"/>
          <w:numId w:val="12"/>
        </w:numPr>
      </w:pPr>
      <w:r w:rsidRPr="00F10391">
        <w:t>Impact on health inequalities</w:t>
      </w:r>
    </w:p>
    <w:p w14:paraId="15A0FB04" w14:textId="77777777" w:rsidR="00D22CE3" w:rsidRPr="00F10391" w:rsidRDefault="00D22CE3">
      <w:pPr>
        <w:pStyle w:val="ListParagraph"/>
        <w:numPr>
          <w:ilvl w:val="0"/>
          <w:numId w:val="12"/>
        </w:numPr>
      </w:pPr>
      <w:r w:rsidRPr="00F10391">
        <w:t>Burden of disease</w:t>
      </w:r>
      <w:r w:rsidRPr="00F10391">
        <w:tab/>
      </w:r>
    </w:p>
    <w:p w14:paraId="5BCA7F73" w14:textId="77777777" w:rsidR="00D22CE3" w:rsidRPr="00F10391" w:rsidRDefault="00D22CE3">
      <w:pPr>
        <w:pStyle w:val="ListParagraph"/>
        <w:numPr>
          <w:ilvl w:val="0"/>
          <w:numId w:val="12"/>
        </w:numPr>
      </w:pPr>
      <w:r w:rsidRPr="00F10391">
        <w:lastRenderedPageBreak/>
        <w:t>Quality of evidence</w:t>
      </w:r>
    </w:p>
    <w:p w14:paraId="0288450F" w14:textId="77777777" w:rsidR="00D22CE3" w:rsidRPr="00F10391" w:rsidRDefault="00D22CE3">
      <w:pPr>
        <w:pStyle w:val="ListParagraph"/>
        <w:numPr>
          <w:ilvl w:val="0"/>
          <w:numId w:val="12"/>
        </w:numPr>
      </w:pPr>
      <w:r w:rsidRPr="00F10391">
        <w:t>Cost of intervention</w:t>
      </w:r>
    </w:p>
    <w:p w14:paraId="40CE019A" w14:textId="77777777" w:rsidR="00D22CE3" w:rsidRPr="00F10391" w:rsidRDefault="00D22CE3">
      <w:pPr>
        <w:pStyle w:val="ListParagraph"/>
        <w:numPr>
          <w:ilvl w:val="0"/>
          <w:numId w:val="12"/>
        </w:numPr>
      </w:pPr>
      <w:r w:rsidRPr="00F10391">
        <w:t>Population eligible</w:t>
      </w:r>
    </w:p>
    <w:p w14:paraId="3A2050C8" w14:textId="77777777" w:rsidR="00D22CE3" w:rsidRPr="00F10391" w:rsidRDefault="00D22CE3">
      <w:pPr>
        <w:pStyle w:val="ListParagraph"/>
        <w:numPr>
          <w:ilvl w:val="0"/>
          <w:numId w:val="12"/>
        </w:numPr>
      </w:pPr>
      <w:r w:rsidRPr="00F10391">
        <w:t>Cost saving in less than 5 years</w:t>
      </w:r>
    </w:p>
    <w:p w14:paraId="04C7DF5A" w14:textId="77777777" w:rsidR="00D22CE3" w:rsidRPr="00F10391" w:rsidRDefault="00D22CE3">
      <w:pPr>
        <w:pStyle w:val="ListParagraph"/>
        <w:numPr>
          <w:ilvl w:val="0"/>
          <w:numId w:val="12"/>
        </w:numPr>
      </w:pPr>
      <w:r w:rsidRPr="00F10391">
        <w:t>Feasibility</w:t>
      </w:r>
    </w:p>
    <w:p w14:paraId="02D0393F" w14:textId="77777777" w:rsidR="00D22CE3" w:rsidRPr="00F10391" w:rsidRDefault="00D22CE3">
      <w:pPr>
        <w:pStyle w:val="ListParagraph"/>
        <w:numPr>
          <w:ilvl w:val="0"/>
          <w:numId w:val="12"/>
        </w:numPr>
      </w:pPr>
      <w:r w:rsidRPr="00F10391">
        <w:t xml:space="preserve">Acceptability </w:t>
      </w:r>
      <w:r w:rsidRPr="00F10391">
        <w:tab/>
      </w:r>
    </w:p>
    <w:p w14:paraId="0930C62F" w14:textId="77777777" w:rsidR="00D22CE3" w:rsidRPr="00F10391" w:rsidRDefault="00D22CE3">
      <w:pPr>
        <w:pStyle w:val="ListParagraph"/>
        <w:numPr>
          <w:ilvl w:val="0"/>
          <w:numId w:val="12"/>
        </w:numPr>
      </w:pPr>
      <w:r w:rsidRPr="00F10391">
        <w:t>Cost saving in more than 5 years</w:t>
      </w:r>
    </w:p>
    <w:p w14:paraId="2F2FB791" w14:textId="77777777" w:rsidR="00D22CE3" w:rsidRPr="00F10391" w:rsidRDefault="00D22CE3">
      <w:pPr>
        <w:pStyle w:val="ListParagraph"/>
        <w:numPr>
          <w:ilvl w:val="0"/>
          <w:numId w:val="12"/>
        </w:numPr>
      </w:pPr>
      <w:r w:rsidRPr="00F10391">
        <w:t>Certainty</w:t>
      </w:r>
      <w:r w:rsidRPr="00F10391">
        <w:tab/>
      </w:r>
    </w:p>
    <w:p w14:paraId="54A212E0" w14:textId="77777777" w:rsidR="00D22CE3" w:rsidRPr="00F10391" w:rsidRDefault="00D22CE3">
      <w:pPr>
        <w:pStyle w:val="ListParagraph"/>
        <w:numPr>
          <w:ilvl w:val="0"/>
          <w:numId w:val="12"/>
        </w:numPr>
      </w:pPr>
      <w:r w:rsidRPr="00F10391">
        <w:t>Non-health effect</w:t>
      </w:r>
    </w:p>
    <w:p w14:paraId="68BB0AD4" w14:textId="77777777" w:rsidR="00D22CE3" w:rsidRPr="00F10391" w:rsidRDefault="00D22CE3">
      <w:r w:rsidRPr="00F10391">
        <w:rPr>
          <w:rStyle w:val="CommentReference"/>
          <w:iCs/>
          <w:sz w:val="22"/>
          <w:szCs w:val="22"/>
        </w:rPr>
        <w:t xml:space="preserve">These issues are tailored for a local governmental audience with their own political objectives. NICE must always keep an eye on what is feasible in practice – including politically – and it seems very possible that they may have been taking them into account implicitly already. If so, there is clearly an extremely complex structure to the decision-making process. </w:t>
      </w:r>
    </w:p>
    <w:p w14:paraId="6A9B5B4D" w14:textId="77777777" w:rsidR="00D22CE3" w:rsidRPr="00F10391" w:rsidRDefault="00D22CE3">
      <w:r w:rsidRPr="00F10391">
        <w:rPr>
          <w:rStyle w:val="CommentReference"/>
          <w:sz w:val="22"/>
          <w:szCs w:val="22"/>
        </w:rPr>
        <w:t xml:space="preserve">This chapter does not attempt to take a systematic view of every issue NICE might consider outside of cost-effectiveness, but even if the issues highlighted are considered, they would have to implicitly weigh up more than 30 factors as part of their deliberations. To do so in a comprehensive, consistent and rational way is likely to be extremely challenging, and as previously described mistakes are likely in such circumstances without the use of some formal decision analysis technique </w:t>
      </w:r>
      <w:r w:rsidRPr="00F10391">
        <w:rPr>
          <w:rStyle w:val="CommentReference"/>
          <w:sz w:val="22"/>
          <w:szCs w:val="22"/>
        </w:rPr>
        <w:fldChar w:fldCharType="begin"/>
      </w:r>
      <w:r w:rsidRPr="00F10391">
        <w:rPr>
          <w:rStyle w:val="CommentReference"/>
          <w:sz w:val="22"/>
          <w:szCs w:val="22"/>
        </w:rPr>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rPr>
          <w:rStyle w:val="CommentReference"/>
          <w:sz w:val="22"/>
          <w:szCs w:val="22"/>
        </w:rPr>
        <w:fldChar w:fldCharType="separate"/>
      </w:r>
      <w:r w:rsidRPr="00F10391">
        <w:rPr>
          <w:rStyle w:val="CommentReference"/>
          <w:sz w:val="22"/>
          <w:szCs w:val="22"/>
        </w:rPr>
        <w:t>[6]</w:t>
      </w:r>
      <w:r w:rsidRPr="00F10391">
        <w:rPr>
          <w:rStyle w:val="CommentReference"/>
          <w:sz w:val="22"/>
          <w:szCs w:val="22"/>
        </w:rPr>
        <w:fldChar w:fldCharType="end"/>
      </w:r>
      <w:r w:rsidRPr="00F10391">
        <w:rPr>
          <w:rStyle w:val="CommentReference"/>
          <w:sz w:val="22"/>
          <w:szCs w:val="22"/>
        </w:rPr>
        <w:t>.</w:t>
      </w:r>
    </w:p>
    <w:p w14:paraId="650A9594" w14:textId="3551C56B" w:rsidR="00D22CE3" w:rsidRPr="00F10391" w:rsidRDefault="00D22CE3">
      <w:r w:rsidRPr="00F10391">
        <w:t xml:space="preserve">Ultimately decisions relating to the guidance have to be made by people, regardless of the frameworks used to structure them. These </w:t>
      </w:r>
      <w:r w:rsidR="001B7ADD">
        <w:t>judgment</w:t>
      </w:r>
      <w:r w:rsidRPr="00F10391">
        <w:t xml:space="preserve">s are “informed by science but nevertheless </w:t>
      </w:r>
      <w:r w:rsidR="001B7ADD">
        <w:t>judgment</w:t>
      </w:r>
      <w:r w:rsidRPr="00F10391">
        <w:t xml:space="preserve">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004E2EC1">
        <w:t xml:space="preserve"> (p.347)</w:t>
      </w:r>
      <w:r w:rsidRPr="00F10391">
        <w:t xml:space="preserve">. There are circumstances where not all data is available, or where political realities need to be taken into account before making binding </w:t>
      </w:r>
      <w:r w:rsidR="001B7ADD">
        <w:t>judgment</w:t>
      </w:r>
      <w:r w:rsidRPr="00F10391">
        <w:t xml:space="preserve">s. NICE needs to be pragmatic in its decisions and, as a general rule, they need to reflect ‘common sense’, in a similar fashion to the CUA analysis rankings that needed ‘correction’ by policy experts in Oregon to make the results more palatable </w:t>
      </w:r>
      <w:r w:rsidRPr="00F10391">
        <w:fldChar w:fldCharType="begin"/>
      </w:r>
      <w:r w:rsidR="00700267">
        <w:instrText xml:space="preserve"> ADDIN EN.CITE &lt;EndNote&gt;&lt;Cite&gt;&lt;Author&gt;Hadorn&lt;/Author&gt;&lt;Year&gt;1991&lt;/Year&gt;&lt;RecNum&gt;57&lt;/RecNum&gt;&lt;DisplayText&gt;[244]&lt;/DisplayText&gt;&lt;record&gt;&lt;rec-number&gt;57&lt;/rec-number&gt;&lt;foreign-keys&gt;&lt;key app="EN" db-id="sz9092dv2s5fpze9wpgx0zxgv5ar00aezrvf" timestamp="0"&gt;57&lt;/key&gt;&lt;/foreign-keys&gt;&lt;ref-type name="Journal Article"&gt;17&lt;/ref-type&gt;&lt;contributors&gt;&lt;authors&gt;&lt;author&gt;Hadorn, David C&lt;/author&gt;&lt;/authors&gt;&lt;/contributors&gt;&lt;titles&gt;&lt;title&gt;The role of public values in setting health care priorities&lt;/title&gt;&lt;secondary-title&gt;Social science &amp;amp; medicine&lt;/secondary-title&gt;&lt;/titles&gt;&lt;periodical&gt;&lt;full-title&gt;Social science &amp;amp; medicine&lt;/full-title&gt;&lt;/periodical&gt;&lt;pages&gt;773-781&lt;/pages&gt;&lt;volume&gt;32&lt;/volume&gt;&lt;number&gt;7&lt;/number&gt;&lt;dates&gt;&lt;year&gt;1991&lt;/year&gt;&lt;/dates&gt;&lt;isbn&gt;0277-9536&lt;/isbn&gt;&lt;urls&gt;&lt;related-urls&gt;&lt;url&gt;http://www.sciencedirect.com/science/article/pii/027795369190303T&lt;/url&gt;&lt;/related-urls&gt;&lt;/urls&gt;&lt;/record&gt;&lt;/Cite&gt;&lt;/EndNote&gt;</w:instrText>
      </w:r>
      <w:r w:rsidRPr="00F10391">
        <w:fldChar w:fldCharType="separate"/>
      </w:r>
      <w:r w:rsidR="00700267">
        <w:rPr>
          <w:noProof/>
        </w:rPr>
        <w:t>[244]</w:t>
      </w:r>
      <w:r w:rsidRPr="00F10391">
        <w:fldChar w:fldCharType="end"/>
      </w:r>
      <w:r w:rsidRPr="00F10391">
        <w:t>. In NICE, this is achieved through deliberation.</w:t>
      </w:r>
    </w:p>
    <w:p w14:paraId="62192B3A" w14:textId="77777777" w:rsidR="00D22CE3" w:rsidRPr="00F10391" w:rsidRDefault="00D22CE3">
      <w:r w:rsidRPr="00F10391">
        <w:t xml:space="preserve">However, these committees remain something of a ‘black box’. Consensus eventually emerges within the group about guidance but this is difficult to observe or measure and thus remains something of an enigma. The full range of nuances and the complex nature of the meetings cannot really be recorded accurately, leading to a lack of clarity about how final decisions are made, such as whether all relevant criteria have been given the appropriate consideration throughout, or how factors have been weighted implicitly.  On the other hand, arguing out such matters can uncover issues that merit further consideration, and ensure that common sense comes through. Replacing the discussion with some box ticking exercise that incorporated multiple criteria, however well designed and intentioned, would likely be deeply destructive, and would eliminate the important democratic aspects of debate </w:t>
      </w:r>
      <w:r w:rsidRPr="00F10391">
        <w:fldChar w:fldCharType="begin"/>
      </w:r>
      <w:r w:rsidR="00700267">
        <w:instrText xml:space="preserve"> ADDIN EN.CITE &lt;EndNote&gt;&lt;Cite&gt;&lt;Author&gt;Sen&lt;/Author&gt;&lt;Year&gt;1999&lt;/Year&gt;&lt;RecNum&gt;130&lt;/RecNum&gt;&lt;DisplayText&gt;[86]&lt;/DisplayText&gt;&lt;record&gt;&lt;rec-number&gt;130&lt;/rec-number&gt;&lt;foreign-keys&gt;&lt;key app="EN" db-id="sz9092dv2s5fpze9wpgx0zxgv5ar00aezrvf" timestamp="0"&gt;130&lt;/key&gt;&lt;/foreign-keys&gt;&lt;ref-type name="Book"&gt;6&lt;/ref-type&gt;&lt;contributors&gt;&lt;authors&gt;&lt;author&gt;Sen, Amartya&lt;/author&gt;&lt;/authors&gt;&lt;/contributors&gt;&lt;titles&gt;&lt;title&gt;Development as freedom&lt;/title&gt;&lt;/titles&gt;&lt;dates&gt;&lt;year&gt;1999&lt;/year&gt;&lt;/dates&gt;&lt;publisher&gt;Oxford University Press&lt;/publisher&gt;&lt;isbn&gt;0198297580&lt;/isbn&gt;&lt;urls&gt;&lt;/urls&gt;&lt;/record&gt;&lt;/Cite&gt;&lt;/EndNote&gt;</w:instrText>
      </w:r>
      <w:r w:rsidRPr="00F10391">
        <w:fldChar w:fldCharType="separate"/>
      </w:r>
      <w:r w:rsidR="00700267">
        <w:rPr>
          <w:noProof/>
        </w:rPr>
        <w:t>[86]</w:t>
      </w:r>
      <w:r w:rsidRPr="00F10391">
        <w:fldChar w:fldCharType="end"/>
      </w:r>
      <w:r w:rsidRPr="00F10391">
        <w:t>.</w:t>
      </w:r>
    </w:p>
    <w:p w14:paraId="7A9C2F73" w14:textId="77777777" w:rsidR="00D22CE3" w:rsidRPr="00F10391" w:rsidRDefault="00D22CE3">
      <w:r w:rsidRPr="00F10391">
        <w:t xml:space="preserve">The deliberative process currently used in NICE has its downsides, being neither fully explicit nor transparent and limiting its openness to public scrutiny. However, some deliberation will always be required to better inform the decision and ensure decision-makers are held accountable. The question therefore is not whether it can be replaced, but whether it can be improved. </w:t>
      </w:r>
    </w:p>
    <w:p w14:paraId="54D557BF" w14:textId="77777777" w:rsidR="00D33999" w:rsidRPr="00F10391" w:rsidRDefault="00D33999">
      <w:bookmarkStart w:id="453" w:name="_Toc313523538"/>
      <w:bookmarkStart w:id="454" w:name="_Toc441508976"/>
      <w:bookmarkStart w:id="455" w:name="_Toc453235414"/>
      <w:bookmarkStart w:id="456" w:name="_Toc453595487"/>
    </w:p>
    <w:p w14:paraId="179415BA" w14:textId="77777777" w:rsidR="00D22CE3" w:rsidRPr="00F10391" w:rsidRDefault="00D22CE3">
      <w:pPr>
        <w:pStyle w:val="Heading3"/>
        <w:numPr>
          <w:ilvl w:val="3"/>
          <w:numId w:val="5"/>
        </w:numPr>
      </w:pPr>
      <w:bookmarkStart w:id="457" w:name="_Toc476241584"/>
      <w:r w:rsidRPr="00F10391">
        <w:lastRenderedPageBreak/>
        <w:t>4.3.2</w:t>
      </w:r>
      <w:r w:rsidRPr="00F10391">
        <w:tab/>
      </w:r>
      <w:r w:rsidRPr="00F10391">
        <w:tab/>
        <w:t>Defining health and use of evidence based medicine approaches in public health</w:t>
      </w:r>
      <w:bookmarkEnd w:id="453"/>
      <w:bookmarkEnd w:id="454"/>
      <w:bookmarkEnd w:id="455"/>
      <w:bookmarkEnd w:id="456"/>
      <w:bookmarkEnd w:id="457"/>
    </w:p>
    <w:p w14:paraId="27124428" w14:textId="77777777" w:rsidR="00D22CE3" w:rsidRPr="00F10391" w:rsidRDefault="00D22CE3">
      <w:r w:rsidRPr="00F10391">
        <w:t xml:space="preserve">There are many previously described problems in applying an evidence-based medicine methodology directly to public health. Issues around the availability of evidence, difficulties in articulating the social dynamics of population health and in describing the causes and effects of interventions pose particular challenges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The CPH needs to carefully manage the guidance process to reflect these concerns, and PHACs often rely on expert evidence for this purpose. This by its nature needs further interpretation and is subject to values, subjectivity and the risk of bias, making the process much more complex than with clearer quantitative data.</w:t>
      </w:r>
    </w:p>
    <w:p w14:paraId="02CD863B" w14:textId="77777777" w:rsidR="00D22CE3" w:rsidRPr="00F10391" w:rsidRDefault="00D22CE3">
      <w:r w:rsidRPr="00F10391">
        <w:t xml:space="preserve">The most obvious tension in public health guidance is between how to prioritise between cost-effectiveness and equity concerns.  NICE has a number of principles used for balancing these, informed by the Citizens Council </w:t>
      </w:r>
      <w:r w:rsidRPr="00F10391">
        <w:fldChar w:fldCharType="begin"/>
      </w:r>
      <w:r w:rsidR="00700267">
        <w:instrText xml:space="preserve"> ADDIN EN.CITE &lt;EndNote&gt;&lt;Cite&gt;&lt;Author&gt;NICE&lt;/Author&gt;&lt;Year&gt;2008&lt;/Year&gt;&lt;RecNum&gt;257&lt;/RecNum&gt;&lt;DisplayText&gt;[63, 245]&lt;/DisplayText&gt;&lt;record&gt;&lt;rec-number&gt;257&lt;/rec-number&gt;&lt;foreign-keys&gt;&lt;key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Excellence&lt;/publisher&gt;&lt;urls&gt;&lt;/urls&gt;&lt;/record&gt;&lt;/Cite&gt;&lt;Cite&gt;&lt;Author&gt;NICE&lt;/Author&gt;&lt;Year&gt;2014&lt;/Year&gt;&lt;RecNum&gt;190&lt;/RecNum&gt;&lt;record&gt;&lt;rec-number&gt;190&lt;/rec-number&gt;&lt;foreign-keys&gt;&lt;key app="EN" db-id="sz9092dv2s5fpze9wpgx0zxgv5ar00aezrvf" timestamp="0"&gt;190&lt;/key&gt;&lt;/foreign-keys&gt;&lt;ref-type name="Report"&gt;27&lt;/ref-type&gt;&lt;contributors&gt;&lt;authors&gt;&lt;author&gt;NICE&lt;/author&gt;&lt;/authors&gt;&lt;/contributors&gt;&lt;titles&gt;&lt;title&gt;What are the societal values that need to be considered when making decisions about trade-offs between equity and efficiency? Citizens Council Meeting report: 8-9 May 2014. &lt;/title&gt;&lt;/titles&gt;&lt;dates&gt;&lt;year&gt;2014&lt;/year&gt;&lt;/dates&gt;&lt;pub-location&gt;London&lt;/pub-location&gt;&lt;publisher&gt;National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 245]</w:t>
      </w:r>
      <w:r w:rsidRPr="00F10391">
        <w:fldChar w:fldCharType="end"/>
      </w:r>
      <w:r w:rsidRPr="00F10391">
        <w:t>, but does not offer explicit weights to express how and where one is more important than another. It also avoids weighting QALYs for certain groups, which could in principle otherwise address this trade-off. Equity outcomes are instead considered during deliberations, so this weighting process takes place implicitly. However, this conflict, and the seemingly purposeful ambiguity around it, is at the heart of many of the apparent contradictions in CPH prioritisation.</w:t>
      </w:r>
    </w:p>
    <w:p w14:paraId="21A334CA" w14:textId="77777777" w:rsidR="00D22CE3" w:rsidRPr="00F10391" w:rsidRDefault="00D22CE3">
      <w:r w:rsidRPr="00F10391">
        <w:t xml:space="preserve">Before equity and other concerns are deliberated upon, NICE follows a positivist, effectively utilitarian, approach to prioritisation </w:t>
      </w:r>
      <w:r w:rsidRPr="00F10391">
        <w:fldChar w:fldCharType="begin"/>
      </w:r>
      <w:r w:rsidR="00700267">
        <w:instrText xml:space="preserve"> ADDIN EN.CITE &lt;EndNote&gt;&lt;Cite&gt;&lt;Author&gt;Rawlins&lt;/Author&gt;&lt;Year&gt;2012&lt;/Year&gt;&lt;RecNum&gt;113&lt;/RecNum&gt;&lt;DisplayText&gt;[228]&lt;/DisplayText&gt;&lt;record&gt;&lt;rec-number&gt;113&lt;/rec-number&gt;&lt;foreign-keys&gt;&lt;key app="EN" db-id="sz9092dv2s5fpze9wpgx0zxgv5ar00aezrvf" timestamp="0"&gt;113&lt;/key&gt;&lt;/foreign-keys&gt;&lt;ref-type name="Journal Article"&gt;17&lt;/ref-type&gt;&lt;contributors&gt;&lt;authors&gt;&lt;author&gt;Rawlins, Michael&lt;/author&gt;&lt;/authors&gt;&lt;/contributors&gt;&lt;titles&gt;&lt;title&gt;Reflections: NICE, health economics, and outcomes research&lt;/title&gt;&lt;secondary-title&gt;Value in Health&lt;/secondary-title&gt;&lt;/titles&gt;&lt;periodical&gt;&lt;full-title&gt;Value in Health&lt;/full-title&gt;&lt;/periodical&gt;&lt;pages&gt;568-569&lt;/pages&gt;&lt;volume&gt;15&lt;/volume&gt;&lt;number&gt;3&lt;/number&gt;&lt;dates&gt;&lt;year&gt;2012&lt;/year&gt;&lt;/dates&gt;&lt;isbn&gt;1098-3015&lt;/isbn&gt;&lt;urls&gt;&lt;related-urls&gt;&lt;url&gt;http://www.valueinhealthjournal.com/article/S1098-3015(12)00065-4/pdf&lt;/url&gt;&lt;/related-urls&gt;&lt;/urls&gt;&lt;/record&gt;&lt;/Cite&gt;&lt;/EndNote&gt;</w:instrText>
      </w:r>
      <w:r w:rsidRPr="00F10391">
        <w:fldChar w:fldCharType="separate"/>
      </w:r>
      <w:r w:rsidR="00700267">
        <w:rPr>
          <w:noProof/>
        </w:rPr>
        <w:t>[228]</w:t>
      </w:r>
      <w:r w:rsidRPr="00F10391">
        <w:fldChar w:fldCharType="end"/>
      </w:r>
      <w:r w:rsidRPr="00F10391">
        <w:t xml:space="preserve">. This approach requires an underlying chain of assumptions that the evidence of effectiveness will be weighed up impartially and combined with the known costs of the intervention, and that the subsequent ICER will give some clear indication of the ‘correct’ course of action which in turn will be implemented consistently, leading to better outcomes across the health service. In practice, there is likely to be some level of uncertainty in every one of the underlying stages, potentially leading to higher levels of uncertainty when combined. Other constraints may be present in some form, including political or ethical concerns, such as ensuring that certain patient groups gain access to treatment. This seems to call for precisely the sort of muddling through discussed by Lindblom </w:t>
      </w:r>
      <w:r w:rsidRPr="00F10391">
        <w:fldChar w:fldCharType="begin"/>
      </w:r>
      <w:r w:rsidR="00700267">
        <w:instrText xml:space="preserve"> ADDIN EN.CITE &lt;EndNote&gt;&lt;Cite&gt;&lt;Author&gt;Lindblom&lt;/Author&gt;&lt;Year&gt;1959&lt;/Year&gt;&lt;RecNum&gt;82&lt;/RecNum&gt;&lt;DisplayText&gt;[209]&lt;/DisplayText&gt;&lt;record&gt;&lt;rec-number&gt;82&lt;/rec-number&gt;&lt;foreign-keys&gt;&lt;key app="EN" db-id="sz9092dv2s5fpze9wpgx0zxgv5ar00aezrvf" timestamp="0"&gt;82&lt;/key&gt;&lt;/foreign-keys&gt;&lt;ref-type name="Journal Article"&gt;17&lt;/ref-type&gt;&lt;contributors&gt;&lt;authors&gt;&lt;author&gt;Lindblom, Charles E&lt;/author&gt;&lt;/authors&gt;&lt;/contributors&gt;&lt;titles&gt;&lt;title&gt;The science of&amp;quot; muddling through&amp;quot;&lt;/title&gt;&lt;secondary-title&gt;Public administration review&lt;/secondary-title&gt;&lt;/titles&gt;&lt;periodical&gt;&lt;full-title&gt;Public administration review&lt;/full-title&gt;&lt;/periodical&gt;&lt;pages&gt;79-88&lt;/pages&gt;&lt;dates&gt;&lt;year&gt;1959&lt;/year&gt;&lt;/dates&gt;&lt;isbn&gt;0033-3352&lt;/isbn&gt;&lt;urls&gt;&lt;/urls&gt;&lt;/record&gt;&lt;/Cite&gt;&lt;/EndNote&gt;</w:instrText>
      </w:r>
      <w:r w:rsidRPr="00F10391">
        <w:fldChar w:fldCharType="separate"/>
      </w:r>
      <w:r w:rsidR="00700267">
        <w:rPr>
          <w:noProof/>
        </w:rPr>
        <w:t>[209]</w:t>
      </w:r>
      <w:r w:rsidRPr="00F10391">
        <w:fldChar w:fldCharType="end"/>
      </w:r>
      <w:r w:rsidRPr="00F10391">
        <w:t>.</w:t>
      </w:r>
    </w:p>
    <w:p w14:paraId="0D2CFB6F" w14:textId="77777777" w:rsidR="00D22CE3" w:rsidRPr="00F10391" w:rsidRDefault="00D22CE3">
      <w:r w:rsidRPr="00F10391">
        <w:t xml:space="preserve">At times it is not necessarily clear what constitutes a health intervention, or where the limits of NHS intervention in the society are acceptable. This is a perennial issue in public health, but at times can extend into other NICE decisions. Viagra provides a standout example, with extensive media coverage given in the late 1990’s as to whether this was an appropriate use of NHS resources. Despite being cost-effective (with an ICER at around £11,000 per QALY), there was considerable controversy over whether the treatment of impotency is actually more important than treating more expensive, life threatening conditions </w:t>
      </w:r>
      <w:r w:rsidRPr="00F10391">
        <w:fldChar w:fldCharType="begin"/>
      </w:r>
      <w:r w:rsidR="00700267">
        <w:instrText xml:space="preserve"> ADDIN EN.CITE &lt;EndNote&gt;&lt;Cite&gt;&lt;Author&gt;Anonymous&lt;/Author&gt;&lt;Year&gt;1998&lt;/Year&gt;&lt;RecNum&gt;177&lt;/RecNum&gt;&lt;DisplayText&gt;[246]&lt;/DisplayText&gt;&lt;record&gt;&lt;rec-number&gt;177&lt;/rec-number&gt;&lt;foreign-keys&gt;&lt;key app="EN" db-id="sz9092dv2s5fpze9wpgx0zxgv5ar00aezrvf" timestamp="0"&gt;177&lt;/key&gt;&lt;/foreign-keys&gt;&lt;ref-type name="Newspaper Article"&gt;23&lt;/ref-type&gt;&lt;contributors&gt;&lt;authors&gt;&lt;author&gt;Anonymous&lt;/author&gt;&lt;/authors&gt;&lt;/contributors&gt;&lt;titles&gt;&lt;title&gt;Homosexuals to get Viagra for free on the NHS&lt;/title&gt;&lt;secondary-title&gt;The Sunday Times&lt;/secondary-title&gt;&lt;/titles&gt;&lt;pages&gt;1&lt;/pages&gt;&lt;number&gt;1&lt;/number&gt;&lt;edition&gt;27 September 1998&lt;/edition&gt;&lt;dates&gt;&lt;year&gt;1998&lt;/year&gt;&lt;pub-dates&gt;&lt;date&gt;27 September 1998&lt;/date&gt;&lt;/pub-dates&gt;&lt;/dates&gt;&lt;pub-location&gt;UK&lt;/pub-location&gt;&lt;urls&gt;&lt;/urls&gt;&lt;/record&gt;&lt;/Cite&gt;&lt;/EndNote&gt;</w:instrText>
      </w:r>
      <w:r w:rsidRPr="00F10391">
        <w:fldChar w:fldCharType="separate"/>
      </w:r>
      <w:r w:rsidR="00700267">
        <w:rPr>
          <w:noProof/>
        </w:rPr>
        <w:t>[246]</w:t>
      </w:r>
      <w:r w:rsidRPr="00F10391">
        <w:fldChar w:fldCharType="end"/>
      </w:r>
      <w:r w:rsidRPr="00F10391">
        <w:t>. NICE’s work, and use of the QALY, can only facilitate such discussion on values within the health community – and ICERs do not necessarily represent the final word on any intervention.</w:t>
      </w:r>
    </w:p>
    <w:p w14:paraId="11B697D6" w14:textId="77777777" w:rsidR="00D22CE3" w:rsidRPr="00F10391" w:rsidRDefault="00D22CE3">
      <w:r w:rsidRPr="00F10391">
        <w:t xml:space="preserve">The Viagra issue was complicated by the fact that the budget impact of providing the drug was feared to be of huge magnitude, meaning that many services would have to be displaced in order to provide it. NICE committees are prohibited from considering budget impact directly in decisions, relying solely upon cost-effectiveness when considering the financial effect. In practice there are hurdles put in place to ensure that issues (such as start-up costs, administrative issues, sunk costs and the political fallout of removing care from the population) </w:t>
      </w:r>
      <w:r w:rsidRPr="00F10391">
        <w:lastRenderedPageBreak/>
        <w:t xml:space="preserve">are also taken into account, including explicitly considering budget impact at the topic selection stage. These concerns are particularly pertinent in situations that touch on social issues outside the traditional remit of the NHS, whether it be Viagra or injuries from transport or alcohol consumption. Again, these are by their nature more commonly faced in the CPH. </w:t>
      </w:r>
    </w:p>
    <w:p w14:paraId="24EB9D4C" w14:textId="77777777" w:rsidR="00D22CE3" w:rsidRPr="00F10391" w:rsidRDefault="00D22CE3"/>
    <w:p w14:paraId="7DFE3B0E" w14:textId="77777777" w:rsidR="00D22CE3" w:rsidRPr="00F10391" w:rsidRDefault="00D22CE3">
      <w:pPr>
        <w:pStyle w:val="Heading3"/>
      </w:pPr>
      <w:bookmarkStart w:id="458" w:name="_Toc313523539"/>
      <w:bookmarkStart w:id="459" w:name="_Toc441508977"/>
      <w:bookmarkStart w:id="460" w:name="_Toc453235415"/>
      <w:bookmarkStart w:id="461" w:name="_Toc453595488"/>
      <w:bookmarkStart w:id="462" w:name="_Toc476241585"/>
      <w:r w:rsidRPr="00F10391">
        <w:t>4.3.3</w:t>
      </w:r>
      <w:r w:rsidRPr="00F10391">
        <w:tab/>
      </w:r>
      <w:r w:rsidRPr="00F10391">
        <w:tab/>
        <w:t>Balancing differing levels of democratic decision-making and combining with science</w:t>
      </w:r>
      <w:bookmarkEnd w:id="458"/>
      <w:bookmarkEnd w:id="459"/>
      <w:bookmarkEnd w:id="460"/>
      <w:bookmarkEnd w:id="461"/>
      <w:bookmarkEnd w:id="462"/>
      <w:r w:rsidRPr="00F10391">
        <w:t xml:space="preserve"> </w:t>
      </w:r>
    </w:p>
    <w:p w14:paraId="1D2C8F1C" w14:textId="77777777" w:rsidR="00D22CE3" w:rsidRPr="00F10391" w:rsidRDefault="00D22CE3">
      <w:r w:rsidRPr="00F10391">
        <w:t xml:space="preserve">There are challenges in applying an evidence-based medicine framework to democratic (and potentially populist) processes and an inherent contradiction in NICE’s perceived role as a floating island of technocracy and evidence, operating as part of a democratic, government-led health system.  The need to keep the organisation at arm’s length from ministerial and other democratic interference seems profoundly inegalitarian, and risks reflecting the concerns of the ‘experts’ rather than those of the public at large. The consensus of experts may not reflect the views of broader society </w:t>
      </w:r>
      <w:r w:rsidRPr="00F10391">
        <w:fldChar w:fldCharType="begin"/>
      </w:r>
      <w:r w:rsidR="00700267">
        <w:instrText xml:space="preserve"> ADDIN EN.CITE &lt;EndNote&gt;&lt;Cite&gt;&lt;Author&gt;Wahlster&lt;/Author&gt;&lt;Year&gt;2015&lt;/Year&gt;&lt;RecNum&gt;432&lt;/RecNum&gt;&lt;DisplayText&gt;[156]&lt;/DisplayText&gt;&lt;record&gt;&lt;rec-number&gt;432&lt;/rec-number&gt;&lt;foreign-keys&gt;&lt;key app="EN" db-id="sz9092dv2s5fpze9wpgx0zxgv5ar00aezrvf" timestamp="1461510949"&gt;432&lt;/key&gt;&lt;/foreign-keys&gt;&lt;ref-type name="Journal Article"&gt;17&lt;/ref-type&gt;&lt;contributors&gt;&lt;authors&gt;&lt;author&gt;Wahlster, Philip&lt;/author&gt;&lt;author&gt;Goetghebeur, Mireille&lt;/author&gt;&lt;author&gt;Kriza, Christine&lt;/author&gt;&lt;author&gt;Niederländer, Charlotte&lt;/author&gt;&lt;author&gt;Kolominsky-Rabas, Peter&lt;/author&gt;&lt;/authors&gt;&lt;/contributors&gt;&lt;titles&gt;&lt;title&gt;Balancing costs and benefits at different stages of medical innovation: a systematic review of Multi-criteria decision analysis (MCDA)&lt;/title&gt;&lt;secondary-title&gt;BMC health services research&lt;/secondary-title&gt;&lt;/titles&gt;&lt;periodical&gt;&lt;full-title&gt;BMC health services research&lt;/full-title&gt;&lt;/periodical&gt;&lt;pages&gt;1&lt;/pages&gt;&lt;volume&gt;15&lt;/volume&gt;&lt;number&gt;1&lt;/number&gt;&lt;dates&gt;&lt;year&gt;2015&lt;/year&gt;&lt;/dates&gt;&lt;isbn&gt;1472-6963&lt;/isbn&gt;&lt;urls&gt;&lt;/urls&gt;&lt;/record&gt;&lt;/Cite&gt;&lt;/EndNote&gt;</w:instrText>
      </w:r>
      <w:r w:rsidRPr="00F10391">
        <w:fldChar w:fldCharType="separate"/>
      </w:r>
      <w:r w:rsidR="00700267">
        <w:rPr>
          <w:noProof/>
        </w:rPr>
        <w:t>[156]</w:t>
      </w:r>
      <w:r w:rsidRPr="00F10391">
        <w:fldChar w:fldCharType="end"/>
      </w:r>
      <w:r w:rsidRPr="00F10391">
        <w:t xml:space="preserve">, coming into conflict with ‘fairness’ according accountability for reasonableness framework </w:t>
      </w:r>
      <w:r w:rsidRPr="00F10391">
        <w:fldChar w:fldCharType="begin"/>
      </w:r>
      <w:r w:rsidR="00700267">
        <w:instrText xml:space="preserve"> ADDIN EN.CITE &lt;EndNote&gt;&lt;Cite&gt;&lt;Author&gt;Daniels&lt;/Author&gt;&lt;Year&gt;1998&lt;/Year&gt;&lt;RecNum&gt;31&lt;/RecNum&gt;&lt;DisplayText&gt;[62]&lt;/DisplayText&gt;&lt;record&gt;&lt;rec-number&gt;31&lt;/rec-number&gt;&lt;foreign-keys&gt;&lt;key app="EN" db-id="sz9092dv2s5fpze9wpgx0zxgv5ar00aezrvf" timestamp="0"&gt;31&lt;/key&gt;&lt;/foreign-keys&gt;&lt;ref-type name="Journal Article"&gt;17&lt;/ref-type&gt;&lt;contributors&gt;&lt;authors&gt;&lt;author&gt;Daniels, Norman&lt;/author&gt;&lt;author&gt;Sabin, James&lt;/author&gt;&lt;/authors&gt;&lt;/contributors&gt;&lt;titles&gt;&lt;title&gt;The ethics of accountability in managed care reform&lt;/title&gt;&lt;secondary-title&gt;Health affairs&lt;/secondary-title&gt;&lt;/titles&gt;&lt;pages&gt;50-64&lt;/pages&gt;&lt;volume&gt;17&lt;/volume&gt;&lt;number&gt;5&lt;/number&gt;&lt;dates&gt;&lt;year&gt;1998&lt;/year&gt;&lt;/dates&gt;&lt;isbn&gt;0278-2715&lt;/isbn&gt;&lt;urls&gt;&lt;related-urls&gt;&lt;url&gt;http://content.healthaffairs.org/content/17/5/50.full.pdf&lt;/url&gt;&lt;/related-urls&gt;&lt;/urls&gt;&lt;/record&gt;&lt;/Cite&gt;&lt;/EndNote&gt;</w:instrText>
      </w:r>
      <w:r w:rsidRPr="00F10391">
        <w:fldChar w:fldCharType="separate"/>
      </w:r>
      <w:r w:rsidR="00700267">
        <w:rPr>
          <w:noProof/>
        </w:rPr>
        <w:t>[62]</w:t>
      </w:r>
      <w:r w:rsidRPr="00F10391">
        <w:fldChar w:fldCharType="end"/>
      </w:r>
      <w:r w:rsidRPr="00F10391">
        <w:t>.  On the other hand, the organisation was set up by a newly elected and popular government and has been growing since, seemingly reflecting its acceptance. NICE has been careful to include lay members on every committee to allow the public to have a voice in decision processes, alongside the role of its Citizens’ Council, to allay some of these concerns. Other checks and balances are provided by intensive scrutiny in the media, and in that its decisions are subject to judicial review.</w:t>
      </w:r>
    </w:p>
    <w:p w14:paraId="517AE4EF" w14:textId="77777777" w:rsidR="00D22CE3" w:rsidRPr="00F10391" w:rsidRDefault="00D22CE3">
      <w:r w:rsidRPr="00F10391">
        <w:t xml:space="preserve">There is a related apparent tension between a national organisation imposing constraints that must be followed at a local level. On the one hand, NICE’s success has led to reduced levels of variation of access to treatments and other interventions. But there is a strong case – particularly in public health – that populations should be allowed to implement interventions designed to meet local priorities and local needs, and to reflect the populations living there who will benefit from them. Some areas will naturally have higher levels of elderly people or ethnic minorities, or have high smoking rates or poor housing stock. Moves in the previous government to give full control of public health budgets to local government attempt to address this. However, with local governments no longer directly answerable to NICE, there is a risk that some level of undesirable local variation may return. </w:t>
      </w:r>
    </w:p>
    <w:p w14:paraId="72AD94C4" w14:textId="77777777" w:rsidR="00D22CE3" w:rsidRPr="00F10391" w:rsidRDefault="00D22CE3"/>
    <w:p w14:paraId="08310B48" w14:textId="6F9AFAC3" w:rsidR="00D22CE3" w:rsidRPr="00F10391" w:rsidRDefault="00D22CE3">
      <w:pPr>
        <w:pStyle w:val="Heading3"/>
      </w:pPr>
      <w:bookmarkStart w:id="463" w:name="_Toc313523540"/>
      <w:bookmarkStart w:id="464" w:name="_Toc441508978"/>
      <w:bookmarkStart w:id="465" w:name="_Toc453235416"/>
      <w:bookmarkStart w:id="466" w:name="_Toc453595489"/>
      <w:bookmarkStart w:id="467" w:name="_Toc476241586"/>
      <w:r w:rsidRPr="00F10391">
        <w:t>4.3.4</w:t>
      </w:r>
      <w:r w:rsidRPr="00F10391">
        <w:tab/>
      </w:r>
      <w:r w:rsidRPr="00F10391">
        <w:tab/>
        <w:t xml:space="preserve">Inconclusive evidence and value </w:t>
      </w:r>
      <w:r w:rsidR="001B7ADD">
        <w:t>judgment</w:t>
      </w:r>
      <w:r w:rsidRPr="00F10391">
        <w:t>s</w:t>
      </w:r>
      <w:bookmarkEnd w:id="463"/>
      <w:bookmarkEnd w:id="464"/>
      <w:bookmarkEnd w:id="465"/>
      <w:bookmarkEnd w:id="466"/>
      <w:bookmarkEnd w:id="467"/>
    </w:p>
    <w:p w14:paraId="5C8A882B" w14:textId="2D7DF3EE" w:rsidR="00D22CE3" w:rsidRPr="00F10391" w:rsidRDefault="00D22CE3">
      <w:r w:rsidRPr="00F10391">
        <w:t xml:space="preserve">Evidence itself is rarely unequivocal, and NICE’s decisions ultimately must reflect social value </w:t>
      </w:r>
      <w:r w:rsidR="001B7ADD">
        <w:t>judgment</w:t>
      </w:r>
      <w:r w:rsidRPr="00F10391">
        <w:t xml:space="preserve">s, equity concerns and perceived common sense in order to ensure their implementation. Reconciling the evidence of effectiveness and cost-effectiveness, and these other concerns, is fundamental to NICE’s work. Some evidence is effectively indisputable, whether on its own or when aggregated, but in many cases </w:t>
      </w:r>
      <w:r w:rsidR="001B7ADD">
        <w:t>judgment</w:t>
      </w:r>
      <w:r w:rsidRPr="00F10391">
        <w:t xml:space="preserve"> and experience remain necessary. Scientific value </w:t>
      </w:r>
      <w:r w:rsidR="001B7ADD">
        <w:t>judgment</w:t>
      </w:r>
      <w:r w:rsidRPr="00F10391">
        <w:t xml:space="preserve">s reflect “what can be inferred from the available evidence base and the extent to which imperfections in the evidence base should influence decisions”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00A96564">
        <w:t xml:space="preserve"> (p.34</w:t>
      </w:r>
      <w:r w:rsidR="004E2EC1">
        <w:t>6)</w:t>
      </w:r>
      <w:r w:rsidRPr="00F10391">
        <w:t xml:space="preserve">. But these must be interpreted through some kind of framework in terms of suitable prioritisation of available resources. These </w:t>
      </w:r>
      <w:r w:rsidR="001B7ADD">
        <w:t>judgment</w:t>
      </w:r>
      <w:r w:rsidRPr="00F10391">
        <w:t xml:space="preserve">s are “concerned with what is </w:t>
      </w:r>
      <w:r w:rsidRPr="00F10391">
        <w:lastRenderedPageBreak/>
        <w:t xml:space="preserve">appropriate and acceptable for society in delivering healthcare across the NHS”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w:t>
      </w:r>
      <w:r w:rsidR="00A96564">
        <w:t xml:space="preserve">(p.346) </w:t>
      </w:r>
      <w:r w:rsidRPr="00F10391">
        <w:t xml:space="preserve">and are required in representing perceived public desire for treatments and common sense. </w:t>
      </w:r>
    </w:p>
    <w:p w14:paraId="4996D09B" w14:textId="6BB6DA2E" w:rsidR="00D22CE3" w:rsidRPr="00F10391" w:rsidRDefault="00D22CE3">
      <w:r w:rsidRPr="00F10391">
        <w:t xml:space="preserve">The need to adequately capture uncertainty in evidence is key. NICE has a number of processes for doing so, though what constitutes </w:t>
      </w:r>
      <w:r w:rsidR="00C4401A">
        <w:t>‘</w:t>
      </w:r>
      <w:r w:rsidRPr="00F10391">
        <w:t>evidence</w:t>
      </w:r>
      <w:r w:rsidR="00C4401A">
        <w:t>’</w:t>
      </w:r>
      <w:r w:rsidRPr="00F10391">
        <w:t xml:space="preserve"> itself is always not necessarily clear. Lomas et al.’s </w:t>
      </w:r>
      <w:r w:rsidRPr="00F10391">
        <w:fldChar w:fldCharType="begin"/>
      </w:r>
      <w:r w:rsidR="00700267">
        <w:instrText xml:space="preserve"> ADDIN EN.CITE &lt;EndNote&gt;&lt;Cite&gt;&lt;Author&gt;Lomas&lt;/Author&gt;&lt;Year&gt;2005&lt;/Year&gt;&lt;RecNum&gt;85&lt;/RecNum&gt;&lt;DisplayText&gt;[214]&lt;/DisplayText&gt;&lt;record&gt;&lt;rec-number&gt;85&lt;/rec-number&gt;&lt;foreign-keys&gt;&lt;key app="EN" db-id="sz9092dv2s5fpze9wpgx0zxgv5ar00aezrvf" timestamp="0"&gt;85&lt;/key&gt;&lt;/foreign-keys&gt;&lt;ref-type name="Journal Article"&gt;17&lt;/ref-type&gt;&lt;contributors&gt;&lt;authors&gt;&lt;author&gt;Lomas, Jonathan&lt;/author&gt;&lt;author&gt;Culyer, Tony&lt;/author&gt;&lt;author&gt;Mccutcheon, Chris&lt;/author&gt;&lt;author&gt;Law, Susan&lt;/author&gt;&lt;author&gt;Tetroe, Jacqueline&lt;/author&gt;&lt;/authors&gt;&lt;/contributors&gt;&lt;titles&gt;&lt;title&gt;-Final Report-Conceptualizing and Combining Evidence for Health System Guidance&lt;/title&gt;&lt;/titles&gt;&lt;dates&gt;&lt;year&gt;2005&lt;/year&gt;&lt;/dates&gt;&lt;urls&gt;&lt;/urls&gt;&lt;/record&gt;&lt;/Cite&gt;&lt;/EndNote&gt;</w:instrText>
      </w:r>
      <w:r w:rsidRPr="00F10391">
        <w:fldChar w:fldCharType="separate"/>
      </w:r>
      <w:r w:rsidR="00700267">
        <w:rPr>
          <w:noProof/>
        </w:rPr>
        <w:t>[214]</w:t>
      </w:r>
      <w:r w:rsidRPr="00F10391">
        <w:fldChar w:fldCharType="end"/>
      </w:r>
      <w:r w:rsidRPr="00F10391">
        <w:t xml:space="preserve"> systematic review described three different types of evidence: </w:t>
      </w:r>
    </w:p>
    <w:p w14:paraId="39CDB53B" w14:textId="60DD10EB" w:rsidR="00D22CE3" w:rsidRPr="00F10391" w:rsidRDefault="00D22CE3">
      <w:pPr>
        <w:ind w:left="720"/>
      </w:pPr>
      <w:r w:rsidRPr="00F10391">
        <w:t>“Medical effectiveness research (context-free scientific evidence); social science orientated research (context-sensitive scientific evidence); and or the expertise, views, and realities of stakeholders (colloquial evidence). These views of evidence are not incompatible and each has a role to play in producing evidence-based guidance for the health system” [32] (</w:t>
      </w:r>
      <w:r w:rsidR="008533CC">
        <w:t>p.</w:t>
      </w:r>
      <w:r w:rsidRPr="00F10391">
        <w:t>5)</w:t>
      </w:r>
      <w:r w:rsidR="0006231D">
        <w:t>.</w:t>
      </w:r>
    </w:p>
    <w:p w14:paraId="23AE79FE" w14:textId="39D7774B" w:rsidR="00D22CE3" w:rsidRPr="00F10391" w:rsidRDefault="00D22CE3" w:rsidP="00494A9A">
      <w:r w:rsidRPr="00F10391">
        <w:t xml:space="preserve">This approach seems to reflect the Kantian distinction between </w:t>
      </w:r>
      <w:r w:rsidRPr="00F10391">
        <w:rPr>
          <w:i/>
        </w:rPr>
        <w:t>analytic</w:t>
      </w:r>
      <w:r w:rsidRPr="00F10391">
        <w:t xml:space="preserve"> </w:t>
      </w:r>
      <w:r w:rsidR="001B7ADD">
        <w:t>judgment</w:t>
      </w:r>
      <w:r w:rsidRPr="00F10391">
        <w:t xml:space="preserve">s (which are known by definition to be true), </w:t>
      </w:r>
      <w:r w:rsidRPr="00F10391">
        <w:rPr>
          <w:i/>
        </w:rPr>
        <w:t xml:space="preserve">empirical </w:t>
      </w:r>
      <w:r w:rsidR="001B7ADD">
        <w:t>judgment</w:t>
      </w:r>
      <w:r w:rsidRPr="00F10391">
        <w:t xml:space="preserve">s (which are accepted as matters of fact that arise from previous studies), and </w:t>
      </w:r>
      <w:r w:rsidRPr="00F10391">
        <w:rPr>
          <w:i/>
        </w:rPr>
        <w:t>synthetic</w:t>
      </w:r>
      <w:r w:rsidRPr="00F10391">
        <w:t xml:space="preserve"> </w:t>
      </w:r>
      <w:r w:rsidR="001B7ADD">
        <w:t>judgment</w:t>
      </w:r>
      <w:r w:rsidRPr="00F10391">
        <w:t xml:space="preserve">s (which we can only know to be true by making assumptions which reflect our own experience) </w:t>
      </w:r>
      <w:r w:rsidRPr="00F10391">
        <w:fldChar w:fldCharType="begin"/>
      </w:r>
      <w:r w:rsidR="00700267">
        <w:instrText xml:space="preserve"> ADDIN EN.CITE &lt;EndNote&gt;&lt;Cite&gt;&lt;Author&gt;Kant&lt;/Author&gt;&lt;Year&gt;1998&lt;/Year&gt;&lt;RecNum&gt;286&lt;/RecNum&gt;&lt;DisplayText&gt;[247]&lt;/DisplayText&gt;&lt;record&gt;&lt;rec-number&gt;286&lt;/rec-number&gt;&lt;foreign-keys&gt;&lt;key app="EN" db-id="sz9092dv2s5fpze9wpgx0zxgv5ar00aezrvf" timestamp="0"&gt;286&lt;/key&gt;&lt;/foreign-keys&gt;&lt;ref-type name="Book"&gt;6&lt;/ref-type&gt;&lt;contributors&gt;&lt;authors&gt;&lt;author&gt;Kant, Immanuel&lt;/author&gt;&lt;author&gt;Guyer, Paul&lt;/author&gt;&lt;author&gt;Wood, Allen W&lt;/author&gt;&lt;/authors&gt;&lt;/contributors&gt;&lt;titles&gt;&lt;title&gt;Critique of pure reason&lt;/title&gt;&lt;/titles&gt;&lt;dates&gt;&lt;year&gt;1998&lt;/year&gt;&lt;/dates&gt;&lt;publisher&gt;Cambridge University Press&lt;/publisher&gt;&lt;isbn&gt;0521657296&lt;/isbn&gt;&lt;urls&gt;&lt;/urls&gt;&lt;/record&gt;&lt;/Cite&gt;&lt;/EndNote&gt;</w:instrText>
      </w:r>
      <w:r w:rsidRPr="00F10391">
        <w:fldChar w:fldCharType="separate"/>
      </w:r>
      <w:r w:rsidR="00700267">
        <w:rPr>
          <w:noProof/>
        </w:rPr>
        <w:t>[247]</w:t>
      </w:r>
      <w:r w:rsidRPr="00F10391">
        <w:fldChar w:fldCharType="end"/>
      </w:r>
      <w:r w:rsidRPr="00F10391">
        <w:t xml:space="preserve">. Whereas health technology assessments may have analytical </w:t>
      </w:r>
      <w:r w:rsidR="001B7ADD">
        <w:t>judgment</w:t>
      </w:r>
      <w:r w:rsidRPr="00F10391">
        <w:t xml:space="preserve">s (such as the decision frameworks set by NICE) and empirical </w:t>
      </w:r>
      <w:r w:rsidR="001B7ADD">
        <w:t>judgment</w:t>
      </w:r>
      <w:r w:rsidRPr="00F10391">
        <w:t xml:space="preserve">s (data which are at times overwhelming), such situations are not necessarily possible in all circumstances in public health. As such, we must carefully incorporate synthetic </w:t>
      </w:r>
      <w:r w:rsidR="001B7ADD">
        <w:t>judgment</w:t>
      </w:r>
      <w:r w:rsidRPr="00F10391">
        <w:t xml:space="preserve">s, normally using economic models overseen by the PHAC </w:t>
      </w:r>
      <w:r w:rsidRPr="00F10391">
        <w:fldChar w:fldCharType="begin"/>
      </w:r>
      <w:r w:rsidR="00700267">
        <w:instrText xml:space="preserve"> ADDIN EN.CITE &lt;EndNote&gt;&lt;Cite&gt;&lt;Author&gt;Kelly&lt;/Author&gt;&lt;Year&gt;2012&lt;/Year&gt;&lt;RecNum&gt;73&lt;/RecNum&gt;&lt;DisplayText&gt;[248]&lt;/DisplayText&gt;&lt;record&gt;&lt;rec-number&gt;73&lt;/rec-number&gt;&lt;foreign-keys&gt;&lt;key app="EN" db-id="sz9092dv2s5fpze9wpgx0zxgv5ar00aezrvf" timestamp="0"&gt;73&lt;/key&gt;&lt;/foreign-keys&gt;&lt;ref-type name="Journal Article"&gt;17&lt;/ref-type&gt;&lt;contributors&gt;&lt;authors&gt;&lt;author&gt;Kelly, Michael P&lt;/author&gt;&lt;author&gt;Moore, Tessa A&lt;/author&gt;&lt;/authors&gt;&lt;/contributors&gt;&lt;titles&gt;&lt;title&gt;The judgement process in evidence-based medicine and health technology assessment&lt;/title&gt;&lt;secondary-title&gt;Social Theory &amp;amp; Health&lt;/secondary-title&gt;&lt;/titles&gt;&lt;pages&gt;1-19&lt;/pages&gt;&lt;volume&gt;10&lt;/volume&gt;&lt;number&gt;1&lt;/number&gt;&lt;dates&gt;&lt;year&gt;2012&lt;/year&gt;&lt;/dates&gt;&lt;isbn&gt;1477-8211&lt;/isbn&gt;&lt;urls&gt;&lt;/urls&gt;&lt;/record&gt;&lt;/Cite&gt;&lt;/EndNote&gt;</w:instrText>
      </w:r>
      <w:r w:rsidRPr="00F10391">
        <w:fldChar w:fldCharType="separate"/>
      </w:r>
      <w:r w:rsidR="00700267">
        <w:rPr>
          <w:noProof/>
        </w:rPr>
        <w:t>[248]</w:t>
      </w:r>
      <w:r w:rsidRPr="00F10391">
        <w:fldChar w:fldCharType="end"/>
      </w:r>
      <w:r w:rsidRPr="00F10391">
        <w:t xml:space="preserve">. Hierarchies of evidence are seen as unsuitable in public health settings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and Rawlins ultimately regarded them as overly reductionist in general across NICE </w:t>
      </w:r>
      <w:r w:rsidRPr="00F10391">
        <w:fldChar w:fldCharType="begin"/>
      </w:r>
      <w:r w:rsidR="00700267">
        <w:instrText xml:space="preserve"> ADDIN EN.CITE &lt;EndNote&gt;&lt;Cite&gt;&lt;Author&gt;Rawlins&lt;/Author&gt;&lt;Year&gt;2008&lt;/Year&gt;&lt;RecNum&gt;116&lt;/RecNum&gt;&lt;DisplayText&gt;[249]&lt;/DisplayText&gt;&lt;record&gt;&lt;rec-number&gt;116&lt;/rec-number&gt;&lt;foreign-keys&gt;&lt;key app="EN" db-id="sz9092dv2s5fpze9wpgx0zxgv5ar00aezrvf" timestamp="0"&gt;116&lt;/key&gt;&lt;/foreign-keys&gt;&lt;ref-type name="Journal Article"&gt;17&lt;/ref-type&gt;&lt;contributors&gt;&lt;authors&gt;&lt;author&gt;Rawlins, Michael&lt;/author&gt;&lt;/authors&gt;&lt;/contributors&gt;&lt;titles&gt;&lt;title&gt;De testimonio: on the evidence for decisions about the use of therapeutic interventions&lt;/title&gt;&lt;secondary-title&gt;Clinical Medicine&lt;/secondary-title&gt;&lt;/titles&gt;&lt;periodical&gt;&lt;full-title&gt;Clinical medicine&lt;/full-title&gt;&lt;/periodical&gt;&lt;pages&gt;579-588&lt;/pages&gt;&lt;volume&gt;8&lt;/volume&gt;&lt;number&gt;6&lt;/number&gt;&lt;dates&gt;&lt;year&gt;2008&lt;/year&gt;&lt;/dates&gt;&lt;isbn&gt;1470-2118&lt;/isbn&gt;&lt;urls&gt;&lt;related-urls&gt;&lt;url&gt;http://www.clinmed.rcpjournal.org/content/8/6/579.full.pdf&lt;/url&gt;&lt;/related-urls&gt;&lt;/urls&gt;&lt;/record&gt;&lt;/Cite&gt;&lt;/EndNote&gt;</w:instrText>
      </w:r>
      <w:r w:rsidRPr="00F10391">
        <w:fldChar w:fldCharType="separate"/>
      </w:r>
      <w:r w:rsidR="00700267">
        <w:rPr>
          <w:noProof/>
        </w:rPr>
        <w:t>[249]</w:t>
      </w:r>
      <w:r w:rsidRPr="00F10391">
        <w:fldChar w:fldCharType="end"/>
      </w:r>
      <w:r w:rsidRPr="00F10391">
        <w:t xml:space="preserve">. </w:t>
      </w:r>
    </w:p>
    <w:p w14:paraId="778ACBC7" w14:textId="77777777" w:rsidR="00D22CE3" w:rsidRPr="00F10391" w:rsidRDefault="00D22CE3" w:rsidP="00494A9A">
      <w:r w:rsidRPr="00F10391">
        <w:t xml:space="preserve">Deciding what constitutes acceptable evidence through this framework is challenging, and not always universally agreed upon. There was tension at discussions stage in writing the “Walking and Cycling” guidance for example, as one member frequently sought ways to incorporate the anecdotal evidence that cycling was becoming more popular in London but that “just because no one has done a nice study in a nice journal”, such evidence was inadmissible. Such tensions have been common in CPH decision-making since its foundation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Expert evidence can be incorporated to ensure that knowledge, though unpublished, can still be included and influence final guidance decisions. There is a risk in including overly anecdotal evidence in that it may not be wholly reliable – it may instead reflect the interests and assumptions of the committee, which can never be wholly impartial. Figure 4.3 shows the back of the room at one meeting of the “Walking and Cycling” group, which illustrated this point quite neatly. Four members showed up to the meeting on fold up bikes, (and if I recall correctly, another three had cycled and had locked their bikes outside). It is hardly coincidental that cycling enthusiasts happened to end up on the committee, and without the appropriate checks that NICE uses and its considerations, there is a risk that the guidance could inadvertently reflect a cyclists’ wish list rather than an evidence-based reflection of cost-effective interventions.</w:t>
      </w:r>
    </w:p>
    <w:p w14:paraId="22B88E93" w14:textId="2D626BAD" w:rsidR="00D22CE3" w:rsidRPr="00F10391" w:rsidRDefault="00D22CE3" w:rsidP="00494A9A">
      <w:pPr>
        <w:pStyle w:val="Caption"/>
      </w:pPr>
      <w:bookmarkStart w:id="468" w:name="_Toc444180816"/>
      <w:bookmarkStart w:id="469" w:name="_Toc476241453"/>
      <w:r w:rsidRPr="00F10391">
        <w:lastRenderedPageBreak/>
        <w:t xml:space="preserve">Figure </w:t>
      </w:r>
      <w:r w:rsidR="000F1034">
        <w:fldChar w:fldCharType="begin"/>
      </w:r>
      <w:r w:rsidR="000F1034">
        <w:instrText xml:space="preserve"> STYLEREF 1 \s </w:instrText>
      </w:r>
      <w:r w:rsidR="000F1034">
        <w:fldChar w:fldCharType="separate"/>
      </w:r>
      <w:r w:rsidR="00B37229">
        <w:rPr>
          <w:noProof/>
        </w:rPr>
        <w:t>4</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3</w:t>
      </w:r>
      <w:r w:rsidR="000F1034">
        <w:rPr>
          <w:noProof/>
        </w:rPr>
        <w:fldChar w:fldCharType="end"/>
      </w:r>
      <w:r w:rsidRPr="00F10391">
        <w:t xml:space="preserve"> – Without appropriate checks and processes to reduce the risk of biases, NICE committees should just fold up now</w:t>
      </w:r>
      <w:bookmarkEnd w:id="468"/>
      <w:bookmarkEnd w:id="469"/>
    </w:p>
    <w:p w14:paraId="1D426BDB" w14:textId="77777777" w:rsidR="00D22CE3" w:rsidRPr="00F10391" w:rsidRDefault="00D22CE3" w:rsidP="00490B5D">
      <w:r w:rsidRPr="00F10391">
        <w:rPr>
          <w:noProof/>
          <w:lang w:val="en-IE" w:eastAsia="en-IE"/>
        </w:rPr>
        <w:drawing>
          <wp:inline distT="0" distB="0" distL="0" distR="0" wp14:anchorId="4AB2881D" wp14:editId="3E1CA59D">
            <wp:extent cx="4704715" cy="2915285"/>
            <wp:effectExtent l="0" t="0" r="0" b="571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4715" cy="2915285"/>
                    </a:xfrm>
                    <a:prstGeom prst="rect">
                      <a:avLst/>
                    </a:prstGeom>
                    <a:noFill/>
                    <a:ln>
                      <a:noFill/>
                    </a:ln>
                  </pic:spPr>
                </pic:pic>
              </a:graphicData>
            </a:graphic>
          </wp:inline>
        </w:drawing>
      </w:r>
    </w:p>
    <w:p w14:paraId="18306ADB" w14:textId="77777777" w:rsidR="00D22CE3" w:rsidRPr="00F10391" w:rsidRDefault="00D22CE3" w:rsidP="00490B5D"/>
    <w:p w14:paraId="1480132D" w14:textId="77777777" w:rsidR="00D22CE3" w:rsidRPr="00F10391" w:rsidRDefault="00D22CE3" w:rsidP="006A5AA3">
      <w:pPr>
        <w:pStyle w:val="Heading3"/>
      </w:pPr>
      <w:bookmarkStart w:id="470" w:name="_Toc313523541"/>
      <w:bookmarkStart w:id="471" w:name="_Toc441508979"/>
      <w:bookmarkStart w:id="472" w:name="_Toc453235417"/>
      <w:bookmarkStart w:id="473" w:name="_Toc453595490"/>
      <w:bookmarkStart w:id="474" w:name="_Toc476241587"/>
      <w:r w:rsidRPr="00F10391">
        <w:t>4.3.5</w:t>
      </w:r>
      <w:r w:rsidRPr="00F10391">
        <w:tab/>
      </w:r>
      <w:r w:rsidRPr="00F10391">
        <w:tab/>
        <w:t>The cost-effectiveness threshold</w:t>
      </w:r>
      <w:bookmarkEnd w:id="470"/>
      <w:bookmarkEnd w:id="471"/>
      <w:bookmarkEnd w:id="472"/>
      <w:bookmarkEnd w:id="473"/>
      <w:bookmarkEnd w:id="474"/>
    </w:p>
    <w:p w14:paraId="106C60FE" w14:textId="77777777" w:rsidR="00D22CE3" w:rsidRPr="00F10391" w:rsidRDefault="00D22CE3" w:rsidP="006942ED">
      <w:r w:rsidRPr="00F10391">
        <w:t xml:space="preserve">NICE’s approach to reducing regional variation is in essence to propose a ‘bare-minimum’ list of interventions that every health service must provide. We might expect that as further interventions are added to this list over time that these will push out inappropriate spending, even if local decision-makers can choose which interventions should be displaced first. In practice, of course things are not so simple. It is not possible to appraise every possible new drug or new approach for every setting, never mind those drugs and programmes which predate NICE’s foundation. And when interventions are recommended, local PCTs have in the past been able to a certain extent to delay their provision, which may well continue in public health as its responsibility moves to the control of local authorities. </w:t>
      </w:r>
    </w:p>
    <w:p w14:paraId="28D1BA3B" w14:textId="77777777" w:rsidR="00D22CE3" w:rsidRPr="00F10391" w:rsidRDefault="00D22CE3">
      <w:r w:rsidRPr="00F10391">
        <w:t xml:space="preserve">NICE have been adept at acknowledging (and perhaps hiding behind) the complex nature of their work. In its early years, the organisation maintained that it had no threshold against which to compare the cost-effectiveness of new interventions </w:t>
      </w:r>
      <w:r w:rsidRPr="00F10391">
        <w:fldChar w:fldCharType="begin"/>
      </w:r>
      <w:r w:rsidR="00700267">
        <w:instrText xml:space="preserve"> ADDIN EN.CITE &lt;EndNote&gt;&lt;Cite&gt;&lt;Author&gt;Littlejohns&lt;/Author&gt;&lt;Year&gt;2002&lt;/Year&gt;&lt;RecNum&gt;84&lt;/RecNum&gt;&lt;DisplayText&gt;[250, 251]&lt;/DisplayText&gt;&lt;record&gt;&lt;rec-number&gt;84&lt;/rec-number&gt;&lt;foreign-keys&gt;&lt;key app="EN" db-id="sz9092dv2s5fpze9wpgx0zxgv5ar00aezrvf" timestamp="0"&gt;84&lt;/key&gt;&lt;/foreign-keys&gt;&lt;ref-type name="Journal Article"&gt;17&lt;/ref-type&gt;&lt;contributors&gt;&lt;authors&gt;&lt;author&gt;Littlejohns, P&lt;/author&gt;&lt;/authors&gt;&lt;/contributors&gt;&lt;titles&gt;&lt;title&gt;Does NICE have a threshold? A response&lt;/title&gt;&lt;secondary-title&gt;Cost-effectiveness thresholds&lt;/secondary-title&gt;&lt;/titles&gt;&lt;pages&gt;31-7&lt;/pages&gt;&lt;dates&gt;&lt;year&gt;2002&lt;/year&gt;&lt;/dates&gt;&lt;urls&gt;&lt;/urls&gt;&lt;/record&gt;&lt;/Cite&gt;&lt;Cite&gt;&lt;Author&gt;NICE&lt;/Author&gt;&lt;Year&gt;2004&lt;/Year&gt;&lt;RecNum&gt;102&lt;/RecNum&gt;&lt;record&gt;&lt;rec-number&gt;102&lt;/rec-number&gt;&lt;foreign-keys&gt;&lt;key app="EN" db-id="sz9092dv2s5fpze9wpgx0zxgv5ar00aezrvf" timestamp="0"&gt;102&lt;/key&gt;&lt;/foreign-keys&gt;&lt;ref-type name="Report"&gt;27&lt;/ref-type&gt;&lt;contributors&gt;&lt;authors&gt;&lt;author&gt;NICE&lt;/author&gt;&lt;/authors&gt;&lt;/contributors&gt;&lt;titles&gt;&lt;title&gt;Guide to the methods of technology appraisal. &lt;/title&gt;&lt;/titles&gt;&lt;dates&gt;&lt;year&gt;2004&lt;/year&gt;&lt;/dates&gt;&lt;pub-location&gt;London&lt;/pub-location&gt;&lt;publisher&gt;NICE&lt;/publisher&gt;&lt;urls&gt;&lt;/urls&gt;&lt;/record&gt;&lt;/Cite&gt;&lt;/EndNote&gt;</w:instrText>
      </w:r>
      <w:r w:rsidRPr="00F10391">
        <w:fldChar w:fldCharType="separate"/>
      </w:r>
      <w:r w:rsidR="00700267">
        <w:rPr>
          <w:noProof/>
        </w:rPr>
        <w:t>[250, 251]</w:t>
      </w:r>
      <w:r w:rsidRPr="00F10391">
        <w:fldChar w:fldCharType="end"/>
      </w:r>
      <w:r w:rsidRPr="00F10391">
        <w:t xml:space="preserve">. Over time NICE has increasingly described the approach in more nuanced terms, acknowledging that a soft threshold of sorts is applied, with an ICER lying between £20,000 and £30,000. Any given drug or other intervention could in principle be accepted or rejected at any ICER level (given further discussion of the merits of doing so), but as a general rule the probability of acceptance falls as the ICER rises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The relevant committee appraises whether or not the treatment constitutes good value for money for the health service according to the guidelines below </w:t>
      </w:r>
      <w:r w:rsidRPr="00F10391">
        <w:fldChar w:fldCharType="begin"/>
      </w:r>
      <w:r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Pr="00F10391">
        <w:t>[4]</w:t>
      </w:r>
      <w:r w:rsidRPr="00F10391">
        <w:fldChar w:fldCharType="end"/>
      </w:r>
      <w:r w:rsidRPr="00F10391">
        <w:t>:</w:t>
      </w:r>
    </w:p>
    <w:p w14:paraId="10E227A1" w14:textId="77777777" w:rsidR="00D22CE3" w:rsidRPr="00F10391" w:rsidRDefault="00D22CE3">
      <w:pPr>
        <w:pStyle w:val="ListParagraph"/>
        <w:numPr>
          <w:ilvl w:val="0"/>
          <w:numId w:val="9"/>
        </w:numPr>
      </w:pPr>
      <w:r w:rsidRPr="00F10391">
        <w:t>Interventions with an ICER of less than £20,000 per QALY are cost-effective. Regardless of other considerations, the intervention is likely to be recommended.</w:t>
      </w:r>
    </w:p>
    <w:p w14:paraId="4F16F5D2" w14:textId="219EBC26" w:rsidR="00D22CE3" w:rsidRPr="00F10391" w:rsidRDefault="00D22CE3">
      <w:pPr>
        <w:pStyle w:val="ListParagraph"/>
        <w:numPr>
          <w:ilvl w:val="0"/>
          <w:numId w:val="9"/>
        </w:numPr>
      </w:pPr>
      <w:r w:rsidRPr="00F10391">
        <w:t xml:space="preserve">ICERs between £20,000 and £30,000 per QALY are potentially cost-effective. </w:t>
      </w:r>
      <w:r w:rsidR="001B7ADD">
        <w:t>Judgment</w:t>
      </w:r>
      <w:r w:rsidRPr="00F10391">
        <w:t xml:space="preserve"> is required, but</w:t>
      </w:r>
    </w:p>
    <w:p w14:paraId="3EE16B2E" w14:textId="77777777" w:rsidR="00D22CE3" w:rsidRPr="00F10391" w:rsidRDefault="00D22CE3">
      <w:pPr>
        <w:pStyle w:val="ListParagraph"/>
        <w:numPr>
          <w:ilvl w:val="1"/>
          <w:numId w:val="9"/>
        </w:numPr>
      </w:pPr>
      <w:r w:rsidRPr="00F10391">
        <w:t>uncertainty regarding the intervention’s efficacy decreases the chances of recommendation.</w:t>
      </w:r>
    </w:p>
    <w:p w14:paraId="68D9A125" w14:textId="77777777" w:rsidR="00D22CE3" w:rsidRPr="00F10391" w:rsidRDefault="00D22CE3">
      <w:pPr>
        <w:pStyle w:val="ListParagraph"/>
        <w:numPr>
          <w:ilvl w:val="1"/>
          <w:numId w:val="9"/>
        </w:numPr>
      </w:pPr>
      <w:r w:rsidRPr="00F10391">
        <w:lastRenderedPageBreak/>
        <w:t xml:space="preserve">strong reasons suggesting that the change in quality of life has not been adequately captured (and hence the health gain is underestimated) will increase the chances of recommendation. </w:t>
      </w:r>
    </w:p>
    <w:p w14:paraId="0007F5B1" w14:textId="77777777" w:rsidR="00D22CE3" w:rsidRPr="00F10391" w:rsidRDefault="00D22CE3">
      <w:pPr>
        <w:pStyle w:val="ListParagraph"/>
        <w:numPr>
          <w:ilvl w:val="1"/>
          <w:numId w:val="9"/>
        </w:numPr>
      </w:pPr>
      <w:r w:rsidRPr="00F10391">
        <w:t>when the intervention is an innovation that adds demonstrable, distinct and substantial benefits that may not have been adequately captured in the measurement of health gain, the chances of recommendation increase.</w:t>
      </w:r>
    </w:p>
    <w:p w14:paraId="4C693455" w14:textId="77777777" w:rsidR="00D22CE3" w:rsidRPr="00F10391" w:rsidRDefault="00D22CE3">
      <w:pPr>
        <w:pStyle w:val="ListParagraph"/>
        <w:numPr>
          <w:ilvl w:val="0"/>
          <w:numId w:val="9"/>
        </w:numPr>
      </w:pPr>
      <w:r w:rsidRPr="00F10391">
        <w:t>ICERs greater than £30,000 per QALY require “an increasingly stronger case for supporting the technology as an effective use of NHS resources”</w:t>
      </w:r>
      <w:r w:rsidR="00084AC3">
        <w:t xml:space="preserve"> </w:t>
      </w:r>
      <w:r w:rsidR="00084AC3">
        <w:fldChar w:fldCharType="begin"/>
      </w:r>
      <w:r w:rsidR="00700267">
        <w:instrText xml:space="preserve"> ADDIN EN.CITE &lt;EndNote&gt;&lt;Cite&gt;&lt;Author&gt;NICE&lt;/Author&gt;&lt;Year&gt;2013&lt;/Year&gt;&lt;RecNum&gt;448&lt;/RecNum&gt;&lt;DisplayText&gt;[252]&lt;/DisplayText&gt;&lt;record&gt;&lt;rec-number&gt;448&lt;/rec-number&gt;&lt;foreign-keys&gt;&lt;key app="EN" db-id="sz9092dv2s5fpze9wpgx0zxgv5ar00aezrvf" timestamp="1485181242"&gt;448&lt;/key&gt;&lt;/foreign-keys&gt;&lt;ref-type name="Government Document"&gt;46&lt;/ref-type&gt;&lt;contributors&gt;&lt;authors&gt;&lt;author&gt;NICE&lt;/author&gt;&lt;/authors&gt;&lt;secondary-authors&gt;&lt;author&gt;NICE&lt;/author&gt;&lt;/secondary-authors&gt;&lt;/contributors&gt;&lt;titles&gt;&lt;title&gt;Guide to the methods of technology appraisal &lt;/title&gt;&lt;/titles&gt;&lt;dates&gt;&lt;year&gt;2013&lt;/year&gt;&lt;/dates&gt;&lt;pub-location&gt;London&lt;/pub-location&gt;&lt;urls&gt;&lt;/urls&gt;&lt;/record&gt;&lt;/Cite&gt;&lt;/EndNote&gt;</w:instrText>
      </w:r>
      <w:r w:rsidR="00084AC3">
        <w:fldChar w:fldCharType="separate"/>
      </w:r>
      <w:r w:rsidR="00700267">
        <w:rPr>
          <w:noProof/>
        </w:rPr>
        <w:t>[252]</w:t>
      </w:r>
      <w:r w:rsidR="00084AC3">
        <w:fldChar w:fldCharType="end"/>
      </w:r>
      <w:r w:rsidR="00084AC3">
        <w:t xml:space="preserve"> (p.74)</w:t>
      </w:r>
      <w:r w:rsidRPr="00F10391">
        <w:t>.</w:t>
      </w:r>
    </w:p>
    <w:p w14:paraId="7B098116" w14:textId="77777777" w:rsidR="001D158F" w:rsidRDefault="00D22CE3">
      <w:r w:rsidRPr="00F10391">
        <w:t xml:space="preserve">What constitutes an increasingly stronger case is not pre-specified, but a number of special issues have emerged in discussions over the years </w:t>
      </w:r>
      <w:r w:rsidRPr="00F10391">
        <w:fldChar w:fldCharType="begin"/>
      </w:r>
      <w:r w:rsidR="00700267">
        <w:instrText xml:space="preserve"> ADDIN EN.CITE &lt;EndNote&gt;&lt;Cite&gt;&lt;Author&gt;Dakin&lt;/Author&gt;&lt;Year&gt;2006&lt;/Year&gt;&lt;RecNum&gt;30&lt;/RecNum&gt;&lt;DisplayText&gt;[253]&lt;/DisplayText&gt;&lt;record&gt;&lt;rec-number&gt;30&lt;/rec-number&gt;&lt;foreign-keys&gt;&lt;key app="EN" db-id="sz9092dv2s5fpze9wpgx0zxgv5ar00aezrvf" timestamp="0"&gt;30&lt;/key&gt;&lt;/foreign-keys&gt;&lt;ref-type name="Journal Article"&gt;17&lt;/ref-type&gt;&lt;contributors&gt;&lt;authors&gt;&lt;author&gt;Dakin, Helen Angela&lt;/author&gt;&lt;author&gt;Devlin, Nancy J&lt;/author&gt;&lt;author&gt;Odeyemi, Isaac AO&lt;/author&gt;&lt;/authors&gt;&lt;/contributors&gt;&lt;titles&gt;&lt;title&gt;“Yes”,“No” or “Yes, but”? Multinomial modelling of NICE decision-making&lt;/title&gt;&lt;secondary-title&gt;Health Policy&lt;/secondary-title&gt;&lt;/titles&gt;&lt;periodical&gt;&lt;full-title&gt;Health Policy&lt;/full-title&gt;&lt;/periodical&gt;&lt;pages&gt;352-367&lt;/pages&gt;&lt;volume&gt;77&lt;/volume&gt;&lt;number&gt;3&lt;/number&gt;&lt;dates&gt;&lt;year&gt;2006&lt;/year&gt;&lt;/dates&gt;&lt;isbn&gt;0168-8510&lt;/isbn&gt;&lt;urls&gt;&lt;related-urls&gt;&lt;url&gt;http://www.healthpolicyjrnl.com/article/S0168-8510(05)00219-8/abstract&lt;/url&gt;&lt;url&gt;http://ac.els-cdn.com/S0168851005002198/1-s2.0-S0168851005002198-main.pdf?_tid=1bcbfd02-9359-11e4-b3d1-00000aacb361&amp;amp;acdnat=1420297345_0e9a358f1265b272e0acdf1e773bbf8b&lt;/url&gt;&lt;/related-urls&gt;&lt;/urls&gt;&lt;/record&gt;&lt;/Cite&gt;&lt;/EndNote&gt;</w:instrText>
      </w:r>
      <w:r w:rsidRPr="00F10391">
        <w:fldChar w:fldCharType="separate"/>
      </w:r>
      <w:r w:rsidR="00700267">
        <w:rPr>
          <w:noProof/>
        </w:rPr>
        <w:t>[253]</w:t>
      </w:r>
      <w:r w:rsidRPr="00F10391">
        <w:fldChar w:fldCharType="end"/>
      </w:r>
      <w:r w:rsidRPr="00F10391">
        <w:t xml:space="preserve">. These are not necessarily explicitly stated in the published guidance, though there are hints in some of NICE’s literature, for example: </w:t>
      </w:r>
    </w:p>
    <w:p w14:paraId="36AA1929" w14:textId="1BDEEB1A" w:rsidR="00D22CE3" w:rsidRPr="00F10391" w:rsidRDefault="00D22CE3">
      <w:pPr>
        <w:ind w:left="720"/>
      </w:pPr>
      <w:r w:rsidRPr="00F10391">
        <w:t xml:space="preserve">“The Appraisal Committee has, in the past, made recommendations above the normal threshold range when it has explicitly identified additional benefits </w:t>
      </w:r>
      <w:r w:rsidRPr="00F10391">
        <w:rPr>
          <w:i/>
        </w:rPr>
        <w:t xml:space="preserve">not readily captured in the reference case </w:t>
      </w:r>
      <w:r w:rsidRPr="00F10391">
        <w:t xml:space="preserve">(emphasis added). This has occurred when the treatment involved has been life-extending, licensed or otherwise indicated for small populations with incurable illnesses” </w:t>
      </w:r>
      <w:r w:rsidRPr="00F10391">
        <w:fldChar w:fldCharType="begin"/>
      </w:r>
      <w:r w:rsidR="00700267">
        <w:instrText xml:space="preserve"> ADDIN EN.CITE &lt;EndNote&gt;&lt;Cite&gt;&lt;Author&gt;NICE&lt;/Author&gt;&lt;Year&gt;2009&lt;/Year&gt;&lt;RecNum&gt;104&lt;/RecNum&gt;&lt;DisplayText&gt;[254]&lt;/DisplayText&gt;&lt;record&gt;&lt;rec-number&gt;104&lt;/rec-number&gt;&lt;foreign-keys&gt;&lt;key app="EN" db-id="sz9092dv2s5fpze9wpgx0zxgv5ar00aezrvf" timestamp="0"&gt;104&lt;/key&gt;&lt;/foreign-keys&gt;&lt;ref-type name="Report"&gt;27&lt;/ref-type&gt;&lt;contributors&gt;&lt;authors&gt;&lt;author&gt;NICE&lt;/author&gt;&lt;/authors&gt;&lt;/contributors&gt;&lt;titles&gt;&lt;title&gt;Appraising Life-Extending, End of Life Treatments&lt;/title&gt;&lt;/titles&gt;&lt;dates&gt;&lt;year&gt;2009&lt;/year&gt;&lt;/dates&gt;&lt;pub-location&gt;London&lt;/pub-location&gt;&lt;publisher&gt;National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[254]</w:t>
      </w:r>
      <w:r w:rsidRPr="00F10391">
        <w:fldChar w:fldCharType="end"/>
      </w:r>
      <w:r w:rsidR="001D158F">
        <w:t xml:space="preserve"> (</w:t>
      </w:r>
      <w:r w:rsidR="008533CC">
        <w:t>p.</w:t>
      </w:r>
      <w:r w:rsidR="001D158F">
        <w:t>1).</w:t>
      </w:r>
    </w:p>
    <w:p w14:paraId="36941096" w14:textId="77777777" w:rsidR="00D22CE3" w:rsidRPr="00F10391" w:rsidRDefault="00D22CE3" w:rsidP="00494A9A">
      <w:r w:rsidRPr="00F10391">
        <w:t xml:space="preserve">The obvious advantage of ICERs is that they can be used to ensure that the opportunity cost of providing an intervention does not outweigh the benefits of the intervention, so that any services displaced by the requirement to provide a new intervention were not actually more effective than the new ones being offered. Whether or not this holds in practice is less clear however. </w:t>
      </w:r>
    </w:p>
    <w:p w14:paraId="694D2A66" w14:textId="77777777" w:rsidR="00D22CE3" w:rsidRPr="00F10391" w:rsidRDefault="00D22CE3" w:rsidP="00494A9A">
      <w:r w:rsidRPr="00F10391">
        <w:t>For one, NICE largely concerns itself with a list of services that must be provided, and very little attention is drawn to identifying services that are either ineffective or not cost-effective. While they publish ‘Do Not Do’ lists to identify such interventions from time to time, these are less prominent than their other work. It remains possible that commissioners and other health bodies may end up removing services that offered more appropriate uses of resources. For example, they may lack resources to employ analysts or conduct research to better understand their own spending, their population groups may differ from the national norms, or other services not covered by NICE evaluations may be displaced first (such as the costs incurred by extra staff or hospital beds). Different units in different parts of the country will understandably have different priorities and remove services differently, so it can be difficult to draw together a clear narrative of which services are really being displaced. The threshold is therefore only one part of a broader decision process, so it is difficult to isolate its effect and hence whether the current level is the optimal one.</w:t>
      </w:r>
    </w:p>
    <w:p w14:paraId="50607813" w14:textId="77777777" w:rsidR="00D22CE3" w:rsidRPr="00F10391" w:rsidRDefault="00D22CE3" w:rsidP="00490B5D">
      <w:r w:rsidRPr="00F10391">
        <w:t xml:space="preserve">The origins of the threshold as currently applied are unclear </w:t>
      </w:r>
      <w:r w:rsidRPr="00F10391">
        <w:fldChar w:fldCharType="begin"/>
      </w:r>
      <w:r w:rsidR="00700267">
        <w:instrText xml:space="preserve"> ADDIN EN.CITE &lt;EndNote&gt;&lt;Cite&gt;&lt;Author&gt;Claxton&lt;/Author&gt;&lt;Year&gt;2013&lt;/Year&gt;&lt;RecNum&gt;20&lt;/RecNum&gt;&lt;DisplayText&gt;[236, 255]&lt;/DisplayText&gt;&lt;record&gt;&lt;rec-number&gt;20&lt;/rec-number&gt;&lt;foreign-keys&gt;&lt;key app="EN" db-id="sz9092dv2s5fpze9wpgx0zxgv5ar00aezrvf" timestamp="0"&gt;20&lt;/key&gt;&lt;/foreign-keys&gt;&lt;ref-type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NICE cost effectiveness threshold&lt;/title&gt;&lt;secondary-title&gt;York: University of York&lt;/secondary-title&gt;&lt;/titles&gt;&lt;dates&gt;&lt;year&gt;2013&lt;/year&gt;&lt;/dates&gt;&lt;urls&gt;&lt;/urls&gt;&lt;/record&gt;&lt;/Cite&gt;&lt;Cite&gt;&lt;Author&gt;UK Government&lt;/Author&gt;&lt;Year&gt;2008&lt;/Year&gt;&lt;RecNum&gt;145&lt;/RecNum&gt;&lt;record&gt;&lt;rec-number&gt;145&lt;/rec-number&gt;&lt;foreign-keys&gt;&lt;key app="EN" db-id="sz9092dv2s5fpze9wpgx0zxgv5ar00aezrvf" timestamp="0"&gt;145&lt;/key&gt;&lt;/foreign-keys&gt;&lt;ref-type name="Report"&gt;27&lt;/ref-type&gt;&lt;contributors&gt;&lt;authors&gt;&lt;author&gt;UK Government,&lt;/author&gt;&lt;/authors&gt;&lt;/contributors&gt;&lt;titles&gt;&lt;title&gt;The Government&amp;apos;s Response to the Health Select Committee&amp;apos;s First Report of Session 2007-08 on the National Institute for Health and Clinical Excellence&lt;/title&gt;&lt;/titles&gt;&lt;dates&gt;&lt;year&gt;2008&lt;/year&gt;&lt;/dates&gt;&lt;publisher&gt;Stationery Office Books&lt;/publisher&gt;&lt;isbn&gt;0101733127&lt;/isbn&gt;&lt;urls&gt;&lt;/urls&gt;&lt;/record&gt;&lt;/Cite&gt;&lt;/EndNote&gt;</w:instrText>
      </w:r>
      <w:r w:rsidRPr="00F10391">
        <w:fldChar w:fldCharType="separate"/>
      </w:r>
      <w:r w:rsidR="00700267">
        <w:rPr>
          <w:noProof/>
        </w:rPr>
        <w:t>[236, 255]</w:t>
      </w:r>
      <w:r w:rsidRPr="00F10391">
        <w:fldChar w:fldCharType="end"/>
      </w:r>
      <w:r w:rsidRPr="00F10391">
        <w:t>. It has seemingly not changed to take account of inflation since NICE’s foundation, though it is possible that the proportion of services recommended has risen to take account of this. If we take the (quite considerable) leap of ignoring the cost of services displaced, there are a number of reasons that we might consider the threshold suitable, though criticism of these remains possible.</w:t>
      </w:r>
    </w:p>
    <w:p w14:paraId="1FEB55C2" w14:textId="77777777" w:rsidR="00D22CE3" w:rsidRPr="00F10391" w:rsidRDefault="00D22CE3" w:rsidP="00490B5D">
      <w:r w:rsidRPr="00F10391">
        <w:t xml:space="preserve">Alan Williams proposed a threshold of £18,000 to reflect the GDP per capita around the time of its foundation </w:t>
      </w:r>
      <w:r w:rsidRPr="00F10391">
        <w:fldChar w:fldCharType="begin"/>
      </w:r>
      <w:r w:rsidR="00700267">
        <w:instrText xml:space="preserve"> ADDIN EN.CITE &lt;EndNote&gt;&lt;Cite&gt;&lt;Author&gt;Williams&lt;/Author&gt;&lt;Year&gt;2004&lt;/Year&gt;&lt;RecNum&gt;155&lt;/RecNum&gt;&lt;DisplayText&gt;[104]&lt;/DisplayText&gt;&lt;record&gt;&lt;rec-number&gt;155&lt;/rec-number&gt;&lt;foreign-keys&gt;&lt;key app="EN" db-id="sz9092dv2s5fpze9wpgx0zxgv5ar00aezrvf" timestamp="0"&gt;155&lt;/key&gt;&lt;/foreign-keys&gt;&lt;ref-type name="Book"&gt;6&lt;/ref-type&gt;&lt;contributors&gt;&lt;authors&gt;&lt;author&gt;Williams, Alan&lt;/author&gt;&lt;/authors&gt;&lt;/contributors&gt;&lt;titles&gt;&lt;title&gt;What could be nicer than NICE?&lt;/title&gt;&lt;/titles&gt;&lt;dates&gt;&lt;year&gt;2004&lt;/year&gt;&lt;/dates&gt;&lt;publisher&gt;Office for Health Economics&lt;/publisher&gt;&lt;isbn&gt;189904003X&lt;/isbn&gt;&lt;urls&gt;&lt;/urls&gt;&lt;/record&gt;&lt;/Cite&gt;&lt;/EndNote&gt;</w:instrText>
      </w:r>
      <w:r w:rsidRPr="00F10391">
        <w:fldChar w:fldCharType="separate"/>
      </w:r>
      <w:r w:rsidR="00700267">
        <w:rPr>
          <w:noProof/>
        </w:rPr>
        <w:t>[104]</w:t>
      </w:r>
      <w:r w:rsidRPr="00F10391">
        <w:fldChar w:fldCharType="end"/>
      </w:r>
      <w:r w:rsidRPr="00F10391">
        <w:t xml:space="preserve">. However, this approach is based upon a rather arbitrary rule of thumb, </w:t>
      </w:r>
      <w:r w:rsidRPr="00F10391">
        <w:lastRenderedPageBreak/>
        <w:t>as better data on the opportunity cost of services displaced at the margin was not available. There is also no clear evidence that the threshold has grown with the economy since.</w:t>
      </w:r>
    </w:p>
    <w:p w14:paraId="2245B9B0" w14:textId="77777777" w:rsidR="00D22CE3" w:rsidRPr="00F10391" w:rsidRDefault="00D22CE3" w:rsidP="00490B5D">
      <w:r w:rsidRPr="00F10391">
        <w:t xml:space="preserve">The World Health Organisation’s CHOICE programme </w:t>
      </w:r>
      <w:r w:rsidRPr="00F10391">
        <w:fldChar w:fldCharType="begin"/>
      </w:r>
      <w:r w:rsidR="00700267">
        <w:instrText xml:space="preserve"> ADDIN EN.CITE &lt;EndNote&gt;&lt;Cite&gt;&lt;Author&gt;Edejer&lt;/Author&gt;&lt;Year&gt;2003&lt;/Year&gt;&lt;RecNum&gt;45&lt;/RecNum&gt;&lt;DisplayText&gt;[256]&lt;/DisplayText&gt;&lt;record&gt;&lt;rec-number&gt;45&lt;/rec-number&gt;&lt;foreign-keys&gt;&lt;key app="EN" db-id="sz9092dv2s5fpze9wpgx0zxgv5ar00aezrvf" timestamp="0"&gt;45&lt;/key&gt;&lt;/foreign-keys&gt;&lt;ref-type name="Book"&gt;6&lt;/ref-type&gt;&lt;contributors&gt;&lt;authors&gt;&lt;author&gt;Edejer, T Tan-Torres&lt;/author&gt;&lt;/authors&gt;&lt;/contributors&gt;&lt;titles&gt;&lt;title&gt;Making choices in health: WHO guide to cost-effectiveness analysis&lt;/title&gt;&lt;/titles&gt;&lt;volume&gt;1&lt;/volume&gt;&lt;dates&gt;&lt;year&gt;2003&lt;/year&gt;&lt;/dates&gt;&lt;publisher&gt;World Health Organization&lt;/publisher&gt;&lt;isbn&gt;9241546018&lt;/isbn&gt;&lt;urls&gt;&lt;/urls&gt;&lt;/record&gt;&lt;/Cite&gt;&lt;/EndNote&gt;</w:instrText>
      </w:r>
      <w:r w:rsidRPr="00F10391">
        <w:fldChar w:fldCharType="separate"/>
      </w:r>
      <w:r w:rsidR="00700267">
        <w:rPr>
          <w:noProof/>
        </w:rPr>
        <w:t>[256]</w:t>
      </w:r>
      <w:r w:rsidRPr="00F10391">
        <w:fldChar w:fldCharType="end"/>
      </w:r>
      <w:r w:rsidRPr="00F10391">
        <w:t xml:space="preserve"> similarly issued guidance stating that interventions costing less than one year’s GDP per capita are highly cost-effective; in the UK in 2012 this was approximately £25,000, making the current threshold appear appropriate. However, the report states that interventions should still be considered acceptably cost-effective at anything up to three times the GDP per capita.  </w:t>
      </w:r>
    </w:p>
    <w:p w14:paraId="67F14FFB" w14:textId="77777777" w:rsidR="00D22CE3" w:rsidRPr="00F10391" w:rsidRDefault="00D22CE3" w:rsidP="006A5AA3">
      <w:r w:rsidRPr="00F10391">
        <w:t xml:space="preserve">Research has suggested that the threshold employed is likely to be of an appropriate order of magnitude of the true figure </w:t>
      </w:r>
      <w:r w:rsidRPr="00F10391">
        <w:fldChar w:fldCharType="begin"/>
      </w:r>
      <w:r w:rsidR="00700267">
        <w:instrText xml:space="preserve"> ADDIN EN.CITE &lt;EndNote&gt;&lt;Cite&gt;&lt;Author&gt;Martin&lt;/Author&gt;&lt;Year&gt;2008&lt;/Year&gt;&lt;RecNum&gt;91&lt;/RecNum&gt;&lt;DisplayText&gt;[257]&lt;/DisplayText&gt;&lt;record&gt;&lt;rec-number&gt;91&lt;/rec-number&gt;&lt;foreign-keys&gt;&lt;key app="EN" db-id="sz9092dv2s5fpze9wpgx0zxgv5ar00aezrvf" timestamp="0"&gt;91&lt;/key&gt;&lt;/foreign-keys&gt;&lt;ref-type name="Journal Article"&gt;17&lt;/ref-type&gt;&lt;contributors&gt;&lt;authors&gt;&lt;author&gt;Martin, Stephen&lt;/author&gt;&lt;author&gt;Rice, Nigel&lt;/author&gt;&lt;author&gt;Smith, Peter C&lt;/author&gt;&lt;/authors&gt;&lt;/contributors&gt;&lt;titles&gt;&lt;title&gt;Does health care spending improve health outcomes? Evidence from English programme budgeting data&lt;/title&gt;&lt;secondary-title&gt;Journal of Health Economics&lt;/secondary-title&gt;&lt;/titles&gt;&lt;pages&gt;826-842&lt;/pages&gt;&lt;volume&gt;27&lt;/volume&gt;&lt;number&gt;4&lt;/number&gt;&lt;dates&gt;&lt;year&gt;2008&lt;/year&gt;&lt;/dates&gt;&lt;isbn&gt;0167-6296&lt;/isbn&gt;&lt;urls&gt;&lt;related-urls&gt;&lt;url&gt;http://www.sciencedirect.com/science/article/pii/S0167629607001166&lt;/url&gt;&lt;url&gt;http://ac.els-cdn.com/S0167629607001166/1-s2.0-S0167629607001166-main.pdf?_tid=40b7b2c8-9359-11e4-8f2d-00000aacb35f&amp;amp;acdnat=1420297407_157410b14963a7760f41d2b4d4796639&lt;/url&gt;&lt;/related-urls&gt;&lt;/urls&gt;&lt;/record&gt;&lt;/Cite&gt;&lt;/EndNote&gt;</w:instrText>
      </w:r>
      <w:r w:rsidRPr="00F10391">
        <w:fldChar w:fldCharType="separate"/>
      </w:r>
      <w:r w:rsidR="00700267">
        <w:rPr>
          <w:noProof/>
        </w:rPr>
        <w:t>[257]</w:t>
      </w:r>
      <w:r w:rsidRPr="00F10391">
        <w:fldChar w:fldCharType="end"/>
      </w:r>
      <w:r w:rsidRPr="00F10391">
        <w:t xml:space="preserve"> and is comparable to that of a number of similar countries. The US and Canada implicitly use US$50,000 (around £30,800 in 2014) per QALY, Ireland applies €45,000 (£35,100) per QALY (though this only applies to drug appraisals), and Australia uses an ICER of AUS$69,900 (£37,700), for example. But each has been divined in its own way and for its own arcane reasons.</w:t>
      </w:r>
      <w:r w:rsidRPr="00F10391">
        <w:rPr>
          <w:rStyle w:val="FootnoteReference"/>
        </w:rPr>
        <w:footnoteReference w:id="5"/>
      </w:r>
      <w:r w:rsidRPr="00F10391">
        <w:t xml:space="preserve"> The UK remains the only country to specify an explicit threshold range </w:t>
      </w:r>
      <w:r w:rsidRPr="00F10391">
        <w:fldChar w:fldCharType="begin"/>
      </w:r>
      <w:r w:rsidR="00700267">
        <w:instrText xml:space="preserve"> ADDIN EN.CITE &lt;EndNote&gt;&lt;Cite&gt;&lt;Author&gt;Cleemput&lt;/Author&gt;&lt;Year&gt;2008&lt;/Year&gt;&lt;RecNum&gt;21&lt;/RecNum&gt;&lt;DisplayText&gt;[258]&lt;/DisplayText&gt;&lt;record&gt;&lt;rec-number&gt;21&lt;/rec-number&gt;&lt;foreign-keys&gt;&lt;key app="EN" db-id="sz9092dv2s5fpze9wpgx0zxgv5ar00aezrvf" timestamp="0"&gt;21&lt;/key&gt;&lt;/foreign-keys&gt;&lt;ref-type name="Journal Article"&gt;17&lt;/ref-type&gt;&lt;contributors&gt;&lt;authors&gt;&lt;author&gt;Cleemput, I&lt;/author&gt;&lt;author&gt;Neyt, M&lt;/author&gt;&lt;author&gt;Thiry, N&lt;/author&gt;&lt;author&gt;De Laet, C&lt;/author&gt;&lt;author&gt;Leys, M&lt;/author&gt;&lt;/authors&gt;&lt;/contributors&gt;&lt;titles&gt;&lt;title&gt;KCE reports 100C (D/2008/10.273/96). Threshold values for cost-effectiveness in health care Health Technology Assessment (HTA)&lt;/title&gt;&lt;secondary-title&gt;Brussels, Belgium: Belgian Health Care Knowledge Centre (KCE)&lt;/secondary-title&gt;&lt;/titles&gt;&lt;dates&gt;&lt;year&gt;2008&lt;/year&gt;&lt;/dates&gt;&lt;urls&gt;&lt;/urls&gt;&lt;/record&gt;&lt;/Cite&gt;&lt;/EndNote&gt;</w:instrText>
      </w:r>
      <w:r w:rsidRPr="00F10391">
        <w:fldChar w:fldCharType="separate"/>
      </w:r>
      <w:r w:rsidR="00700267">
        <w:rPr>
          <w:noProof/>
        </w:rPr>
        <w:t>[258]</w:t>
      </w:r>
      <w:r w:rsidRPr="00F10391">
        <w:fldChar w:fldCharType="end"/>
      </w:r>
      <w:r w:rsidRPr="00F10391">
        <w:t xml:space="preserve"> and given that this is not based on an approximation of the opportunity costs of services displaced by new interventions, it is probably safe to state that no country in the world has successfully tied a working threshold to the opportunity costs of the services derived. </w:t>
      </w:r>
    </w:p>
    <w:p w14:paraId="2F962F1E" w14:textId="77777777" w:rsidR="00D22CE3" w:rsidRPr="00F10391" w:rsidRDefault="00D22CE3" w:rsidP="006942ED">
      <w:r w:rsidRPr="00F10391">
        <w:t xml:space="preserve">Recent research in York has attempted the difficult task of estimating the ICER valuations of the services that are actually displaced, which represent the actual cost-effectiveness threshold </w:t>
      </w:r>
      <w:r w:rsidRPr="00F10391">
        <w:fldChar w:fldCharType="begin"/>
      </w:r>
      <w:r w:rsidR="00700267">
        <w:instrText xml:space="preserve"> ADDIN EN.CITE &lt;EndNote&gt;&lt;Cite&gt;&lt;Author&gt;Claxton&lt;/Author&gt;&lt;Year&gt;2013&lt;/Year&gt;&lt;RecNum&gt;20&lt;/RecNum&gt;&lt;DisplayText&gt;[236]&lt;/DisplayText&gt;&lt;record&gt;&lt;rec-number&gt;20&lt;/rec-number&gt;&lt;foreign-keys&gt;&lt;key app="EN" db-id="sz9092dv2s5fpze9wpgx0zxgv5ar00aezrvf" timestamp="0"&gt;20&lt;/key&gt;&lt;/foreign-keys&gt;&lt;ref-type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NICE cost effectiveness threshold&lt;/title&gt;&lt;secondary-title&gt;York: University of York&lt;/secondary-title&gt;&lt;/titles&gt;&lt;dates&gt;&lt;year&gt;2013&lt;/year&gt;&lt;/dates&gt;&lt;urls&gt;&lt;/urls&gt;&lt;/record&gt;&lt;/Cite&gt;&lt;/EndNote&gt;</w:instrText>
      </w:r>
      <w:r w:rsidRPr="00F10391">
        <w:fldChar w:fldCharType="separate"/>
      </w:r>
      <w:r w:rsidR="00700267">
        <w:rPr>
          <w:noProof/>
        </w:rPr>
        <w:t>[236]</w:t>
      </w:r>
      <w:r w:rsidRPr="00F10391">
        <w:fldChar w:fldCharType="end"/>
      </w:r>
      <w:r w:rsidRPr="00F10391">
        <w:t>. The report’s central estimate for this figure was just under £13,000, implying that overall societal health may be reduced by when interventions seemingly at the margin of NICE’s threshold are recommended.</w:t>
      </w:r>
    </w:p>
    <w:p w14:paraId="2F9A710F" w14:textId="77777777" w:rsidR="00D22CE3" w:rsidRPr="00F10391" w:rsidRDefault="00D22CE3">
      <w:r w:rsidRPr="00F10391">
        <w:t xml:space="preserve">In an era of increased access to genetic markers and personalised medicine (alongside demographic and other pressures), NICE may have to manage a series of ethical and political challenges in addressing such concerns in the future. At present, limiting the recommendation of treatments to certain subgroups is only permitted in order to ensure that the treatments recommended are cost-effective, where they would otherwise not be.  But such recommendations may lead to unintended consequences, impacting not just on cost-effectiveness but also on very different expectations of acceptable treatment.  For example, NICE recommended bariatric surgery as a measure of last resort for morbidly obese patients in 2002, and surgery rates have risen dramatically since </w:t>
      </w:r>
      <w:r w:rsidRPr="00F10391">
        <w:fldChar w:fldCharType="begin"/>
      </w:r>
      <w:r w:rsidR="00700267">
        <w:instrText xml:space="preserve"> ADDIN EN.CITE &lt;EndNote&gt;&lt;Cite&gt;&lt;Author&gt;Choices&lt;/Author&gt;&lt;Year&gt;2012&lt;/Year&gt;&lt;RecNum&gt;183&lt;/RecNum&gt;&lt;DisplayText&gt;[259]&lt;/DisplayText&gt;&lt;record&gt;&lt;rec-number&gt;183&lt;/rec-number&gt;&lt;foreign-keys&gt;&lt;key app="EN" db-id="sz9092dv2s5fpze9wpgx0zxgv5ar00aezrvf" timestamp="0"&gt;183&lt;/key&gt;&lt;/foreign-keys&gt;&lt;ref-type name="Web Page"&gt;12&lt;/ref-type&gt;&lt;contributors&gt;&lt;authors&gt;&lt;author&gt;NHS Choices,&lt;/author&gt;&lt;/authors&gt;&lt;/contributors&gt;&lt;titles&gt;&lt;title&gt;Gastric bypass surgery &amp;apos;up 530% in 6 years&amp;apos;&lt;/title&gt;&lt;/titles&gt;&lt;volume&gt;2014&lt;/volume&gt;&lt;number&gt;12 September 2014&lt;/number&gt;&lt;dates&gt;&lt;year&gt;2012&lt;/year&gt;&lt;/dates&gt;&lt;urls&gt;&lt;related-urls&gt;&lt;url&gt;http://www.nhs.uk/news/2012/08august/Pages/gastric-bypass-surgery-up-fivefold-in-six-years.aspx&lt;/url&gt;&lt;/related-urls&gt;&lt;/urls&gt;&lt;/record&gt;&lt;/Cite&gt;&lt;/EndNote&gt;</w:instrText>
      </w:r>
      <w:r w:rsidRPr="00F10391">
        <w:fldChar w:fldCharType="separate"/>
      </w:r>
      <w:r w:rsidR="00700267">
        <w:rPr>
          <w:noProof/>
        </w:rPr>
        <w:t>[259]</w:t>
      </w:r>
      <w:r w:rsidRPr="00F10391">
        <w:fldChar w:fldCharType="end"/>
      </w:r>
      <w:r w:rsidRPr="00F10391">
        <w:t xml:space="preserve">, implying that perhaps not all of these patients were at the last resort stage after all. Drugs similarly may become much more </w:t>
      </w:r>
      <w:r w:rsidRPr="00F10391">
        <w:lastRenderedPageBreak/>
        <w:t>widely available in practice than planned. It is not clear what rules should be in place for subgroups of people that share specific genetic traits, or traits combined with prior medical history, and whether such decisions should be influenced by the likely budget impact and size of the cohort.</w:t>
      </w:r>
    </w:p>
    <w:p w14:paraId="52F01A26" w14:textId="77777777" w:rsidR="00D22CE3" w:rsidRPr="00F10391" w:rsidRDefault="00D22CE3">
      <w:r w:rsidRPr="00F10391">
        <w:t>It is also unclear how NICE draws boundaries with regards age in such subgroups. To give a hypothetical example, breast cancer screening</w:t>
      </w:r>
      <w:r w:rsidRPr="00F10391">
        <w:rPr>
          <w:rStyle w:val="FootnoteReference"/>
        </w:rPr>
        <w:footnoteReference w:id="6"/>
      </w:r>
      <w:r w:rsidRPr="00F10391">
        <w:t xml:space="preserve"> may be considered cost saving at certain ages, cost-effective at others, and not cost-effective for others. It is unclear if the NHS should only cover the individual years of age that are considered cost-effective, or as broad an age range as possible until the threshold is reached. Given the lack of clarity in the data, it is perfectly possible that one year in the middle of the approved range might not appear to be cost-effective, and it will be unclear how to allow for this. Given democratic pressure to extend screening, it would be an interesting topic for future research. </w:t>
      </w:r>
    </w:p>
    <w:p w14:paraId="60280B81" w14:textId="77777777" w:rsidR="00D22CE3" w:rsidRPr="00F10391" w:rsidRDefault="00D22CE3">
      <w:r w:rsidRPr="00F10391">
        <w:t xml:space="preserve">To address the issues that arise, public health evaluations in NICE have often taken a flexible approach to the reference case, using a variety of approaches and perspectives. These are described in detail in Chapter 5. But given that some studies take into account the costs and benefits to society, rather than to the NHS, it may be worth reconsidering whether or not the threshold applied should be the same in both cases </w:t>
      </w:r>
      <w:r w:rsidRPr="00F10391">
        <w:fldChar w:fldCharType="begin"/>
      </w:r>
      <w:r w:rsidR="00700267">
        <w:instrText xml:space="preserve"> ADDIN EN.CITE &lt;EndNote&gt;&lt;Cite&gt;&lt;Author&gt;Devlin&lt;/Author&gt;&lt;Year&gt;2004&lt;/Year&gt;&lt;RecNum&gt;36&lt;/RecNum&gt;&lt;DisplayText&gt;[201]&lt;/DisplayText&gt;&lt;record&gt;&lt;rec-number&gt;36&lt;/rec-number&gt;&lt;foreign-keys&gt;&lt;key app="EN" db-id="sz9092dv2s5fpze9wpgx0zxgv5ar00aezrvf" timestamp="0"&gt;36&lt;/key&gt;&lt;/fo</w:instrText>
      </w:r>
      <w:r w:rsidR="00700267">
        <w:rPr>
          <w:rFonts w:hint="eastAsia"/>
        </w:rPr>
        <w:instrText>reign-keys&gt;&lt;ref-type name="Journal Article"&gt;17&lt;/ref-type&gt;&lt;contributors&gt;&lt;authors&gt;&lt;author&gt;Devlin, Nancy&lt;/author&gt;&lt;author&gt;Parkin, David&lt;/author&gt;&lt;/authors&gt;&lt;/contributors&gt;&lt;titles&gt;&lt;title&gt;Does NICE have a cost</w:instrText>
      </w:r>
      <w:r w:rsidR="00700267">
        <w:rPr>
          <w:rFonts w:hint="eastAsia"/>
        </w:rPr>
        <w:instrText>‐</w:instrText>
      </w:r>
      <w:r w:rsidR="00700267">
        <w:rPr>
          <w:rFonts w:hint="eastAsia"/>
        </w:rPr>
        <w:instrText>effectiveness threshold and what other factors influe</w:instrText>
      </w:r>
      <w:r w:rsidR="00700267">
        <w:instrText>nce its decisions? A binary choice analysis&lt;/title&gt;&lt;secondary-title&gt;Health economics&lt;/secondary-title&gt;&lt;/titles&gt;&lt;periodical&gt;&lt;full-title&gt;Health economics&lt;/full-title&gt;&lt;/periodical&gt;&lt;pages&gt;437-452&lt;/pages&gt;&lt;volume&gt;13&lt;/volume&gt;&lt;number&gt;5&lt;/number&gt;&lt;dates&gt;&lt;year&gt;2004&lt;/year&gt;&lt;/dates&gt;&lt;isbn&gt;1099-1050&lt;/isbn&gt;&lt;urls&gt;&lt;related-urls&gt;&lt;url&gt;http://onlinelibrary.wiley.com/doi/10.1002/hec.864/abstract&lt;/url&gt;&lt;url&gt;http://onlinelibrary.wiley.com/store/10.1002/hec.864/asset/864_ftp.pdf?v=1&amp;amp;t=i4h49uku&amp;amp;s=d095e0323f25c531ff89fc772ab211ff0a57b728&lt;/url&gt;&lt;url&gt;http://onlinelibrary.wiley.com/doi/10.1002/hec.864/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[201]</w:t>
      </w:r>
      <w:r w:rsidRPr="00F10391">
        <w:fldChar w:fldCharType="end"/>
      </w:r>
      <w:r w:rsidRPr="00F10391">
        <w:t xml:space="preserve">. NICE has never adapted the threshold in such circumstances, but convincing other decision-makers that this is the correct approach may become more challenging (and topical) as the public health remit extends to local government. </w:t>
      </w:r>
    </w:p>
    <w:p w14:paraId="7B4E3CAF" w14:textId="35B0D7D7" w:rsidR="00D22CE3" w:rsidRPr="00F10391" w:rsidRDefault="00D22CE3">
      <w:r w:rsidRPr="00F10391">
        <w:t xml:space="preserve">The approaches used are inevitably still evolving in light of changes to provision in the health service and also due to legitimate concerns and criticisms of the techniques used, some of which are fundamental. The idea that rationing can even be consistently followed at all is considered by some as naïve, and it has been suggested that we should instead focus on improving decision-making systems </w:t>
      </w:r>
      <w:r w:rsidRPr="00F10391">
        <w:fldChar w:fldCharType="begin"/>
      </w:r>
      <w:r w:rsidR="00700267">
        <w:instrText xml:space="preserve"> ADDIN EN.CITE &lt;EndNote&gt;&lt;Cite&gt;&lt;Author&gt;Cookson&lt;/Author&gt;&lt;Year&gt;2000&lt;/Year&gt;&lt;RecNum&gt;26&lt;/RecNum&gt;&lt;DisplayText&gt;[44]&lt;/DisplayText&gt;&lt;record&gt;&lt;rec-number&gt;26&lt;/rec-number&gt;&lt;foreign-keys&gt;&lt;key app="EN" db-id="sz9092dv2s5fpze9wpgx0zxgv5ar00aezrvf" timestamp="0"&gt;26&lt;/key&gt;&lt;/foreign-keys&gt;&lt;ref-type name="Journal Article"&gt;17&lt;/ref-type&gt;&lt;contributors&gt;&lt;authors&gt;&lt;author&gt;Cookson, Richard&lt;/author&gt;&lt;author&gt;Dolan, Paul&lt;/author&gt;&lt;/authors&gt;&lt;/contributors&gt;&lt;titles&gt;&lt;title&gt;Principles of justice in health care rationing&lt;/title&gt;&lt;secondary-title&gt;Journal of Medical Ethics&lt;/secondary-title&gt;&lt;/titles&gt;&lt;periodical&gt;&lt;full-title&gt;Journal of Medical Ethics&lt;/full-title&gt;&lt;/periodical&gt;&lt;pages&gt;323-329&lt;/pages&gt;&lt;volume&gt;26&lt;/volume&gt;&lt;number&gt;5&lt;/number&gt;&lt;dates&gt;&lt;year&gt;2000&lt;/year&gt;&lt;/dates&gt;&lt;isbn&gt;1473-4257&lt;/isbn&gt;&lt;urls&gt;&lt;related-urls&gt;&lt;url&gt;http://www.ncbi.nlm.nih.gov/pmc/articles/PMC1733291/pdf/v026p00323.pdf&lt;/url&gt;&lt;/related-urls&gt;&lt;/urls&gt;&lt;/record&gt;&lt;/Cite&gt;&lt;/EndNote&gt;</w:instrText>
      </w:r>
      <w:r w:rsidRPr="00F10391">
        <w:fldChar w:fldCharType="separate"/>
      </w:r>
      <w:r w:rsidR="00700267">
        <w:rPr>
          <w:noProof/>
        </w:rPr>
        <w:t>[44]</w:t>
      </w:r>
      <w:r w:rsidRPr="00F10391">
        <w:fldChar w:fldCharType="end"/>
      </w:r>
      <w:r w:rsidRPr="00F10391">
        <w:t xml:space="preserve"> and muddle through elegantly </w:t>
      </w:r>
      <w:r w:rsidRPr="00F10391">
        <w:fldChar w:fldCharType="begin"/>
      </w:r>
      <w:r w:rsidR="00700267">
        <w:instrText xml:space="preserve"> ADDIN EN.CITE &lt;EndNote&gt;&lt;Cite&gt;&lt;Author&gt;Klein&lt;/Author&gt;&lt;Year&gt;1996&lt;/Year&gt;&lt;RecNum&gt;77&lt;/RecNum&gt;&lt;DisplayText&gt;[260]&lt;/DisplayText&gt;&lt;record&gt;&lt;rec-number&gt;77&lt;/rec-number&gt;&lt;foreign-keys&gt;&lt;key app="EN" db-id="sz9092dv2s5fpze9wpgx0zxgv5ar00aezrvf" timestamp="0"&gt;77&lt;/key&gt;&lt;/foreign-keys&gt;&lt;ref-type name="Book"&gt;6&lt;/ref-type&gt;&lt;contributors&gt;&lt;authors&gt;&lt;author&gt;Klein, Rudolf&lt;/author&gt;&lt;author&gt;Day, Patricia&lt;/author&gt;&lt;author&gt;Redmayne, Sharon&lt;/author&gt;&lt;author&gt;Britain, Great&lt;/author&gt;&lt;/authors&gt;&lt;/contributors&gt;&lt;titles&gt;&lt;title&gt;Managing scarcity: priority setting and rationing in the National Health Service&lt;/title&gt;&lt;/titles&gt;&lt;dates&gt;&lt;year&gt;1996&lt;/year&gt;&lt;/dates&gt;&lt;publisher&gt;Open university press Buckingham&lt;/publisher&gt;&lt;isbn&gt;033519446X&lt;/isbn&gt;&lt;urls&gt;&lt;/urls&gt;&lt;/record&gt;&lt;/Cite&gt;&lt;/EndNote&gt;</w:instrText>
      </w:r>
      <w:r w:rsidRPr="00F10391">
        <w:fldChar w:fldCharType="separate"/>
      </w:r>
      <w:r w:rsidR="00700267">
        <w:rPr>
          <w:noProof/>
        </w:rPr>
        <w:t>[260]</w:t>
      </w:r>
      <w:r w:rsidRPr="00F10391">
        <w:fldChar w:fldCharType="end"/>
      </w:r>
      <w:r w:rsidRPr="00F10391">
        <w:t xml:space="preserve">; a point which seems to echo the earlier work of Lindblom </w:t>
      </w:r>
      <w:r w:rsidRPr="00F10391">
        <w:fldChar w:fldCharType="begin"/>
      </w:r>
      <w:r w:rsidR="00700267">
        <w:instrText xml:space="preserve"> ADDIN EN.CITE &lt;EndNote&gt;&lt;Cite&gt;&lt;Author&gt;Lindblom&lt;/Author&gt;&lt;Year&gt;1959&lt;/Year&gt;&lt;RecNum&gt;82&lt;/RecNum&gt;&lt;DisplayText&gt;[209]&lt;/DisplayText&gt;&lt;record&gt;&lt;rec-number&gt;82&lt;/rec-number&gt;&lt;foreign-keys&gt;&lt;key app="EN" db-id="sz9092dv2s5fpze9wpgx0zxgv5ar00aezrvf" timestamp="0"&gt;82&lt;/key&gt;&lt;/foreign-keys&gt;&lt;ref-type name="Journal Article"&gt;17&lt;/ref-type&gt;&lt;contributors&gt;&lt;authors&gt;&lt;author&gt;Lindblom, Charles E&lt;/author&gt;&lt;/authors&gt;&lt;/contributors&gt;&lt;titles&gt;&lt;title&gt;The science of&amp;quot; muddling through&amp;quot;&lt;/title&gt;&lt;secondary-title&gt;Public administration review&lt;/secondary-title&gt;&lt;/titles&gt;&lt;periodical&gt;&lt;full-title&gt;Public administration review&lt;/full-title&gt;&lt;/periodical&gt;&lt;pages&gt;79-88&lt;/pages&gt;&lt;dates&gt;&lt;year&gt;1959&lt;/year&gt;&lt;/dates&gt;&lt;isbn&gt;0033-3352&lt;/isbn&gt;&lt;urls&gt;&lt;/urls&gt;&lt;/record&gt;&lt;/Cite&gt;&lt;/EndNote&gt;</w:instrText>
      </w:r>
      <w:r w:rsidRPr="00F10391">
        <w:fldChar w:fldCharType="separate"/>
      </w:r>
      <w:r w:rsidR="00700267">
        <w:rPr>
          <w:noProof/>
        </w:rPr>
        <w:t>[209]</w:t>
      </w:r>
      <w:r w:rsidRPr="00F10391">
        <w:fldChar w:fldCharType="end"/>
      </w:r>
      <w:r w:rsidRPr="00F10391">
        <w:t xml:space="preserve">. </w:t>
      </w:r>
    </w:p>
    <w:p w14:paraId="037B0A34" w14:textId="77777777" w:rsidR="00D22CE3" w:rsidRPr="00F10391" w:rsidRDefault="00D22CE3">
      <w:r w:rsidRPr="00F10391">
        <w:t xml:space="preserve">It is not clear that decision-makers and the public at large really expect a health service to maximise health, and health alone </w:t>
      </w:r>
      <w:r w:rsidRPr="00F10391">
        <w:fldChar w:fldCharType="begin"/>
      </w:r>
      <w:r w:rsidR="00700267">
        <w:instrText xml:space="preserve"> ADDIN EN.CITE &lt;EndNote&gt;&lt;Cite&gt;&lt;Author&gt;Shah&lt;/Author&gt;&lt;Year&gt;2013&lt;/Year&gt;&lt;RecNum&gt;133&lt;/RecNum&gt;&lt;DisplayText&gt;[44, 261]&lt;/DisplayText&gt;&lt;record&gt;&lt;rec-number&gt;133&lt;/rec-number&gt;&lt;foreign-keys&gt;&lt;key app="EN" db-id="sz9092dv2s5fpze9wpgx0zxgv5ar00aezrvf" timestamp="0"&gt;133&lt;/key&gt;&lt;/foreign-keys&gt;&lt;ref-type name="Journal Article"&gt;17&lt;/ref-type&gt;&lt;contributors&gt;&lt;authors&gt;&lt;author&gt;Shah, Koonal K&lt;/author&gt;&lt;author&gt;Cookson, Richard&lt;/author&gt;&lt;author&gt;Culyer, Anthony J&lt;/author&gt;&lt;author&gt;Littlejohns, Peter&lt;/author&gt;&lt;/authors&gt;&lt;/contributors&gt;&lt;titles&gt;&lt;title&gt;NICE&amp;apos;s social value judgements about equity in health and health care&lt;/title&gt;&lt;secondary-title&gt;Health Economics, Policy and Law&lt;/secondary-title&gt;&lt;/titles&gt;&lt;periodical&gt;&lt;full-title&gt;Health Economics, policy and law&lt;/full-title&gt;&lt;/periodical&gt;&lt;pages&gt;145-165&lt;/pages&gt;&lt;volume&gt;8&lt;/volume&gt;&lt;number&gt;02&lt;/number&gt;&lt;dates&gt;&lt;year&gt;2013&lt;/year&gt;&lt;/dates&gt;&lt;isbn&gt;1744-134X&lt;/isbn&gt;&lt;urls&gt;&lt;/urls&gt;&lt;/record&gt;&lt;/Cite&gt;&lt;Cite&gt;&lt;Author&gt;Cookson&lt;/Author&gt;&lt;Year&gt;2000&lt;/Year&gt;&lt;RecNum&gt;26&lt;/RecNum&gt;&lt;record&gt;&lt;rec-number&gt;26&lt;/rec-number&gt;&lt;foreign-keys&gt;&lt;key app="EN" db-id="sz9092dv2s5fpze9wpgx0zxgv5ar00aezrvf" timestamp="0"&gt;26&lt;/key&gt;&lt;/foreign-keys&gt;&lt;ref-type name="Journal Article"&gt;17&lt;/ref-type&gt;&lt;contributors&gt;&lt;authors&gt;&lt;author&gt;Cookson, Richard&lt;/author&gt;&lt;author&gt;Dolan, Paul&lt;/author&gt;&lt;/authors&gt;&lt;/contributors&gt;&lt;titles&gt;&lt;title&gt;Principles of justice in health care rationing&lt;/title&gt;&lt;secondary-title&gt;Journal of Medical Ethics&lt;/secondary-title&gt;&lt;/titles&gt;&lt;periodical&gt;&lt;full-title&gt;Journal of Medical Ethics&lt;/full-title&gt;&lt;/periodical&gt;&lt;pages&gt;323-329&lt;/pages&gt;&lt;volume&gt;26&lt;/volume&gt;&lt;number&gt;5&lt;/number&gt;&lt;dates&gt;&lt;year&gt;2000&lt;/year&gt;&lt;/dates&gt;&lt;isbn&gt;1473-4257&lt;/isbn&gt;&lt;urls&gt;&lt;related-urls&gt;&lt;url&gt;http://www.ncbi.nlm.nih.gov/pmc/articles/PMC1733291/pdf/v026p00323.pdf&lt;/url&gt;&lt;/related-urls&gt;&lt;/urls&gt;&lt;/record&gt;&lt;/Cite&gt;&lt;/EndNote&gt;</w:instrText>
      </w:r>
      <w:r w:rsidRPr="00F10391">
        <w:fldChar w:fldCharType="separate"/>
      </w:r>
      <w:r w:rsidR="00700267">
        <w:rPr>
          <w:noProof/>
        </w:rPr>
        <w:t>[44, 261]</w:t>
      </w:r>
      <w:r w:rsidRPr="00F10391">
        <w:fldChar w:fldCharType="end"/>
      </w:r>
      <w:r w:rsidRPr="00F10391">
        <w:t xml:space="preserve">. NICE’s original sin – the contradiction that it seemingly attempts to maximise health while simultaneously identifying interventions that will “remove unfairness in the availability of technologies in different localities to minimise the possibility of further examples of unfairness and inequity being introduced” </w:t>
      </w:r>
      <w:r w:rsidRPr="00F10391">
        <w:fldChar w:fldCharType="begin"/>
      </w:r>
      <w:r w:rsidR="00700267">
        <w:instrText xml:space="preserve"> ADDIN EN.CITE &lt;EndNote&gt;&lt;Cite&gt;&lt;Author&gt;NICE&lt;/Author&gt;&lt;Year&gt;2001&lt;/Year&gt;&lt;RecNum&gt;184&lt;/RecNum&gt;&lt;DisplayText&gt;[262]&lt;/DisplayText&gt;&lt;record&gt;&lt;rec-number&gt;184&lt;/rec-number&gt;&lt;foreign-keys&gt;&lt;key app="EN" db-id="sz9092dv2s5fpze9wpgx0zxgv5ar00aezrvf" timestamp="0"&gt;184&lt;/key&gt;&lt;/foreign-keys&gt;&lt;ref-type name="Report"&gt;27&lt;/ref-type&gt;&lt;contributors&gt;&lt;authors&gt;&lt;author&gt;NICE&lt;/author&gt;&lt;/authors&gt;&lt;tertiary-authors&gt;&lt;author&gt;National Institute for Clinical Excellence&lt;/author&gt;&lt;/tertiary-authors&gt;&lt;/contributors&gt;&lt;titles&gt;&lt;title&gt;Technical Guidance for Manufacturers and Sponsor on Making a Submission to a Technology Appraisal&lt;/title&gt;&lt;/titles&gt;&lt;dates&gt;&lt;year&gt;2001&lt;/year&gt;&lt;/dates&gt;&lt;pub-location&gt;London&lt;/pub-location&gt;&lt;publisher&gt;National Institute for Clinical Excellence&lt;/publisher&gt;&lt;urls&gt;&lt;/urls&gt;&lt;/record&gt;&lt;/Cite&gt;&lt;/EndNote&gt;</w:instrText>
      </w:r>
      <w:r w:rsidRPr="00F10391">
        <w:fldChar w:fldCharType="separate"/>
      </w:r>
      <w:r w:rsidR="00700267">
        <w:rPr>
          <w:noProof/>
        </w:rPr>
        <w:t>[262]</w:t>
      </w:r>
      <w:r w:rsidRPr="00F10391">
        <w:fldChar w:fldCharType="end"/>
      </w:r>
      <w:r w:rsidRPr="00F10391">
        <w:t xml:space="preserve"> </w:t>
      </w:r>
      <w:r w:rsidR="006A5AA3">
        <w:t xml:space="preserve">(quoted in </w:t>
      </w:r>
      <w:r w:rsidR="006A5AA3">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6A5AA3">
        <w:fldChar w:fldCharType="separate"/>
      </w:r>
      <w:r w:rsidR="00700267">
        <w:rPr>
          <w:noProof/>
        </w:rPr>
        <w:t>[46]</w:t>
      </w:r>
      <w:r w:rsidR="006A5AA3">
        <w:fldChar w:fldCharType="end"/>
      </w:r>
      <w:r w:rsidR="006A5AA3">
        <w:t xml:space="preserve"> (p.11)) </w:t>
      </w:r>
      <w:r w:rsidRPr="00F10391">
        <w:t xml:space="preserve">leads to conflicts. In attempting to balance efficiency and equity in this way, without explicit weights, and attempting to do ‘good enough’ in both, it may not be wholly true to describe it as the maximisation of total health, but as satisficing. However, much of the </w:t>
      </w:r>
      <w:r w:rsidRPr="00F10391">
        <w:lastRenderedPageBreak/>
        <w:t>literature appears to assume that cost-utility analyses (and hence maximisation of health) is the sole criterion of concern to the NHS.</w:t>
      </w:r>
    </w:p>
    <w:p w14:paraId="22430D7D" w14:textId="77777777" w:rsidR="00D22CE3" w:rsidRPr="00F10391" w:rsidRDefault="00D22CE3">
      <w:r w:rsidRPr="00F10391">
        <w:t>Other criticisms relate to the methodology used. Even if we assume that improving health is the central and sole concern of the health service, there are questions over whether the QALY represents health appropriately. QALY measurements in NICE are, when possible, derived from EQ-5D studies, which compare the public’s preferences in a range of health states based on 5 parameters. This approach uses a generic framework, and therefore excludes specific factors that might be relevant in certain cases. Such a trade-off is perhaps inevitable, but some concerns remain relevant to people’s lives and health, and cannot necessarily be ignored. Blindness and lethargy, for example are not captured by the EQ-5D approach, and are considered by decision-makers as part of the deliberations (at least nominally).</w:t>
      </w:r>
    </w:p>
    <w:p w14:paraId="0169286A" w14:textId="77777777" w:rsidR="00D22CE3" w:rsidRPr="00F10391" w:rsidRDefault="00D22CE3">
      <w:r w:rsidRPr="00F10391">
        <w:t xml:space="preserve">Defining what constitutes health (and appropriate uses of the health budget) is clearly not simple, and there have been calls for much more multifaceted approaches to health prioritisation, incorporating issues such as the “rule of rescue” or the “fair innings’” argument </w:t>
      </w:r>
      <w:r w:rsidRPr="00F10391">
        <w:fldChar w:fldCharType="begin"/>
      </w:r>
      <w:r w:rsidR="00700267">
        <w:instrText xml:space="preserve"> ADDIN EN.CITE &lt;EndNote&gt;&lt;Cite&gt;&lt;Author&gt;Cookson&lt;/Author&gt;&lt;Year&gt;2000&lt;/Year&gt;&lt;RecNum&gt;26&lt;/RecNum&gt;&lt;DisplayText&gt;[44]&lt;/DisplayText&gt;&lt;record&gt;&lt;rec-number&gt;26&lt;/rec-number&gt;&lt;foreign-keys&gt;&lt;key app="EN" db-id="sz9092dv2s5fpze9wpgx0zxgv5ar00aezrvf" timestamp="0"&gt;26&lt;/key&gt;&lt;/foreign-keys&gt;&lt;ref-type name="Journal Article"&gt;17&lt;/ref-type&gt;&lt;contributors&gt;&lt;authors&gt;&lt;author&gt;Cookson, Richard&lt;/author&gt;&lt;author&gt;Dolan, Paul&lt;/author&gt;&lt;/authors&gt;&lt;/contributors&gt;&lt;titles&gt;&lt;title&gt;Principles of justice in health care rationing&lt;/title&gt;&lt;secondary-title&gt;Journal of Medical Ethics&lt;/secondary-title&gt;&lt;/titles&gt;&lt;periodical&gt;&lt;full-title&gt;Journal of Medical Ethics&lt;/full-title&gt;&lt;/periodical&gt;&lt;pages&gt;323-329&lt;/pages&gt;&lt;volume&gt;26&lt;/volume&gt;&lt;number&gt;5&lt;/number&gt;&lt;dates&gt;&lt;year&gt;2000&lt;/year&gt;&lt;/dates&gt;&lt;isbn&gt;1473-4257&lt;/isbn&gt;&lt;urls&gt;&lt;related-urls&gt;&lt;url&gt;http://www.ncbi.nlm.nih.gov/pmc/articles/PMC1733291/pdf/v026p00323.pdf&lt;/url&gt;&lt;/related-urls&gt;&lt;/urls&gt;&lt;/record&gt;&lt;/Cite&gt;&lt;/EndNote&gt;</w:instrText>
      </w:r>
      <w:r w:rsidRPr="00F10391">
        <w:fldChar w:fldCharType="separate"/>
      </w:r>
      <w:r w:rsidR="00700267">
        <w:rPr>
          <w:noProof/>
        </w:rPr>
        <w:t>[44]</w:t>
      </w:r>
      <w:r w:rsidRPr="00F10391">
        <w:fldChar w:fldCharType="end"/>
      </w:r>
      <w:r w:rsidRPr="00F10391">
        <w:t xml:space="preserve">. The then-Chairman of the Royal College of General Practitioners, Sir John Toby, stated that “We don’t believe that there should be any discrimination on any grounds other than on clinical need” </w:t>
      </w:r>
      <w:r w:rsidRPr="00F10391">
        <w:fldChar w:fldCharType="begin"/>
      </w:r>
      <w:r w:rsidR="00700267">
        <w:instrText xml:space="preserve"> ADDIN EN.CITE &lt;EndNote&gt;&lt;Cite&gt;&lt;Author&gt;Anonymous&lt;/Author&gt;&lt;Year&gt;1998&lt;/Year&gt;&lt;RecNum&gt;177&lt;/RecNum&gt;&lt;DisplayText&gt;[246]&lt;/DisplayText&gt;&lt;record&gt;&lt;rec-number&gt;177&lt;/rec-number&gt;&lt;foreign-keys&gt;&lt;key app="EN" db-id="sz9092dv2s5fpze9wpgx0zxgv5ar00aezrvf" timestamp="0"&gt;177&lt;/key&gt;&lt;/foreign-keys&gt;&lt;ref-type name="Newspaper Article"&gt;23&lt;/ref-type&gt;&lt;contributors&gt;&lt;authors&gt;&lt;author&gt;Anonymous&lt;/author&gt;&lt;/authors&gt;&lt;/contributors&gt;&lt;titles&gt;&lt;title&gt;Homosexuals to get Viagra for free on the NHS&lt;/title&gt;&lt;secondary-title&gt;The Sunday Times&lt;/secondary-title&gt;&lt;/titles&gt;&lt;pages&gt;1&lt;/pages&gt;&lt;number&gt;1&lt;/number&gt;&lt;edition&gt;27 September 1998&lt;/edition&gt;&lt;dates&gt;&lt;year&gt;1998&lt;/year&gt;&lt;pub-dates&gt;&lt;date&gt;27 September 1998&lt;/date&gt;&lt;/pub-dates&gt;&lt;/dates&gt;&lt;pub-location&gt;UK&lt;/pub-location&gt;&lt;urls&gt;&lt;/urls&gt;&lt;/record&gt;&lt;/Cite&gt;&lt;/EndNote&gt;</w:instrText>
      </w:r>
      <w:r w:rsidRPr="00F10391">
        <w:fldChar w:fldCharType="separate"/>
      </w:r>
      <w:r w:rsidR="00700267">
        <w:rPr>
          <w:noProof/>
        </w:rPr>
        <w:t>[246]</w:t>
      </w:r>
      <w:r w:rsidRPr="00F10391">
        <w:fldChar w:fldCharType="end"/>
      </w:r>
      <w:r w:rsidRPr="00F10391">
        <w:t xml:space="preserve">; such an approach is clearly incompatible with one led by cost-effectiveness, which discriminates based upon treatment cost. The fact that this quote comes from an outraged lead article in the Sunday Times entitled “Homosexuals to get Viagra on the NHS” </w:t>
      </w:r>
      <w:r w:rsidRPr="00F10391">
        <w:fldChar w:fldCharType="begin"/>
      </w:r>
      <w:r w:rsidR="00700267">
        <w:instrText xml:space="preserve"> ADDIN EN.CITE &lt;EndNote&gt;&lt;Cite&gt;&lt;Author&gt;Anonymous&lt;/Author&gt;&lt;Year&gt;1998&lt;/Year&gt;&lt;RecNum&gt;177&lt;/RecNum&gt;&lt;DisplayText&gt;[246]&lt;/DisplayText&gt;&lt;record&gt;&lt;rec-number&gt;177&lt;/rec-number&gt;&lt;foreign-keys&gt;&lt;key app="EN" db-id="sz9092dv2s5fpze9wpgx0zxgv5ar00aezrvf" timestamp="0"&gt;177&lt;/key&gt;&lt;/foreign-keys&gt;&lt;ref-type name="Newspaper Article"&gt;23&lt;/ref-type&gt;&lt;contributors&gt;&lt;authors&gt;&lt;author&gt;Anonymous&lt;/author&gt;&lt;/authors&gt;&lt;/contributors&gt;&lt;titles&gt;&lt;title&gt;Homosexuals to get Viagra for free on the NHS&lt;/title&gt;&lt;secondary-title&gt;The Sunday Times&lt;/secondary-title&gt;&lt;/titles&gt;&lt;pages&gt;1&lt;/pages&gt;&lt;number&gt;1&lt;/number&gt;&lt;edition&gt;27 September 1998&lt;/edition&gt;&lt;dates&gt;&lt;year&gt;1998&lt;/year&gt;&lt;pub-dates&gt;&lt;date&gt;27 September 1998&lt;/date&gt;&lt;/pub-dates&gt;&lt;/dates&gt;&lt;pub-location&gt;UK&lt;/pub-location&gt;&lt;urls&gt;&lt;/urls&gt;&lt;/record&gt;&lt;/Cite&gt;&lt;/EndNote&gt;</w:instrText>
      </w:r>
      <w:r w:rsidRPr="00F10391">
        <w:fldChar w:fldCharType="separate"/>
      </w:r>
      <w:r w:rsidR="00700267">
        <w:rPr>
          <w:noProof/>
        </w:rPr>
        <w:t>[246]</w:t>
      </w:r>
      <w:r w:rsidRPr="00F10391">
        <w:fldChar w:fldCharType="end"/>
      </w:r>
      <w:r w:rsidRPr="00F10391">
        <w:t>, also highlights further issues:</w:t>
      </w:r>
    </w:p>
    <w:p w14:paraId="3A40203B" w14:textId="77777777" w:rsidR="00D22CE3" w:rsidRPr="00F10391" w:rsidRDefault="00D22CE3">
      <w:pPr>
        <w:pStyle w:val="ListParagraph"/>
        <w:numPr>
          <w:ilvl w:val="0"/>
          <w:numId w:val="8"/>
        </w:numPr>
      </w:pPr>
      <w:r w:rsidRPr="00F10391">
        <w:t>Health spending in some areas may be considered frivolous compared to other potential uses of resources, regardless of the cost-effectiveness of the approach.</w:t>
      </w:r>
    </w:p>
    <w:p w14:paraId="49215A57" w14:textId="77777777" w:rsidR="00D22CE3" w:rsidRPr="00F10391" w:rsidRDefault="00D22CE3">
      <w:pPr>
        <w:pStyle w:val="ListParagraph"/>
        <w:numPr>
          <w:ilvl w:val="0"/>
          <w:numId w:val="8"/>
        </w:numPr>
      </w:pPr>
      <w:r w:rsidRPr="00F10391">
        <w:t>Decision-makers and the public may consider some recipients less deserving of the medical intervention.</w:t>
      </w:r>
    </w:p>
    <w:p w14:paraId="1F9397EB" w14:textId="77777777" w:rsidR="00D22CE3" w:rsidRPr="00F10391" w:rsidRDefault="00D22CE3">
      <w:pPr>
        <w:pStyle w:val="ListParagraph"/>
        <w:numPr>
          <w:ilvl w:val="0"/>
          <w:numId w:val="8"/>
        </w:numPr>
      </w:pPr>
      <w:r w:rsidRPr="00F10391">
        <w:t>Public values and perceived common sense can change over time – it is hard to imagine such a headline today. Assumedly public preferences on spending may change similarly.</w:t>
      </w:r>
    </w:p>
    <w:p w14:paraId="7C37E3D1" w14:textId="77777777" w:rsidR="00D22CE3" w:rsidRPr="00F10391" w:rsidRDefault="00D22CE3">
      <w:r w:rsidRPr="00F10391">
        <w:t xml:space="preserve">The explicit approach using cost-effectiveness analysis to direct which services to provide by Medicare in Oregon in the 1990s was initially deemed unworkable, as it prioritised seemingly inconsequential interventions such as tooth capping over the treatment of emergent cases of appendicitis </w:t>
      </w:r>
      <w:r w:rsidRPr="00F10391">
        <w:fldChar w:fldCharType="begin"/>
      </w:r>
      <w:r w:rsidR="00700267">
        <w:instrText xml:space="preserve"> ADDIN EN.CITE &lt;EndNote&gt;&lt;Cite&gt;&lt;Author&gt;Blumstein&lt;/Author&gt;&lt;Year&gt;1997&lt;/Year&gt;&lt;RecNum&gt;14&lt;/RecNum&gt;&lt;DisplayText&gt;[70]&lt;/DisplayText&gt;&lt;record&gt;&lt;rec-number&gt;14&lt;/rec-number&gt;&lt;foreign-keys&gt;&lt;key app="EN" db-id="sz9092dv2s5fpze9wpgx0zxgv5ar00aezrvf" timestamp="0"&gt;14&lt;/key&gt;&lt;/foreign-keys&gt;&lt;ref-type name="Journal Article"&gt;17&lt;/ref-type&gt;&lt;contributors&gt;&lt;authors&gt;&lt;author&gt;Blumstein, James F&lt;/author&gt;&lt;/authors&gt;&lt;/contributors&gt;&lt;titles&gt;&lt;title&gt;The Oregon experiment: the role of cost-benefit analysis in the allocation of Medicaid funds&lt;/title&gt;&lt;secondary-title&gt;Social science &amp;amp; medicine&lt;/secondary-title&gt;&lt;/titles&gt;&lt;periodical&gt;&lt;full-title&gt;Social science &amp;amp; medicine&lt;/full-title&gt;&lt;/periodical&gt;&lt;pages&gt;545-554&lt;/pages&gt;&lt;volume&gt;45&lt;/volume&gt;&lt;number&gt;4&lt;/number&gt;&lt;dates&gt;&lt;year&gt;1997&lt;/year&gt;&lt;/dates&gt;&lt;isbn&gt;0277-9536&lt;/isbn&gt;&lt;urls&gt;&lt;related-urls&gt;&lt;url&gt;http://www.sciencedirect.com/science/article/pii/S0277953696003954&lt;/url&gt;&lt;/related-urls&gt;&lt;/urls&gt;&lt;/record&gt;&lt;/Cite&gt;&lt;/EndNote&gt;</w:instrText>
      </w:r>
      <w:r w:rsidRPr="00F10391">
        <w:fldChar w:fldCharType="separate"/>
      </w:r>
      <w:r w:rsidR="00700267">
        <w:rPr>
          <w:noProof/>
        </w:rPr>
        <w:t>[70]</w:t>
      </w:r>
      <w:r w:rsidRPr="00F10391">
        <w:fldChar w:fldCharType="end"/>
      </w:r>
      <w:r w:rsidRPr="00F10391">
        <w:t xml:space="preserve">. Eventually the analytical findings were ignored and the Health Services Commission had to move the orderings ‘by hand’ in order to arrive at a listing that better reflected the ‘common sense’ expected by the public at large. This exercise, while rooted in a US context, raises questions as to whether analytical results are necessarily universally appropriate. </w:t>
      </w:r>
    </w:p>
    <w:p w14:paraId="072BB3C7" w14:textId="77777777" w:rsidR="00D22CE3" w:rsidRPr="00F10391" w:rsidRDefault="00D22CE3">
      <w:r w:rsidRPr="00F10391">
        <w:t xml:space="preserve">Implementing such a positivist (and ultimately utilitarian) approach as CUA may lead to a series of other problems. Firstly, there is no mechanism within them to ensure that groups are systematically not discriminated against. Secondly, there is no guarantee that such an approach would reduce health inequalities in society, and it might well be expected that following these approaches could exacerbate them. </w:t>
      </w:r>
    </w:p>
    <w:p w14:paraId="329C8DAB" w14:textId="77777777" w:rsidR="00D22CE3" w:rsidRPr="00F10391" w:rsidRDefault="00D22CE3">
      <w:r w:rsidRPr="00F10391">
        <w:t xml:space="preserve">If this, and other such issues, are not handled carefully in the long run we might expect that </w:t>
      </w:r>
      <w:r w:rsidRPr="00F10391">
        <w:rPr>
          <w:i/>
        </w:rPr>
        <w:t>what we measure will be what we will get</w:t>
      </w:r>
      <w:r w:rsidRPr="00F10391">
        <w:t xml:space="preserve">. This could also potentially lead to an overly </w:t>
      </w:r>
      <w:r w:rsidRPr="00F10391">
        <w:lastRenderedPageBreak/>
        <w:t>prescriptive decision model that ignores problem-specific complexities (as indeed could an overly-quantitative MCDA approach), if not tempered by deliberation.</w:t>
      </w:r>
    </w:p>
    <w:p w14:paraId="3AF3B1B0" w14:textId="05585542" w:rsidR="00D22CE3" w:rsidRPr="00F10391" w:rsidRDefault="00D22CE3">
      <w:r w:rsidRPr="00F10391">
        <w:t xml:space="preserve">Of course, the decision to use QALYs as the base metric of health – composed of quality and length of life, in equal measure and excluding all other factors – is in itself a value </w:t>
      </w:r>
      <w:r w:rsidR="001B7ADD">
        <w:t>judgment</w:t>
      </w:r>
      <w:r w:rsidRPr="00F10391">
        <w:t>. It would be plausible to consider that the extension of life should be of higher importance, regardless of quality of life, or vice versa. Others may argue that making large numbers of small improvements in health to large numbers of people should not necessarily be of equal significance as saving the lives of a smaller number of people (as was the case for stakeholders in Chapter 7).  It is important that we recognise that the current system is built upon such subjective assumptions, like any other. EQ-5D valuations are carefully collected based upon national surveys of public preferences, but other assumptions have not necessarily been subject to similar studies. There may be an appropriate time in the future at which to consider whether or not all of these are necessarily fair or repr</w:t>
      </w:r>
      <w:bookmarkStart w:id="475" w:name="_Toc304640232"/>
      <w:r w:rsidRPr="00F10391">
        <w:t xml:space="preserve">esent the views of the public. </w:t>
      </w:r>
    </w:p>
    <w:bookmarkEnd w:id="475"/>
    <w:p w14:paraId="31F47B3D" w14:textId="77777777" w:rsidR="00D22CE3" w:rsidRPr="00F10391" w:rsidRDefault="00D22CE3"/>
    <w:p w14:paraId="0B28A5E2" w14:textId="77777777" w:rsidR="00D22CE3" w:rsidRPr="00F10391" w:rsidRDefault="00D22CE3">
      <w:pPr>
        <w:pStyle w:val="Heading2"/>
      </w:pPr>
      <w:bookmarkStart w:id="476" w:name="_Toc313523546"/>
      <w:bookmarkStart w:id="477" w:name="_Toc453235418"/>
      <w:bookmarkStart w:id="478" w:name="_Toc453595491"/>
      <w:bookmarkStart w:id="479" w:name="_Toc476241588"/>
      <w:bookmarkStart w:id="480" w:name="_Toc304640243"/>
      <w:bookmarkStart w:id="481" w:name="_Toc441508980"/>
      <w:r w:rsidRPr="00F10391">
        <w:t>4.4</w:t>
      </w:r>
      <w:r w:rsidRPr="00F10391">
        <w:tab/>
      </w:r>
      <w:r w:rsidRPr="00F10391">
        <w:tab/>
        <w:t>Conclusions</w:t>
      </w:r>
      <w:bookmarkEnd w:id="476"/>
      <w:bookmarkEnd w:id="477"/>
      <w:bookmarkEnd w:id="478"/>
      <w:bookmarkEnd w:id="479"/>
      <w:r w:rsidRPr="00F10391">
        <w:t xml:space="preserve"> </w:t>
      </w:r>
      <w:bookmarkEnd w:id="480"/>
      <w:bookmarkEnd w:id="481"/>
    </w:p>
    <w:p w14:paraId="317096F6" w14:textId="77777777" w:rsidR="00D22CE3" w:rsidRPr="00F10391" w:rsidRDefault="00D22CE3"/>
    <w:p w14:paraId="475C1643" w14:textId="77777777" w:rsidR="00D22CE3" w:rsidRPr="00F10391" w:rsidRDefault="00D22CE3">
      <w:r w:rsidRPr="00F10391">
        <w:t>This chapter has described the decision processes used in NICE, including the role of other factors outside of the cost-effectiveness of interventions. Such decisions are particularly complex and riddled with ambiguities and potential contradictions. There may be a role for MCDA techniques (or even MCDA-inspired steps) to address at least some of these, though it is imperative such approaches are only applied gradually in suitable settings and, where necessary, piloted or otherwise monitored to ensure that it is being used appropriately.</w:t>
      </w:r>
    </w:p>
    <w:p w14:paraId="32CED957" w14:textId="77777777" w:rsidR="00D22CE3" w:rsidRPr="00F10391" w:rsidRDefault="00D22CE3">
      <w:r w:rsidRPr="00F10391">
        <w:t xml:space="preserve">The approach used in this chapter had benefits and disadvantages. It took a pragmatic approach and </w:t>
      </w:r>
      <w:r w:rsidRPr="00F10391">
        <w:rPr>
          <w:lang w:eastAsia="en-US"/>
        </w:rPr>
        <w:t>b</w:t>
      </w:r>
      <w:r w:rsidRPr="00F10391">
        <w:t>rought together methods manuals (especially relating to the changing reference cases since CPH foundation) and other relevant NICE decision-making reports, with broader relevant literature from health economics, priority setting, MCDA and behavioural economics. The approach was very much influenced by my experience in NICE and conversations with colleagues there on relevant reports and issues.</w:t>
      </w:r>
    </w:p>
    <w:p w14:paraId="44749FA5" w14:textId="77777777" w:rsidR="00D22CE3" w:rsidRPr="00F10391" w:rsidRDefault="00D22CE3">
      <w:r w:rsidRPr="00F10391">
        <w:t xml:space="preserve">Nonetheless, if I was to go about this process again, a more systematic approach would in hindsight clearly have been preferable. Before beginning the secondment, it was difficult to know which research paths to follow without first being immersed in the NICE setting, leading to something of a Catch-22. A more structured soft OR technique, or a grounded theory approach would therefore probably have been preferable to this approach, which attempted to identify relevant uses of MCDA through a less organised process of osmosis. This said, no research project is perfect and the depth of understanding of NICE processes would not have been possible without the secondment. This influenced not only this chapter but ultimately decided the questions addressed in all subsequent chapters as well. </w:t>
      </w:r>
    </w:p>
    <w:p w14:paraId="491D49E4" w14:textId="77777777" w:rsidR="00D22CE3" w:rsidRPr="00F10391" w:rsidRDefault="00D22CE3">
      <w:r w:rsidRPr="00F10391">
        <w:t xml:space="preserve">As public health changes in the ‘new world’, the appropriate level at which to make different types of decision should potentially be reconsidered. Just as an intervention might only be cost-effective at the level of a sub-population (including theoretically at the level of an </w:t>
      </w:r>
      <w:r w:rsidRPr="00F10391">
        <w:lastRenderedPageBreak/>
        <w:t xml:space="preserve">individual), approaches that seem cost-effective on a national level may not be cost-effective in certain communities, or may only be cost-effective if certain populations exist. As such, a one-size-fits-all approach will not always lead to an appropriate use of resources. If local authorities do not have the resources required to appraise such issues themselves, NICE may will have to make moves to address this vacuum in future. </w:t>
      </w:r>
    </w:p>
    <w:p w14:paraId="03A89E93" w14:textId="77777777" w:rsidR="00D22CE3" w:rsidRPr="00F10391" w:rsidRDefault="00D22CE3">
      <w:r w:rsidRPr="00F10391">
        <w:t xml:space="preserve">Muddling through, too, will likely always remain part of what NICE does, at the deliberations stage and elsewhere. Overly prescriptive structures can easily become strictures on decision-makers. Because of the role of values in health care decision-making, “the highest aspiration for analysis can only be to provide a basis for thoughtful and informed moral choices” </w:t>
      </w:r>
      <w:r w:rsidRPr="00F10391">
        <w:fldChar w:fldCharType="begin"/>
      </w:r>
      <w:r w:rsidR="00700267">
        <w:instrText xml:space="preserve"> ADDIN EN.CITE &lt;EndNote&gt;&lt;Cite&gt;&lt;Author&gt;Airoldi&lt;/Author&gt;&lt;Year&gt;2011&lt;/Year&gt;&lt;RecNum&gt;3&lt;/RecNum&gt;&lt;DisplayText&gt;[68]&lt;/DisplayText&gt;&lt;record&gt;&lt;rec-number&gt;3&lt;/rec-number&gt;&lt;foreign-keys&gt;&lt;key app="EN" db-id="sz9092dv2s5fpze9wpgx0zxgv5ar00aezrvf" timestamp="0"&gt;3&lt;/key&gt;&lt;/foreign-keys&gt;&lt;ref-type name="Journal Article"&gt;17&lt;/ref-type&gt;&lt;contributors&gt;&lt;authors&gt;&lt;author&gt;Airoldi, M&lt;/author&gt;&lt;author&gt;Morton, A&lt;/author&gt;&lt;author&gt;Smith, J&lt;/author&gt;&lt;author&gt;Bevan, G&lt;/author&gt;&lt;/authors&gt;&lt;/contributors&gt;&lt;titles&gt;&lt;title&gt;Healthcare prioritisation at the local level: a socio-technical approach&lt;/title&gt;&lt;secondary-title&gt;Priority-setting for Population Health Working Paper Series, Working Paper&lt;/secondary-title&gt;&lt;/titles&gt;&lt;number&gt;7&lt;/number&gt;&lt;dates&gt;&lt;year&gt;2011&lt;/year&gt;&lt;/dates&gt;&lt;urls&gt;&lt;/urls&gt;&lt;/record&gt;&lt;/Cite&gt;&lt;/EndNote&gt;</w:instrText>
      </w:r>
      <w:r w:rsidRPr="00F10391">
        <w:fldChar w:fldCharType="separate"/>
      </w:r>
      <w:r w:rsidR="00700267">
        <w:rPr>
          <w:noProof/>
        </w:rPr>
        <w:t>[68]</w:t>
      </w:r>
      <w:r w:rsidRPr="00F10391">
        <w:fldChar w:fldCharType="end"/>
      </w:r>
      <w:r w:rsidRPr="00F10391">
        <w:t xml:space="preserve">. With decisions of such magnitude, it is also perfectly appropriate to proceed with any planned changes incrementally. </w:t>
      </w:r>
    </w:p>
    <w:p w14:paraId="76D832B5" w14:textId="75849BA5" w:rsidR="00D22CE3" w:rsidRPr="00F10391" w:rsidRDefault="00D22CE3">
      <w:r w:rsidRPr="00F10391">
        <w:t xml:space="preserve">This chapter has given an overview of NICE decision-making processes, actors and challenges. It related to the </w:t>
      </w:r>
      <w:r w:rsidR="00C4401A">
        <w:t>‘</w:t>
      </w:r>
      <w:r w:rsidR="001C2F16">
        <w:t>Ho</w:t>
      </w:r>
      <w:r w:rsidRPr="00F10391">
        <w:t>w are decisions made in the CPH, according to its reference case and in practice?</w:t>
      </w:r>
      <w:r w:rsidR="00C4401A">
        <w:t>’</w:t>
      </w:r>
      <w:r w:rsidRPr="00F10391">
        <w:t xml:space="preserve"> research question. Understanding such issues is critical to pairing appropriate MCDA approaches for a given intervention, in order to ensure their ‘acceptability’. But </w:t>
      </w:r>
      <w:r w:rsidR="00F10391" w:rsidRPr="00F10391">
        <w:t>it</w:t>
      </w:r>
      <w:r w:rsidRPr="00F10391">
        <w:t xml:space="preserve"> is difficult to draw firm conclusions as to which special factors have been incorporated into decision-making for guidance on any specific topic as no single stage formally incorporates these, aside from the economic modelling stage (which itself is barred from explicitly incorporating equity concerns). A review of all economic modelling reports carried out up until the end of 2014 in the CPH is described in the next chapter, indicating that non-health factors regularly influence the guidance process already. It will also explore the potential role for MCDA in addressing the issues raised, including those discussed over this chapter.</w:t>
      </w:r>
    </w:p>
    <w:p w14:paraId="5F1E4AA1" w14:textId="77777777" w:rsidR="00D22CE3" w:rsidRPr="00F10391" w:rsidRDefault="00D22CE3" w:rsidP="0063065F">
      <w:r w:rsidRPr="00F10391">
        <w:br w:type="page"/>
      </w:r>
    </w:p>
    <w:p w14:paraId="2821EC83" w14:textId="0761CEAC" w:rsidR="00D22CE3" w:rsidRPr="00F10391" w:rsidRDefault="00D22CE3" w:rsidP="00494A9A">
      <w:pPr>
        <w:pStyle w:val="Heading1"/>
        <w:rPr>
          <w:lang w:eastAsia="en-IE"/>
        </w:rPr>
      </w:pPr>
      <w:bookmarkStart w:id="482" w:name="_Toc441508981"/>
      <w:bookmarkStart w:id="483" w:name="_Toc304640260"/>
      <w:bookmarkStart w:id="484" w:name="_Toc283984170"/>
      <w:bookmarkStart w:id="485" w:name="_Toc453235419"/>
      <w:bookmarkStart w:id="486" w:name="_Toc453595492"/>
      <w:bookmarkStart w:id="487" w:name="_Toc476241589"/>
      <w:r w:rsidRPr="00F10391">
        <w:lastRenderedPageBreak/>
        <w:t xml:space="preserve">: </w:t>
      </w:r>
      <w:r w:rsidR="00F476AF">
        <w:tab/>
      </w:r>
      <w:r w:rsidRPr="00F10391">
        <w:t>A review of public health economic modelling in NICE</w:t>
      </w:r>
      <w:bookmarkEnd w:id="482"/>
      <w:bookmarkEnd w:id="483"/>
      <w:bookmarkEnd w:id="484"/>
      <w:bookmarkEnd w:id="485"/>
      <w:bookmarkEnd w:id="486"/>
      <w:bookmarkEnd w:id="487"/>
    </w:p>
    <w:p w14:paraId="387B3841" w14:textId="77777777" w:rsidR="00D22CE3" w:rsidRPr="00F10391" w:rsidRDefault="00D22CE3" w:rsidP="00494A9A">
      <w:pPr>
        <w:rPr>
          <w:lang w:eastAsia="en-IE"/>
        </w:rPr>
      </w:pPr>
    </w:p>
    <w:p w14:paraId="6A29E735" w14:textId="77777777" w:rsidR="00D22CE3" w:rsidRPr="00F10391" w:rsidRDefault="00D22CE3" w:rsidP="00490B5D">
      <w:pPr>
        <w:pStyle w:val="Numberedheading2"/>
      </w:pPr>
      <w:bookmarkStart w:id="488" w:name="_Toc441508982"/>
      <w:bookmarkStart w:id="489" w:name="_Toc304640261"/>
      <w:bookmarkStart w:id="490" w:name="_Toc283984171"/>
      <w:bookmarkStart w:id="491" w:name="_Toc453235420"/>
      <w:bookmarkStart w:id="492" w:name="_Toc453595493"/>
      <w:bookmarkStart w:id="493" w:name="_Toc476241590"/>
      <w:r w:rsidRPr="00F10391">
        <w:t xml:space="preserve">5.1 </w:t>
      </w:r>
      <w:r w:rsidRPr="00F10391">
        <w:tab/>
      </w:r>
      <w:r w:rsidRPr="00F10391">
        <w:tab/>
        <w:t>Background</w:t>
      </w:r>
      <w:bookmarkEnd w:id="488"/>
      <w:bookmarkEnd w:id="489"/>
      <w:bookmarkEnd w:id="490"/>
      <w:bookmarkEnd w:id="491"/>
      <w:bookmarkEnd w:id="492"/>
      <w:bookmarkEnd w:id="493"/>
    </w:p>
    <w:p w14:paraId="6497D509" w14:textId="77777777" w:rsidR="00D22CE3" w:rsidRPr="00F10391" w:rsidRDefault="00D22CE3" w:rsidP="00490B5D"/>
    <w:p w14:paraId="2FD4B2FB" w14:textId="68EB54A4" w:rsidR="00D22CE3" w:rsidRPr="00F10391" w:rsidRDefault="00D22CE3" w:rsidP="006942ED">
      <w:r w:rsidRPr="00F10391">
        <w:t xml:space="preserve">Cost-effectiveness and all other relevant concerns are considered and traded off by the PHAC during their deliberations. But due to its nature it is impossible to know exactly which factors have been considered as part of this. The only sub-process in the CPH in which such factors are explicitly acknowledged and published is that of economic modelling. This chapter presents a review of the economic modelling and analyses carried out in all topics in the CPH from its foundation until the end of 2014. It again relates to the research question of </w:t>
      </w:r>
      <w:r w:rsidR="00C4401A">
        <w:t>‘</w:t>
      </w:r>
      <w:r w:rsidR="001C2F16">
        <w:rPr>
          <w:i/>
        </w:rPr>
        <w:t>H</w:t>
      </w:r>
      <w:r w:rsidRPr="00F10391">
        <w:rPr>
          <w:i/>
        </w:rPr>
        <w:t>ow are decisions made in the CPH, according to its reference case and in practice?</w:t>
      </w:r>
      <w:r w:rsidR="00C4401A">
        <w:t>’</w:t>
      </w:r>
    </w:p>
    <w:p w14:paraId="0DE31291" w14:textId="77777777" w:rsidR="00D22CE3" w:rsidRPr="00F10391" w:rsidRDefault="00D22CE3">
      <w:r w:rsidRPr="00F10391">
        <w:t>This is the final chapter of the problem specification stage of the thesis and shows the sheer variety of techniques, perspectives and concerns that are taken into account in establishing the cost-effectiveness of various approaches as part of the guidance process. These reflect the broad scope of public health settings and the wide range of costs and benefits at a population level outside of health. Each topic is unique, requiring its own criteria, choices as to the most appropriate economic appraisal technique(s) to be used and general flexibility, regardless of the official line specified in the reference case. A wide variety of criteria are used, providing some justification for why we might wish to incorporate formal MCDA techniques into public health decision-making to better formalise CPH decision-making.</w:t>
      </w:r>
    </w:p>
    <w:p w14:paraId="5B4BEDCF" w14:textId="77777777" w:rsidR="00D22CE3" w:rsidRPr="00F10391" w:rsidRDefault="00D22CE3">
      <w:r w:rsidRPr="00F10391">
        <w:t>Equity is not taken into account at this stage and is generally only considered later in the decision process.  If this were considered in a broader modelling stage this could better highlight potential trade-offs and opportunity costs for decision-makers. Given the wide range of competing concerns, MCDA approaches may be useful in future to structure the process and bring together these and other issues cohesively.  The CPH may be gradually moving in this direction, and the potential role for MCDA approaches in deliberation is described in section 5.4.2. This chapter therefore addresses the following research aims:</w:t>
      </w:r>
    </w:p>
    <w:p w14:paraId="0AEF13B1" w14:textId="77777777" w:rsidR="00D22CE3" w:rsidRPr="00F10391" w:rsidRDefault="00D22CE3">
      <w:pPr>
        <w:pStyle w:val="ListParagraph"/>
        <w:numPr>
          <w:ilvl w:val="0"/>
          <w:numId w:val="49"/>
        </w:numPr>
      </w:pPr>
      <w:r w:rsidRPr="00F10391">
        <w:t>Which criteria, perspectives and economic evaluation techniques are used in CPH economic modelling (and therefore feed</w:t>
      </w:r>
      <w:r w:rsidR="004B026D" w:rsidRPr="00F10391">
        <w:t xml:space="preserve"> </w:t>
      </w:r>
      <w:r w:rsidRPr="00F10391">
        <w:t>into broader decision-making)?</w:t>
      </w:r>
    </w:p>
    <w:p w14:paraId="10D31996" w14:textId="77777777" w:rsidR="00D22CE3" w:rsidRPr="00F10391" w:rsidRDefault="00D22CE3">
      <w:pPr>
        <w:pStyle w:val="ListParagraph"/>
        <w:numPr>
          <w:ilvl w:val="0"/>
          <w:numId w:val="49"/>
        </w:numPr>
      </w:pPr>
      <w:r w:rsidRPr="00F10391">
        <w:t>How might MCDA approaches contribute to the decision-making process in the CPH in future?</w:t>
      </w:r>
    </w:p>
    <w:p w14:paraId="0D895062" w14:textId="77777777" w:rsidR="00D22CE3" w:rsidRPr="00F10391" w:rsidRDefault="00D22CE3"/>
    <w:p w14:paraId="67DD7E9D" w14:textId="77777777" w:rsidR="00D22CE3" w:rsidRPr="00F10391" w:rsidRDefault="00D22CE3">
      <w:pPr>
        <w:pStyle w:val="Heading3"/>
        <w:numPr>
          <w:ilvl w:val="2"/>
          <w:numId w:val="37"/>
        </w:numPr>
      </w:pPr>
      <w:bookmarkStart w:id="494" w:name="_Toc441508983"/>
      <w:bookmarkStart w:id="495" w:name="_Toc304640262"/>
      <w:bookmarkStart w:id="496" w:name="_Toc283984172"/>
      <w:bookmarkStart w:id="497" w:name="_Toc453235421"/>
      <w:bookmarkStart w:id="498" w:name="_Toc453595494"/>
      <w:bookmarkStart w:id="499" w:name="_Toc476241591"/>
      <w:r w:rsidRPr="00F10391">
        <w:t>5.1.1</w:t>
      </w:r>
      <w:r w:rsidRPr="00F10391">
        <w:tab/>
      </w:r>
      <w:r w:rsidRPr="00F10391">
        <w:tab/>
        <w:t>When is modelling required?</w:t>
      </w:r>
      <w:bookmarkEnd w:id="494"/>
      <w:bookmarkEnd w:id="495"/>
      <w:bookmarkEnd w:id="496"/>
      <w:bookmarkEnd w:id="497"/>
      <w:bookmarkEnd w:id="498"/>
      <w:bookmarkEnd w:id="499"/>
    </w:p>
    <w:p w14:paraId="374F4406" w14:textId="77777777" w:rsidR="00D22CE3" w:rsidRPr="00F10391" w:rsidRDefault="00D22CE3">
      <w:r w:rsidRPr="00F10391">
        <w:t xml:space="preserve">The approaches used for economic evaluation in the CPH, as elsewhere in NICE, compare the costs of interventions under consideration with their expected benefits, making explicit how effectively they meet the aims of the health service and broader society. Over the long term, this should reduce the potential for inconsistent prioritisation and the opportunity costs associated with this, and lead to the “conscientious, explicit and judicious use of current best </w:t>
      </w:r>
      <w:r w:rsidRPr="00F10391">
        <w:lastRenderedPageBreak/>
        <w:t xml:space="preserve">evidence in making decisions about the care of individual patients” </w:t>
      </w:r>
      <w:r w:rsidRPr="00F10391">
        <w:fldChar w:fldCharType="begin"/>
      </w:r>
      <w:r w:rsidR="00700267">
        <w:instrText xml:space="preserve"> ADDIN EN.CITE &lt;EndNote&gt;&lt;Cite&gt;&lt;Author&gt;Sackett&lt;/Author&gt;&lt;Year&gt;1996&lt;/Year&gt;&lt;RecNum&gt;127&lt;/RecNum&gt;&lt;DisplayText&gt;[263]&lt;/DisplayText&gt;&lt;record&gt;&lt;rec-number&gt;127&lt;/rec-number&gt;&lt;foreign-keys&gt;&lt;key app="EN" db-id="sz9092dv2s5fpze9wpgx0zxgv5ar00aezrvf" timestamp="0"&gt;127&lt;/key&gt;&lt;/foreign-keys&gt;&lt;ref-type name="Journal Article"&gt;17&lt;/ref-type&gt;&lt;contributors&gt;&lt;authors&gt;&lt;author&gt;Sackett, David L&lt;/author&gt;&lt;author&gt;Rosenberg, William&lt;/author&gt;&lt;author&gt;Gray, JA&lt;/author&gt;&lt;author&gt;Haynes, R Brian&lt;/author&gt;&lt;author&gt;Richardson, W Scott&lt;/author&gt;&lt;/authors&gt;&lt;/contributors&gt;&lt;titles&gt;&lt;title&gt;Evidence based medicine: what it is and what it isn&amp;apos;t&lt;/title&gt;&lt;secondary-title&gt;Bmj&lt;/secondary-title&gt;&lt;/titles&gt;&lt;pages&gt;71-72&lt;/pages&gt;&lt;volume&gt;312&lt;/volume&gt;&lt;number&gt;7023&lt;/number&gt;&lt;dates&gt;&lt;year&gt;1996&lt;/year&gt;&lt;/dates&gt;&lt;isbn&gt;0959-8138&lt;/isbn&gt;&lt;urls&gt;&lt;related-urls&gt;&lt;url&gt;http://www.ncbi.nlm.nih.gov/pmc/articles/PMC2349778/pdf/bmj00524-0009.pdf&lt;/url&gt;&lt;/related-urls&gt;&lt;/urls&gt;&lt;/record&gt;&lt;/Cite&gt;&lt;/EndNote&gt;</w:instrText>
      </w:r>
      <w:r w:rsidRPr="00F10391">
        <w:fldChar w:fldCharType="separate"/>
      </w:r>
      <w:r w:rsidR="00700267">
        <w:rPr>
          <w:noProof/>
        </w:rPr>
        <w:t>[263]</w:t>
      </w:r>
      <w:r w:rsidRPr="00F10391">
        <w:fldChar w:fldCharType="end"/>
      </w:r>
      <w:r w:rsidR="004B4F84">
        <w:t xml:space="preserve"> (p.71)</w:t>
      </w:r>
      <w:r w:rsidRPr="00F10391">
        <w:t>. Evidence of the effectiveness of certain interventions is not always available and it is not always possible in practice to capture the full range of non-health population impacts into the model, and potentially hence into the broader decision process. This chapter attempts to provide a review of the criteria used in public health economic modelling, which informs the final decision-makers in each topic under consideration.</w:t>
      </w:r>
    </w:p>
    <w:p w14:paraId="76F15EBC" w14:textId="2CBE1509" w:rsidR="00D22CE3" w:rsidRPr="00F10391" w:rsidRDefault="00D22CE3">
      <w:r w:rsidRPr="00F10391">
        <w:t xml:space="preserve">As previously explained, the available evidence in public health tends to be from a broader range of settings and hence is often shallower than in pharmacoeconomic studies, at least in terms of the hierarchy of evidence. These hierarchies are not even necessarily appropriate in these settings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The length of the causal chains in public health interventions requires assumptions and </w:t>
      </w:r>
      <w:r w:rsidR="001B7ADD">
        <w:t>judgment</w:t>
      </w:r>
      <w:r w:rsidRPr="00F10391">
        <w:t xml:space="preserve">s to be used, which must be tested through modelling and deliberation as the “principle of the accumulation of results of trials does not sit well with model and theory based sciences”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004B4F84">
        <w:t xml:space="preserve"> (p.1060)</w:t>
      </w:r>
      <w:r w:rsidRPr="00F10391">
        <w:t>.</w:t>
      </w:r>
    </w:p>
    <w:p w14:paraId="24CC5A38" w14:textId="74AE93FA" w:rsidR="00D22CE3" w:rsidRPr="00F10391" w:rsidRDefault="00D22CE3">
      <w:r w:rsidRPr="00F10391">
        <w:t xml:space="preserve">Similarly, expert </w:t>
      </w:r>
      <w:r w:rsidR="001B7ADD">
        <w:t>judgment</w:t>
      </w:r>
      <w:r w:rsidRPr="00F10391">
        <w:t>, deliberation and experience remain vital to decision-making within the CPH. There is wide variation in this – the initial evidence review carried out for a topic may find overwhelming evidence of effectiveness or cost-effectiveness, or in other cases effectively no such evidence. Economic modelling is only used in the area in between these extremes to better inform decision-makers, where further insight is required to interpret the evidence available. Where it is already clear in advance that the intervention would be cost saving or where it is obvious the costs are relatively small compared to the expected health gains,</w:t>
      </w:r>
      <w:r w:rsidRPr="00F10391">
        <w:rPr>
          <w:b/>
        </w:rPr>
        <w:t xml:space="preserve"> </w:t>
      </w:r>
      <w:r w:rsidRPr="00F10391">
        <w:t xml:space="preserve">modelling is not necessary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w:t>
      </w:r>
    </w:p>
    <w:p w14:paraId="4EADDD00" w14:textId="77777777" w:rsidR="00D22CE3" w:rsidRPr="00F10391" w:rsidRDefault="00D22CE3"/>
    <w:p w14:paraId="7F042DDA" w14:textId="77777777" w:rsidR="00D22CE3" w:rsidRPr="00F10391" w:rsidRDefault="00D22CE3">
      <w:pPr>
        <w:pStyle w:val="Heading3"/>
        <w:numPr>
          <w:ilvl w:val="2"/>
          <w:numId w:val="37"/>
        </w:numPr>
      </w:pPr>
      <w:bookmarkStart w:id="500" w:name="_Toc441508984"/>
      <w:bookmarkStart w:id="501" w:name="_Toc304640263"/>
      <w:bookmarkStart w:id="502" w:name="_Toc283984173"/>
      <w:bookmarkStart w:id="503" w:name="_Toc453235422"/>
      <w:bookmarkStart w:id="504" w:name="_Toc453595495"/>
      <w:bookmarkStart w:id="505" w:name="_Toc476241592"/>
      <w:r w:rsidRPr="00F10391">
        <w:t>5.1.2</w:t>
      </w:r>
      <w:r w:rsidRPr="00F10391">
        <w:tab/>
      </w:r>
      <w:r w:rsidRPr="00F10391">
        <w:tab/>
        <w:t>How is modelling used?</w:t>
      </w:r>
      <w:bookmarkEnd w:id="500"/>
      <w:bookmarkEnd w:id="501"/>
      <w:bookmarkEnd w:id="502"/>
      <w:bookmarkEnd w:id="503"/>
      <w:bookmarkEnd w:id="504"/>
      <w:bookmarkEnd w:id="505"/>
    </w:p>
    <w:p w14:paraId="5E5FF0C4" w14:textId="77777777" w:rsidR="00D22CE3" w:rsidRPr="00F10391" w:rsidRDefault="00D22CE3">
      <w:r w:rsidRPr="00F10391">
        <w:t xml:space="preserve">Interpreting and deciding which evidence is most important to the model requires a pragmatic approach, utilising simplifying assumptions. As a result, any model can only offer an approximation.  The model makes explicit the logical implications of the data available, making it easier for decision-makers to draw rational conclusions.  In many cases ballpark figures will provide a strong indication of whether or not the intervention is likely to prove cost-effective. Many interventions in public health are extremely so; various interventions investigated to reduce tobacco consumption were shown to be cost saving or have ICERs of under £1000, well below any conceivable NICE threshold </w:t>
      </w:r>
      <w:r w:rsidRPr="00F10391">
        <w:fldChar w:fldCharType="begin"/>
      </w:r>
      <w:r w:rsidR="00700267">
        <w:instrText xml:space="preserve"> ADDIN EN.CITE &lt;EndNote&gt;&lt;Cite&gt;&lt;Author&gt;Owen&lt;/Author&gt;&lt;Year&gt;2012&lt;/Year&gt;&lt;RecNum&gt;109&lt;/RecNum&gt;&lt;DisplayText&gt;[264]&lt;/DisplayText&gt;&lt;record&gt;&lt;rec-number&gt;109&lt;/rec-number&gt;&lt;foreign-keys&gt;&lt;key app="EN" db-id="sz9092dv2s5fpze9wpgx0zxgv5ar00aezrvf" timestamp="0"&gt;109&lt;/key&gt;&lt;/foreign-keys&gt;&lt;ref-type name="Journal Article"&gt;17&lt;/ref-type&gt;&lt;contributors&gt;&lt;authors&gt;&lt;author&gt;Owen, Lesley&lt;/author&gt;&lt;author&gt;Morgan, Antony&lt;/author&gt;&lt;author&gt;Fischer, Alastair&lt;/author&gt;&lt;author&gt;Ellis, Simon&lt;/author&gt;&lt;author&gt;Hoy, Andrew&lt;/author&gt;&lt;author&gt;Kelly, Michael P&lt;/author&gt;&lt;/authors&gt;&lt;/contributors&gt;&lt;titles&gt;&lt;title&gt;The cost-effectiveness of public health interventions&lt;/title&gt;&lt;secondary-title&gt;Journal of Public Health&lt;/secondary-title&gt;&lt;/titles&gt;&lt;periodical&gt;&lt;full-title&gt;Journal of public health&lt;/full-title&gt;&lt;/periodical&gt;&lt;pages&gt;37-45&lt;/pages&gt;&lt;volume&gt;34&lt;/volume&gt;&lt;number&gt;1&lt;/number&gt;&lt;dates&gt;&lt;year&gt;2012&lt;/year&gt;&lt;/dates&gt;&lt;isbn&gt;1741-3842&lt;/isbn&gt;&lt;urls&gt;&lt;related-urls&gt;&lt;url&gt;http://jpubhealth.oxfordjournals.org/content/34/1/37.full.pdf&lt;/url&gt;&lt;/related-urls&gt;&lt;/urls&gt;&lt;/record&gt;&lt;/Cite&gt;&lt;/EndNote&gt;</w:instrText>
      </w:r>
      <w:r w:rsidRPr="00F10391">
        <w:fldChar w:fldCharType="separate"/>
      </w:r>
      <w:r w:rsidR="00700267">
        <w:rPr>
          <w:noProof/>
        </w:rPr>
        <w:t>[264]</w:t>
      </w:r>
      <w:r w:rsidRPr="00F10391">
        <w:fldChar w:fldCharType="end"/>
      </w:r>
      <w:r w:rsidRPr="00F10391">
        <w:t xml:space="preserve">. Probabilistic and sensitivity analyses can be used to further indicate the robustness of a model’s conclusions. </w:t>
      </w:r>
    </w:p>
    <w:p w14:paraId="21A470B0" w14:textId="2015E9AC" w:rsidR="00D22CE3" w:rsidRPr="00F10391" w:rsidRDefault="00D22CE3">
      <w:r w:rsidRPr="00F10391">
        <w:t xml:space="preserve">These assumptions and decisions are an inevitable part of the process and “economic modelling requires </w:t>
      </w:r>
      <w:r w:rsidR="001B7ADD">
        <w:t>judgment</w:t>
      </w:r>
      <w:r w:rsidRPr="00F10391">
        <w:t xml:space="preserve">s to be made by both modellers and decision-makers”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004E2EC1">
        <w:t xml:space="preserve"> (p.347)</w:t>
      </w:r>
      <w:r w:rsidRPr="00F10391">
        <w:t xml:space="preserve">. There are several stages to this process. NICE usually tenders the evidence review and modelling processes to experts in academia, but CPH staff liaise throughout to ensure that the methods used are in line with NICE’s requirements. As with any model, it should be requisite – parsimonious but good enough to do the job </w:t>
      </w:r>
      <w:r w:rsidRPr="00F10391">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w:t>
      </w:r>
      <w:r w:rsidRPr="00F10391">
        <w:fldChar w:fldCharType="end"/>
      </w:r>
      <w:r w:rsidRPr="00F10391">
        <w:t xml:space="preserve"> – requiring appropriate balancing between the aims, costs and effects of the interventions under review, and at times prioritisation between which interventions are relevant to begin with. The study into </w:t>
      </w:r>
      <w:r w:rsidRPr="00F10391">
        <w:rPr>
          <w:i/>
        </w:rPr>
        <w:t>Workplace interventions to promote smoking cessation</w:t>
      </w:r>
      <w:r w:rsidRPr="00F10391">
        <w:t xml:space="preserve"> (PH5) </w:t>
      </w:r>
      <w:r w:rsidRPr="00F10391">
        <w:fldChar w:fldCharType="begin"/>
      </w:r>
      <w:r w:rsidR="00700267">
        <w:instrText xml:space="preserve"> ADDIN EN.CITE &lt;EndNote&gt;&lt;Cite&gt;&lt;Author&gt;NICE&lt;/Author&gt;&lt;Year&gt;2007&lt;/Year&gt;&lt;RecNum&gt;203&lt;/RecNum&gt;&lt;DisplayText&gt;[265]&lt;/DisplayText&gt;&lt;record&gt;&lt;rec-number&gt;203&lt;/rec-number&gt;&lt;foreign-keys&gt;&lt;key app="EN" db-id="sz9092dv2s5fpze9wpgx0zxgv5ar00aezrvf" timestamp="0"&gt;203&lt;/key&gt;&lt;/foreign-keys&gt;&lt;ref-type name="Report"&gt;27&lt;/ref-type&gt;&lt;contributors&gt;&lt;authors&gt;&lt;author&gt;NICE&lt;/author&gt;&lt;/authors&gt;&lt;/contributors&gt;&lt;titles&gt;&lt;title&gt;Workplace interventions to promote smoking cessation&lt;/title&gt;&lt;secondary-title&gt;PH5&lt;/secondary-title&gt;&lt;/titles&gt;&lt;dates&gt;&lt;year&gt;2007&lt;/year&gt;&lt;/dates&gt;&lt;pub-location&gt;London&lt;/pub-location&gt;&lt;publisher&gt;National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[265]</w:t>
      </w:r>
      <w:r w:rsidRPr="00F10391">
        <w:fldChar w:fldCharType="end"/>
      </w:r>
      <w:r w:rsidRPr="00F10391">
        <w:t xml:space="preserve">, for example, was initially also intended to investigate mass media interventions, but the evidence review found no relevant </w:t>
      </w:r>
      <w:r w:rsidRPr="00F10391">
        <w:lastRenderedPageBreak/>
        <w:t xml:space="preserve">evidence of effect; it was therefore not pursued further in the modelling stage. The 2012 CPH methods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states that modellers must ensure that:</w:t>
      </w:r>
    </w:p>
    <w:p w14:paraId="3C83CF7A" w14:textId="77777777" w:rsidR="00D22CE3" w:rsidRPr="00F10391" w:rsidRDefault="00D22CE3">
      <w:pPr>
        <w:pStyle w:val="ListParagraph"/>
        <w:numPr>
          <w:ilvl w:val="0"/>
          <w:numId w:val="17"/>
        </w:numPr>
      </w:pPr>
      <w:r w:rsidRPr="00F10391">
        <w:t>the most important questions or intervention areas are selected for economic analysis;</w:t>
      </w:r>
    </w:p>
    <w:p w14:paraId="27BB565C" w14:textId="77777777" w:rsidR="00D22CE3" w:rsidRPr="00F10391" w:rsidRDefault="00D22CE3">
      <w:pPr>
        <w:pStyle w:val="ListParagraph"/>
        <w:numPr>
          <w:ilvl w:val="0"/>
          <w:numId w:val="17"/>
        </w:numPr>
      </w:pPr>
      <w:r w:rsidRPr="00F10391">
        <w:t>the overall modelling approach is appropriate;</w:t>
      </w:r>
    </w:p>
    <w:p w14:paraId="58ECD57F" w14:textId="77777777" w:rsidR="00D22CE3" w:rsidRPr="00F10391" w:rsidRDefault="00D22CE3">
      <w:pPr>
        <w:pStyle w:val="ListParagraph"/>
        <w:numPr>
          <w:ilvl w:val="0"/>
          <w:numId w:val="17"/>
        </w:numPr>
      </w:pPr>
      <w:r w:rsidRPr="00F10391">
        <w:t>important health effects and resource costs are all included;</w:t>
      </w:r>
    </w:p>
    <w:p w14:paraId="10C74D52" w14:textId="77777777" w:rsidR="00D22CE3" w:rsidRPr="00F10391" w:rsidRDefault="00D22CE3">
      <w:pPr>
        <w:pStyle w:val="ListParagraph"/>
        <w:numPr>
          <w:ilvl w:val="0"/>
          <w:numId w:val="17"/>
        </w:numPr>
      </w:pPr>
      <w:r w:rsidRPr="00F10391">
        <w:t>effects and outcomes not related to health are included (if they are material for the sector whose perspective is being used, usually the public sector, local government or the NHS);</w:t>
      </w:r>
    </w:p>
    <w:p w14:paraId="48EDF0A5" w14:textId="77777777" w:rsidR="00D22CE3" w:rsidRPr="00F10391" w:rsidRDefault="00D22CE3">
      <w:pPr>
        <w:pStyle w:val="ListParagraph"/>
        <w:numPr>
          <w:ilvl w:val="0"/>
          <w:numId w:val="17"/>
        </w:numPr>
      </w:pPr>
      <w:r w:rsidRPr="00F10391">
        <w:t>best available effectiveness, epidemiological and resource evidence is used;</w:t>
      </w:r>
    </w:p>
    <w:p w14:paraId="6B35CA12" w14:textId="77777777" w:rsidR="00D22CE3" w:rsidRPr="00F10391" w:rsidRDefault="00D22CE3">
      <w:pPr>
        <w:pStyle w:val="ListParagraph"/>
        <w:numPr>
          <w:ilvl w:val="0"/>
          <w:numId w:val="17"/>
        </w:numPr>
      </w:pPr>
      <w:r w:rsidRPr="00F10391">
        <w:t>model assumptions are plausible;</w:t>
      </w:r>
    </w:p>
    <w:p w14:paraId="09961678" w14:textId="77777777" w:rsidR="00D22CE3" w:rsidRPr="00F10391" w:rsidRDefault="00D22CE3">
      <w:pPr>
        <w:pStyle w:val="ListParagraph"/>
        <w:numPr>
          <w:ilvl w:val="0"/>
          <w:numId w:val="17"/>
        </w:numPr>
      </w:pPr>
      <w:r w:rsidRPr="00F10391">
        <w:t>uncertainties are fully explored and systematically addressed; and</w:t>
      </w:r>
    </w:p>
    <w:p w14:paraId="5DE8ABDE" w14:textId="77777777" w:rsidR="00D22CE3" w:rsidRPr="00F10391" w:rsidRDefault="00D22CE3">
      <w:pPr>
        <w:pStyle w:val="ListParagraph"/>
        <w:numPr>
          <w:ilvl w:val="0"/>
          <w:numId w:val="17"/>
        </w:numPr>
      </w:pPr>
      <w:r w:rsidRPr="00F10391">
        <w:t>results are interpreted appropriately and any limitations are acknowledged.</w:t>
      </w:r>
    </w:p>
    <w:p w14:paraId="42165F48" w14:textId="77777777" w:rsidR="00D22CE3" w:rsidRPr="00F10391" w:rsidRDefault="00D22CE3">
      <w:r w:rsidRPr="00F10391">
        <w:t xml:space="preserve">In some cases, </w:t>
      </w:r>
      <w:r w:rsidRPr="00F10391">
        <w:rPr>
          <w:i/>
        </w:rPr>
        <w:t>de novo</w:t>
      </w:r>
      <w:r w:rsidRPr="00F10391">
        <w:t xml:space="preserve"> models are required, though on many occasions it is possible to base them upon previous work. Because over time the guidance on specific topics is revised, previous models may be recycled, reducing the work required and easing comparisons between conclusions. There is also a limited number of themes explored in practice, and several tobacco related topics, for example, used a similar simulation-based model indicating the probability of acquiring a number of smoking related conditions (or death) as simulated individuals aged (such as PH5 </w:t>
      </w:r>
      <w:r w:rsidRPr="00F10391">
        <w:fldChar w:fldCharType="begin"/>
      </w:r>
      <w:r w:rsidR="00700267">
        <w:instrText xml:space="preserve"> ADDIN EN.CITE &lt;EndNote&gt;&lt;Cite&gt;&lt;Author&gt;NICE&lt;/Author&gt;&lt;Year&gt;2007&lt;/Year&gt;&lt;RecNum&gt;203&lt;/RecNum&gt;&lt;DisplayText&gt;[265]&lt;/DisplayText&gt;&lt;record&gt;&lt;rec-number&gt;203&lt;/rec-number&gt;&lt;foreign-keys&gt;&lt;key app="EN" db-id="sz9092dv2s5fpze9wpgx0zxgv5ar00aezrvf" timestamp="0"&gt;203&lt;/key&gt;&lt;/foreign-keys&gt;&lt;ref-type name="Report"&gt;27&lt;/ref-type&gt;&lt;contributors&gt;&lt;authors&gt;&lt;author&gt;NICE&lt;/author&gt;&lt;/authors&gt;&lt;/contributors&gt;&lt;titles&gt;&lt;title&gt;Workplace interventions to promote smoking cessation&lt;/title&gt;&lt;secondary-title&gt;PH5&lt;/secondary-title&gt;&lt;/titles&gt;&lt;dates&gt;&lt;year&gt;2007&lt;/year&gt;&lt;/dates&gt;&lt;pub-location&gt;London&lt;/pub-location&gt;&lt;publisher&gt;National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[265]</w:t>
      </w:r>
      <w:r w:rsidRPr="00F10391">
        <w:fldChar w:fldCharType="end"/>
      </w:r>
      <w:r w:rsidRPr="00F10391">
        <w:t xml:space="preserve">, PH10 </w:t>
      </w:r>
      <w:r w:rsidRPr="00F10391">
        <w:fldChar w:fldCharType="begin"/>
      </w:r>
      <w:r w:rsidR="00700267">
        <w:instrText xml:space="preserve"> ADDIN EN.CITE &lt;EndNote&gt;&lt;Cite&gt;&lt;Author&gt;NICE&lt;/Author&gt;&lt;Year&gt;2008&lt;/Year&gt;&lt;RecNum&gt;208&lt;/RecNum&gt;&lt;DisplayText&gt;[266]&lt;/DisplayText&gt;&lt;record&gt;&lt;rec-number&gt;208&lt;/rec-number&gt;&lt;foreign-keys&gt;&lt;key app="EN" db-id="sz9092dv2s5fpze9wpgx0zxgv5ar00aezrvf" timestamp="0"&gt;208&lt;/key&gt;&lt;/foreign-keys&gt;&lt;ref-type name="Report"&gt;27&lt;/ref-type&gt;&lt;contributors&gt;&lt;authors&gt;&lt;author&gt;NICE&lt;/author&gt;&lt;/authors&gt;&lt;/contributors&gt;&lt;titles&gt;&lt;title&gt;Smoking cessation services&lt;/title&gt;&lt;secondary-title&gt;PH10&lt;/secondary-title&gt;&lt;/titles&gt;&lt;dates&gt;&lt;year&gt;2008&lt;/year&gt;&lt;/dates&gt;&lt;pub-location&gt;London&lt;/pub-location&gt;&lt;publisher&gt;National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[266]</w:t>
      </w:r>
      <w:r w:rsidRPr="00F10391">
        <w:fldChar w:fldCharType="end"/>
      </w:r>
      <w:r w:rsidRPr="00F10391">
        <w:t xml:space="preserve">, PH14 </w:t>
      </w:r>
      <w:r w:rsidRPr="00F10391">
        <w:fldChar w:fldCharType="begin"/>
      </w:r>
      <w:r w:rsidR="00700267">
        <w:instrText xml:space="preserve"> ADDIN EN.CITE &lt;EndNote&gt;&lt;Cite&gt;&lt;Author&gt;NICE&lt;/Author&gt;&lt;Year&gt;2008&lt;/Year&gt;&lt;RecNum&gt;212&lt;/RecNum&gt;&lt;DisplayText&gt;[267]&lt;/DisplayText&gt;&lt;record&gt;&lt;rec-number&gt;212&lt;/rec-number&gt;&lt;foreign-keys&gt;&lt;key app="EN" db-id="sz9092dv2s5fpze9wpgx0zxgv5ar00aezrvf" timestamp="0"&gt;212&lt;/key&gt;&lt;/foreign-keys&gt;&lt;ref-type name="Report"&gt;27&lt;/ref-type&gt;&lt;contributors&gt;&lt;authors&gt;&lt;author&gt;NICE&lt;/author&gt;&lt;/authors&gt;&lt;/contributors&gt;&lt;titles&gt;&lt;title&gt;Preventing the uptake of smoking by children and young people&lt;/title&gt;&lt;secondary-title&gt;PH14&lt;/secondary-title&gt;&lt;/titles&gt;&lt;dates&gt;&lt;year&gt;2008&lt;/year&gt;&lt;/dates&gt;&lt;pub-location&gt;London&lt;/pub-location&gt;&lt;publisher&gt;National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[267]</w:t>
      </w:r>
      <w:r w:rsidRPr="00F10391">
        <w:fldChar w:fldCharType="end"/>
      </w:r>
      <w:r w:rsidRPr="00F10391">
        <w:t xml:space="preserve">). Similarly guidance on physical activity reused updated versions of a model incorporating the risk of coronary heart disease, stroke and type 2 diabetes mellitus (e.g. PH44 </w:t>
      </w:r>
      <w:r w:rsidRPr="00F10391">
        <w:fldChar w:fldCharType="begin"/>
      </w:r>
      <w:r w:rsidR="00700267">
        <w:instrText xml:space="preserve"> ADDIN EN.CITE &lt;EndNote&gt;&lt;Cite&gt;&lt;Author&gt;NICE&lt;/Author&gt;&lt;Year&gt;2013&lt;/Year&gt;&lt;RecNum&gt;242&lt;/RecNum&gt;&lt;DisplayText&gt;[268]&lt;/DisplayText&gt;&lt;record&gt;&lt;rec-number&gt;242&lt;/rec-number&gt;&lt;foreign-keys&gt;&lt;key app="EN" db-id="sz9092dv2s5fpze9wpgx0zxgv5ar00aezrvf" timestamp="0"&gt;242&lt;/key&gt;&lt;/foreign-keys&gt;&lt;ref-type name="Report"&gt;27&lt;/ref-type&gt;&lt;contributors&gt;&lt;authors&gt;&lt;author&gt;NICE&lt;/author&gt;&lt;/authors&gt;&lt;/contributors&gt;&lt;titles&gt;&lt;title&gt;Physical activity: brief advice for adults in primary care&lt;/title&gt;&lt;secondary-title&gt;PH44&lt;/secondary-title&gt;&lt;/titles&gt;&lt;dates&gt;&lt;year&gt;2013&lt;/year&gt;&lt;/dates&gt;&lt;pub-location&gt;London&lt;/pub-location&gt;&lt;publisher&gt;National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[268]</w:t>
      </w:r>
      <w:r w:rsidRPr="00F10391">
        <w:fldChar w:fldCharType="end"/>
      </w:r>
      <w:r w:rsidRPr="00F10391">
        <w:t xml:space="preserve">, PH54 </w:t>
      </w:r>
      <w:r w:rsidRPr="00F10391">
        <w:fldChar w:fldCharType="begin"/>
      </w:r>
      <w:r w:rsidR="00700267">
        <w:instrText xml:space="preserve"> ADDIN EN.CITE &lt;EndNote&gt;&lt;Cite&gt;&lt;Author&gt;NICE&lt;/Author&gt;&lt;Year&gt;2014&lt;/Year&gt;&lt;RecNum&gt;252&lt;/RecNum&gt;&lt;DisplayText&gt;[269]&lt;/DisplayText&gt;&lt;record&gt;&lt;rec-number&gt;252&lt;/rec-number&gt;&lt;foreign-keys&gt;&lt;key app="EN" db-id="sz9092dv2s5fpze9wpgx0zxgv5ar00aezrvf" timestamp="0"&gt;252&lt;/key&gt;&lt;/foreign-keys&gt;&lt;ref-type name="Report"&gt;27&lt;/ref-type&gt;&lt;contributors&gt;&lt;authors&gt;&lt;author&gt;NICE&lt;/author&gt;&lt;/authors&gt;&lt;/contributors&gt;&lt;titles&gt;&lt;title&gt;Exercise referral schemes to promote physical activity&lt;/title&gt;&lt;secondary-title&gt;PH54&lt;/secondary-title&gt;&lt;/titles&gt;&lt;dates&gt;&lt;year&gt;2014&lt;/year&gt;&lt;/dates&gt;&lt;pub-location&gt;London&lt;/pub-location&gt;&lt;publisher&gt;National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[269]</w:t>
      </w:r>
      <w:r w:rsidRPr="00F10391">
        <w:fldChar w:fldCharType="end"/>
      </w:r>
      <w:r w:rsidRPr="00F10391">
        <w:t xml:space="preserve">). This allowed not just for comparisons between the effectiveness of interventions versus ‘doing nothing’, but also between topics. Other models are based upon or incorporate pre-existing work previously completed externally to NICE. Economic modelling may also solely focus on a specific part of the guidance or investigate a sub-population of those to whom the broader guidance will apply. </w:t>
      </w:r>
    </w:p>
    <w:p w14:paraId="6F521BC1" w14:textId="77777777" w:rsidR="00D22CE3" w:rsidRPr="00F10391" w:rsidRDefault="00D22CE3">
      <w:bookmarkStart w:id="506" w:name="_Toc441508985"/>
      <w:bookmarkStart w:id="507" w:name="_Toc304640264"/>
      <w:bookmarkStart w:id="508" w:name="_Toc283984174"/>
    </w:p>
    <w:p w14:paraId="3BFFA9B5" w14:textId="77777777" w:rsidR="00D22CE3" w:rsidRPr="00F10391" w:rsidRDefault="00D22CE3">
      <w:pPr>
        <w:pStyle w:val="Heading3"/>
        <w:numPr>
          <w:ilvl w:val="2"/>
          <w:numId w:val="37"/>
        </w:numPr>
      </w:pPr>
      <w:bookmarkStart w:id="509" w:name="_Toc453235423"/>
      <w:bookmarkStart w:id="510" w:name="_Toc453595496"/>
      <w:bookmarkStart w:id="511" w:name="_Toc476241593"/>
      <w:r w:rsidRPr="00F10391">
        <w:t>5.1.3</w:t>
      </w:r>
      <w:r w:rsidRPr="00F10391">
        <w:tab/>
      </w:r>
      <w:r w:rsidRPr="00F10391">
        <w:tab/>
        <w:t>Model perspectives and economic evaluation techniques</w:t>
      </w:r>
      <w:bookmarkEnd w:id="506"/>
      <w:bookmarkEnd w:id="507"/>
      <w:bookmarkEnd w:id="508"/>
      <w:bookmarkEnd w:id="509"/>
      <w:bookmarkEnd w:id="510"/>
      <w:bookmarkEnd w:id="511"/>
    </w:p>
    <w:p w14:paraId="5A1E627D" w14:textId="77777777" w:rsidR="00D22CE3" w:rsidRPr="00F10391" w:rsidRDefault="00D22CE3">
      <w:r w:rsidRPr="00F10391">
        <w:t xml:space="preserve">The CPH’s reference case, the set of standard approaches to be used in economic modelling and broader decision-making, is flexible where necessary on a case-by-case basis. This standard approach has recommended a public sector perspective to take account of the costs and benefits of each intervention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The 2014 methods manual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xml:space="preserve"> formally allows for discretion on perspective used across NICE directorates for the first time, which can vary according to the nature of the problem. Previously a public sector perspective has been largely confined to public health settings, and we might expect this to remain the norm for the time being. An NHS and </w:t>
      </w:r>
      <w:r w:rsidRPr="00F10391">
        <w:rPr>
          <w:bCs/>
        </w:rPr>
        <w:t>Personal Social Services</w:t>
      </w:r>
      <w:r w:rsidRPr="00F10391">
        <w:t xml:space="preserve"> (PSS) specific perspective is used where costs and benefits are largely related to health alone. This has also previously been used in many cases in public health and is the standard for drug and technology appraisals in NICE.  Where these criteria largely fall upon local authorities, a local government perspective can similarly be used. However, in practice which perspective is used can be something of a moot point. In many cases models claiming to use a public sector perspective used only healthcare costs (e.g. PH32 </w:t>
      </w:r>
      <w:r w:rsidRPr="00F10391">
        <w:fldChar w:fldCharType="begin"/>
      </w:r>
      <w:r w:rsidR="00700267">
        <w:instrText xml:space="preserve"> ADDIN EN.CITE &lt;EndNote&gt;&lt;Cite&gt;&lt;Author&gt;NICE&lt;/Author&gt;&lt;Year&gt;2011&lt;/Year&gt;&lt;RecNum&gt;230&lt;/RecNum&gt;&lt;DisplayText&gt;[270]&lt;/DisplayText&gt;&lt;record&gt;&lt;rec-number&gt;230&lt;/rec-number&gt;&lt;foreign-keys&gt;&lt;key app="EN" db-id="sz9092dv2s5fpze9wpgx0zxgv5ar00aezrvf" timestamp="0"&gt;230&lt;/key&gt;&lt;/foreign-keys&gt;&lt;ref-type name="Report"&gt;27&lt;/ref-type&gt;&lt;contributors&gt;&lt;authors&gt;&lt;author&gt;NICE&lt;/author&gt;&lt;/authors&gt;&lt;/contributors&gt;&lt;titles&gt;&lt;title&gt;Skin cancer prevention: information, resources and environmental changes&lt;/title&gt;&lt;secondary-title&gt;PH32&lt;/secondary-title&gt;&lt;/titles&gt;&lt;dates&gt;&lt;year&gt;2011&lt;/year&gt;&lt;/dates&gt;&lt;pub-location&gt;London&lt;/pub-location&gt;&lt;publisher&gt;National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[270]</w:t>
      </w:r>
      <w:r w:rsidRPr="00F10391">
        <w:fldChar w:fldCharType="end"/>
      </w:r>
      <w:r w:rsidRPr="00F10391">
        <w:t xml:space="preserve">); in others, no perspective has been explicitly stated. Other perspectives are also possible, such as the employer benefit for workplace interventions (PH5 </w:t>
      </w:r>
      <w:r w:rsidRPr="00F10391">
        <w:fldChar w:fldCharType="begin"/>
      </w:r>
      <w:r w:rsidR="00700267">
        <w:instrText xml:space="preserve"> ADDIN EN.CITE &lt;EndNote&gt;&lt;Cite&gt;&lt;Author&gt;NICE&lt;/Author&gt;&lt;Year&gt;2007&lt;/Year&gt;&lt;RecNum&gt;203&lt;/RecNum&gt;&lt;DisplayText&gt;[265]&lt;/DisplayText&gt;&lt;record&gt;&lt;rec-number&gt;203&lt;/rec-number&gt;&lt;foreign-keys&gt;&lt;key app="EN" db-id="sz9092dv2s5fpze9wpgx0zxgv5ar00aezrvf" timestamp="0"&gt;203&lt;/key&gt;&lt;/foreign-keys&gt;&lt;ref-type name="Report"&gt;27&lt;/ref-type&gt;&lt;contributors&gt;&lt;authors&gt;&lt;author&gt;NICE&lt;/author&gt;&lt;/authors&gt;&lt;/contributors&gt;&lt;titles&gt;&lt;title&gt;Workplace interventions to promote smoking cessation&lt;/title&gt;&lt;secondary-title&gt;PH5&lt;/secondary-title&gt;&lt;/titles&gt;&lt;dates&gt;&lt;year&gt;2007&lt;/year&gt;&lt;/dates&gt;&lt;pub-location&gt;London&lt;/pub-location&gt;&lt;publisher&gt;National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[265]</w:t>
      </w:r>
      <w:r w:rsidRPr="00F10391">
        <w:fldChar w:fldCharType="end"/>
      </w:r>
      <w:r w:rsidRPr="00F10391">
        <w:t xml:space="preserve">) or a </w:t>
      </w:r>
      <w:r w:rsidRPr="00F10391">
        <w:lastRenderedPageBreak/>
        <w:t xml:space="preserve">societal perspective for example in cases of domestic violence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xml:space="preserve">). These were codified in the reference case for the first time in the 2012 guidance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but had nonetheless previously been used. </w:t>
      </w:r>
    </w:p>
    <w:p w14:paraId="5AB5382A" w14:textId="77777777" w:rsidR="00D22CE3" w:rsidRPr="00F10391" w:rsidRDefault="00D22CE3">
      <w:r w:rsidRPr="00F10391">
        <w:t xml:space="preserve">While the methods manual has been updated a number of times since the CPH’s foundation, CUA remains the primary evaluation technique to be used. This allows comparisons across other possible uses of resources and across NICE guidance areas. </w:t>
      </w:r>
    </w:p>
    <w:p w14:paraId="75388C87" w14:textId="77777777" w:rsidR="00D22CE3" w:rsidRPr="00F10391" w:rsidRDefault="00D22CE3">
      <w:r w:rsidRPr="00F10391">
        <w:t xml:space="preserve">CBA can also be used, generally in conjunction with transport interventions. This is the standard approach used in the industry, so decision-makers may be more familiar with it, increasing the likelihood of its acceptance. There are some issues around using it in a NICE context, and the willingness to pay aspect used may come into conflict with the NHS ethos of providing healthcare to those who need it rather than who will pay for it. </w:t>
      </w:r>
    </w:p>
    <w:p w14:paraId="15741F1E" w14:textId="77777777" w:rsidR="00D22CE3" w:rsidRPr="00F10391" w:rsidRDefault="00D22CE3">
      <w:r w:rsidRPr="00F10391">
        <w:t xml:space="preserve">Cost-consequence analysis may also be used in parallel to CUA to allow greater granularity, or to incorporate outcome data that cannot be translated into QALYs based on prior research. It may fit better with the broader aims of interest to local authorities, other than healthcare alone. </w:t>
      </w:r>
    </w:p>
    <w:p w14:paraId="22DA6FFB" w14:textId="77777777" w:rsidR="00D22CE3" w:rsidRPr="00F10391" w:rsidRDefault="00D22CE3">
      <w:r w:rsidRPr="00F10391">
        <w:t xml:space="preserve">Economic modelling is informed by a prior evidence review, specifying the range of relevant interventions that have been used in the area in the past, the nature and strength of studies investigating them, and their effectiveness, costs and relevance to a UK context.  Where answers are required to questions that no previous study has directly measured, economic modelling is used to plug these gaps, and the models populated using the results uncovered in the prior literature. Sometimes the modelling will not be required as the results are clear (whether positively or negatively) from the prior search. In others it may not be appropriate or possible to further model results. In such cases, generic discussion pieces may still be written to discuss how an economic model would be used if such a thing were possible, and to indicate the magnitude, 'wheres' and 'hows' of the underlying uncertainty that make more formal modelling impossible. </w:t>
      </w:r>
    </w:p>
    <w:p w14:paraId="3106BEDC" w14:textId="77777777" w:rsidR="00D22CE3" w:rsidRPr="00F10391" w:rsidRDefault="00D22CE3">
      <w:r w:rsidRPr="00F10391">
        <w:t xml:space="preserve">Where possible, the costs of an intervention are assessed based on the information available in the literature described in the evidence review. This will typically include the costs of any device or pharmaceutical required, staff time, monitoring and maintenance costs, treating adverse events, rent and so on. Public health also throws up some more unusual consequences. The costs found in the review also included, for example: decreased tax revenues (PH41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xml:space="preserve">); the impact of having to pay for extra years of health care (PH23 </w:t>
      </w:r>
      <w:r w:rsidRPr="00F10391">
        <w:fldChar w:fldCharType="begin"/>
      </w:r>
      <w:r w:rsidR="00700267">
        <w:instrText xml:space="preserve"> ADDIN EN.CITE &lt;EndNote&gt;&lt;Cite&gt;&lt;Author&gt;NICE&lt;/Author&gt;&lt;Year&gt;2010&lt;/Year&gt;&lt;RecNum&gt;221&lt;/RecNum&gt;&lt;DisplayText&gt;[271]&lt;/DisplayText&gt;&lt;record&gt;&lt;rec-number&gt;221&lt;/rec-number&gt;&lt;foreign-keys&gt;&lt;key app="EN" db-id="sz9092dv2s5fpze9wpgx0zxgv5ar00aezrvf" timestamp="0"&gt;221&lt;/key&gt;&lt;/foreign-keys&gt;&lt;ref-type name="Report"&gt;27&lt;/ref-type&gt;&lt;contributors&gt;&lt;authors&gt;&lt;author&gt;NICE&lt;/author&gt;&lt;/authors&gt;&lt;/contributors&gt;&lt;titles&gt;&lt;title&gt;School-based interventions to prevent smoking&lt;/title&gt;&lt;secondary-title&gt;PH23&lt;/secondary-title&gt;&lt;/titles&gt;&lt;dates&gt;&lt;year&gt;2010&lt;/year&gt;&lt;/dates&gt;&lt;pub-location&gt;London&lt;/pub-location&gt;&lt;publisher&gt;National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[271]</w:t>
      </w:r>
      <w:r w:rsidRPr="00F10391">
        <w:fldChar w:fldCharType="end"/>
      </w:r>
      <w:r w:rsidRPr="00F10391">
        <w:t xml:space="preserve">  - though these were more than outweighed by the decrease in costs treating the illnesses associated with smoking); and issues relating to injuries occurring as a side effect of the intervention (PH44 </w:t>
      </w:r>
      <w:r w:rsidRPr="00F10391">
        <w:fldChar w:fldCharType="begin"/>
      </w:r>
      <w:r w:rsidR="00700267">
        <w:instrText xml:space="preserve"> ADDIN EN.CITE &lt;EndNote&gt;&lt;Cite&gt;&lt;Author&gt;NICE&lt;/Author&gt;&lt;Year&gt;2013&lt;/Year&gt;&lt;RecNum&gt;242&lt;/RecNum&gt;&lt;DisplayText&gt;[268]&lt;/DisplayText&gt;&lt;record&gt;&lt;rec-number&gt;242&lt;/rec-number&gt;&lt;foreign-keys&gt;&lt;key app="EN" db-id="sz9092dv2s5fpze9wpgx0zxgv5ar00aezrvf" timestamp="0"&gt;242&lt;/key&gt;&lt;/foreign-keys&gt;&lt;ref-type name="Report"&gt;27&lt;/ref-type&gt;&lt;contributors&gt;&lt;authors&gt;&lt;author&gt;NICE&lt;/author&gt;&lt;/authors&gt;&lt;/contributors&gt;&lt;titles&gt;&lt;title&gt;Physical activity: brief advice for adults in primary care&lt;/title&gt;&lt;secondary-title&gt;PH44&lt;/secondary-title&gt;&lt;/titles&gt;&lt;dates&gt;&lt;year&gt;2013&lt;/year&gt;&lt;/dates&gt;&lt;pub-location&gt;London&lt;/pub-location&gt;&lt;publisher&gt;National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[268]</w:t>
      </w:r>
      <w:r w:rsidRPr="00F10391">
        <w:fldChar w:fldCharType="end"/>
      </w:r>
      <w:r w:rsidRPr="00F10391">
        <w:t xml:space="preserve">). The impact upon individuals volunteering to give up their time may be highlighted (PH9 </w:t>
      </w:r>
      <w:r w:rsidRPr="00F10391">
        <w:fldChar w:fldCharType="begin"/>
      </w:r>
      <w:r w:rsidR="00700267">
        <w:instrText xml:space="preserve"> ADDIN EN.CITE &lt;EndNote&gt;&lt;Cite&gt;&lt;Author&gt;NICE&lt;/Author&gt;&lt;Year&gt;2008&lt;/Year&gt;&lt;RecNum&gt;207&lt;/RecNum&gt;&lt;DisplayText&gt;[221]&lt;/DisplayText&gt;&lt;record&gt;&lt;rec-number&gt;207&lt;/rec-number&gt;&lt;foreign-keys&gt;&lt;key app="EN" db-id="sz9092dv2s5fpze9wpgx0zxgv5ar00aezrvf" timestamp="0"&gt;207&lt;/key&gt;&lt;/foreign-keys&gt;&lt;ref-type name="Report"&gt;27&lt;/ref-type&gt;&lt;contributors&gt;&lt;authors&gt;&lt;author&gt;NICE&lt;/author&gt;&lt;/authors&gt;&lt;/contributors&gt;&lt;titles&gt;&lt;title&gt;Community engagement&lt;/title&gt;&lt;secondary-title&gt;PH9&lt;/secondary-title&gt;&lt;/titles&gt;&lt;dates&gt;&lt;year&gt;2008&lt;/year&gt;&lt;/dates&gt;&lt;pub-location&gt;London&lt;/pub-location&gt;&lt;publisher&gt;National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[221]</w:t>
      </w:r>
      <w:r w:rsidRPr="00F10391">
        <w:fldChar w:fldCharType="end"/>
      </w:r>
      <w:r w:rsidRPr="00F10391">
        <w:t xml:space="preserve">), though this cannot be fully incorporated into CUA as costs to private individuals have in practice been considered outside the scope of NICE’s reference case. </w:t>
      </w:r>
    </w:p>
    <w:p w14:paraId="6AD4CD1E" w14:textId="77777777" w:rsidR="00D22CE3" w:rsidRPr="00F10391" w:rsidRDefault="00D22CE3"/>
    <w:p w14:paraId="00CDF7E1" w14:textId="77777777" w:rsidR="00D22CE3" w:rsidRPr="00F10391" w:rsidRDefault="00D22CE3">
      <w:pPr>
        <w:pStyle w:val="Heading3"/>
        <w:numPr>
          <w:ilvl w:val="2"/>
          <w:numId w:val="37"/>
        </w:numPr>
      </w:pPr>
      <w:bookmarkStart w:id="512" w:name="_Toc441508986"/>
      <w:bookmarkStart w:id="513" w:name="_Toc304640265"/>
      <w:bookmarkStart w:id="514" w:name="_Toc283984175"/>
      <w:bookmarkStart w:id="515" w:name="_Toc453235424"/>
      <w:bookmarkStart w:id="516" w:name="_Toc453595497"/>
      <w:bookmarkStart w:id="517" w:name="_Toc476241594"/>
      <w:r w:rsidRPr="00F10391">
        <w:t>5.1.4</w:t>
      </w:r>
      <w:r w:rsidRPr="00F10391">
        <w:tab/>
      </w:r>
      <w:r w:rsidRPr="00F10391">
        <w:tab/>
        <w:t>Equity in economic modelling</w:t>
      </w:r>
      <w:bookmarkEnd w:id="512"/>
      <w:bookmarkEnd w:id="513"/>
      <w:bookmarkEnd w:id="514"/>
      <w:bookmarkEnd w:id="515"/>
      <w:bookmarkEnd w:id="516"/>
      <w:bookmarkEnd w:id="517"/>
    </w:p>
    <w:p w14:paraId="78AB2F81" w14:textId="77777777" w:rsidR="00D22CE3" w:rsidRPr="00F10391" w:rsidRDefault="00D22CE3">
      <w:r w:rsidRPr="00F10391">
        <w:t xml:space="preserve">Issues relating to equity are also not currently formally considered as part of the economic modelling stage, though of course they remain a fundamental part of the broader guidance </w:t>
      </w:r>
      <w:r w:rsidRPr="00F10391">
        <w:lastRenderedPageBreak/>
        <w:t xml:space="preserve">development process. In a similar manner to the impact of volunteerism, this does not mean that such issues are irrelevant to the modelling stage.  The </w:t>
      </w:r>
      <w:r w:rsidRPr="00F10391">
        <w:rPr>
          <w:i/>
        </w:rPr>
        <w:t>Tuberculosis: hard-to-reach groups</w:t>
      </w:r>
      <w:r w:rsidRPr="00F10391">
        <w:t xml:space="preserve"> (PH37 </w:t>
      </w:r>
      <w:r w:rsidRPr="00F10391">
        <w:fldChar w:fldCharType="begin"/>
      </w:r>
      <w:r w:rsidR="00700267">
        <w:instrText xml:space="preserve"> ADDIN EN.CITE &lt;EndNote&gt;&lt;Cite&gt;&lt;Author&gt;NICE&lt;/Author&gt;&lt;Year&gt;2012&lt;/Year&gt;&lt;RecNum&gt;235&lt;/RecNum&gt;&lt;DisplayText&gt;[272]&lt;/DisplayText&gt;&lt;record&gt;&lt;rec-number&gt;235&lt;/rec-number&gt;&lt;foreign-keys&gt;&lt;key app="EN" db-id="sz9092dv2s5fpze9wpgx0zxgv5ar00aezrvf" timestamp="0"&gt;235&lt;/key&gt;&lt;/foreign-keys&gt;&lt;ref-type name="Report"&gt;27&lt;/ref-type&gt;&lt;contributors&gt;&lt;authors&gt;&lt;author&gt;NICE&lt;/author&gt;&lt;/authors&gt;&lt;/contributors&gt;&lt;titles&gt;&lt;title&gt;Identifying and managing tuberculosis among hard-to-reach groups&lt;/title&gt;&lt;secondary-title&gt;PH37&lt;/secondary-title&gt;&lt;/titles&gt;&lt;dates&gt;&lt;year&gt;2012&lt;/year&gt;&lt;/dates&gt;&lt;pub-location&gt;London&lt;/pub-location&gt;&lt;publisher&gt;National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[272]</w:t>
      </w:r>
      <w:r w:rsidRPr="00F10391">
        <w:fldChar w:fldCharType="end"/>
      </w:r>
      <w:r w:rsidRPr="00F10391">
        <w:t>)</w:t>
      </w:r>
      <w:r w:rsidRPr="00F10391">
        <w:rPr>
          <w:color w:val="000000"/>
          <w:sz w:val="16"/>
          <w:szCs w:val="16"/>
        </w:rPr>
        <w:t xml:space="preserve"> </w:t>
      </w:r>
      <w:r w:rsidRPr="00F10391">
        <w:t xml:space="preserve">guidance explained how out-of-pocket expenses – again relevant to private individuals rather than to the public sector perspective, which was used in this model – are likely to have a disproportionate effect on homeless populations. As such, they may be relevant not solely to ethical issues around access for these groups, but also in the practical terms of the likely effectiveness (rather than efficacy) of the intervention in the real world, assuming that homeless populations will have significantly lower uptake than might otherwise be expected as a result. The committee can then take this into account during the later stages of formalising recommendations. Equally, though the modelling itself may not deal with equity head on, at times the topic itself may obviously relate to improving health outcomes for specific vulnerable groups. And during several topics, public sector (and societal) perspectives may bring into consideration areas outside of healthcare where outcomes appear to be heavily influenced by socioeconomic and other factors. </w:t>
      </w:r>
    </w:p>
    <w:p w14:paraId="5A4A4D9E" w14:textId="77777777" w:rsidR="00D22CE3" w:rsidRPr="00F10391" w:rsidRDefault="00D22CE3">
      <w:r w:rsidRPr="00F10391">
        <w:t xml:space="preserve">Interventions may also increase inequality in the short term if higher social status groups are likely to benefit from first mover advantage. Having worked on developing the guidance on </w:t>
      </w:r>
      <w:r w:rsidRPr="00F10391">
        <w:rPr>
          <w:i/>
        </w:rPr>
        <w:t>Walking and Cycling</w:t>
      </w:r>
      <w:r w:rsidRPr="00F10391">
        <w:t xml:space="preserve"> (PH41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there was a concern that such an issue may arise (at least temporarily), though it was hoped that in the longer term there would be increased uptake amongst all groups</w:t>
      </w:r>
      <w:r w:rsidRPr="00F10391">
        <w:fldChar w:fldCharType="begin"/>
      </w:r>
      <w:r w:rsidRPr="00F10391">
        <w:instrText xml:space="preserve"> ADDIN EN.CITE &lt;EndNote&gt;&lt;Cite Hidden="1"&gt;&lt;Author&gt;Kuznets&lt;/Author&gt;&lt;Year&gt;1955&lt;/Year&gt;&lt;RecNum&gt;80&lt;/RecNum&gt;&lt;record&gt;&lt;rec-number&gt;80&lt;/rec-number&gt;&lt;foreign-keys&gt;&lt;key app="EN" db-id="sz9092dv2s5fpze9wpgx0zxgv5ar00aezrvf" timestamp="0"&gt;80&lt;/key&gt;&lt;/foreign-keys&gt;&lt;ref-type name="Journal Article"&gt;17&lt;/ref-type&gt;&lt;contributors&gt;&lt;authors&gt;&lt;author&gt;Kuznets, Simon&lt;/author&gt;&lt;/authors&gt;&lt;/contributors&gt;&lt;titles&gt;&lt;title&gt;Economic growth and income inequality&lt;/title&gt;&lt;secondary-title&gt;The American economic review&lt;/secondary-title&gt;&lt;/titles&gt;&lt;pages&gt;1-28&lt;/pages&gt;&lt;dates&gt;&lt;year&gt;1955&lt;/year&gt;&lt;/dates&gt;&lt;isbn&gt;0002-8282&lt;/isbn&gt;&lt;urls&gt;&lt;/urls&gt;&lt;/record&gt;&lt;/Cite&gt;&lt;/EndNote&gt;</w:instrText>
      </w:r>
      <w:r w:rsidRPr="00F10391">
        <w:fldChar w:fldCharType="end"/>
      </w:r>
      <w:r w:rsidRPr="00F10391">
        <w:t xml:space="preserve">. A similar concern was expressed in the published guidance on </w:t>
      </w:r>
      <w:r w:rsidRPr="00F10391">
        <w:rPr>
          <w:i/>
        </w:rPr>
        <w:t>Physical activity and the environment</w:t>
      </w:r>
      <w:r w:rsidRPr="00F10391">
        <w:t xml:space="preserve"> (PH8 </w:t>
      </w:r>
      <w:r w:rsidRPr="00F10391">
        <w:fldChar w:fldCharType="begin"/>
      </w:r>
      <w:r w:rsidR="00700267">
        <w:instrText xml:space="preserve"> ADDIN EN.CITE &lt;EndNote&gt;&lt;Cite&gt;&lt;Author&gt;NICE&lt;/Author&gt;&lt;Year&gt;2008&lt;/Year&gt;&lt;RecNum&gt;206&lt;/RecNum&gt;&lt;DisplayText&gt;[274]&lt;/DisplayText&gt;&lt;record&gt;&lt;rec-number&gt;206&lt;/rec-number&gt;&lt;foreign-keys&gt;&lt;key app="EN" db-id="sz9092dv2s5fpze9wpgx0zxgv5ar00aezrvf" timestamp="0"&gt;206&lt;/key&gt;&lt;/foreign-keys&gt;&lt;ref-type name="Report"&gt;27&lt;/ref-type&gt;&lt;contributors&gt;&lt;authors&gt;&lt;author&gt;NICE&lt;/author&gt;&lt;/authors&gt;&lt;/contributors&gt;&lt;titles&gt;&lt;title&gt;Physical activity and the environment&lt;/title&gt;&lt;secondary-title&gt;PH8&lt;/secondary-title&gt;&lt;/titles&gt;&lt;dates&gt;&lt;year&gt;2008&lt;/year&gt;&lt;/dates&gt;&lt;pub-location&gt;London&lt;/pub-location&gt;&lt;publisher&gt;National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[274]</w:t>
      </w:r>
      <w:r w:rsidRPr="00F10391">
        <w:fldChar w:fldCharType="end"/>
      </w:r>
      <w:r w:rsidRPr="00F10391">
        <w:t xml:space="preserve">). It is tempting to draw a comparison with the Kuznets curve </w:t>
      </w:r>
      <w:r w:rsidRPr="00F10391">
        <w:fldChar w:fldCharType="begin"/>
      </w:r>
      <w:r w:rsidR="00700267">
        <w:instrText xml:space="preserve"> ADDIN EN.CITE &lt;EndNote&gt;&lt;Cite&gt;&lt;Author&gt;Kuznets&lt;/Author&gt;&lt;Year&gt;1955&lt;/Year&gt;&lt;RecNum&gt;80&lt;/RecNum&gt;&lt;DisplayText&gt;[273]&lt;/DisplayText&gt;&lt;record&gt;&lt;rec-number&gt;80&lt;/rec-number&gt;&lt;foreign-keys&gt;&lt;key app="EN" db-id="sz9092dv2s5fpze9wpgx0zxgv5ar00aezrvf" timestamp="0"&gt;80&lt;/key&gt;&lt;/foreign-keys&gt;&lt;ref-type name="Journal Article"&gt;17&lt;/ref-type&gt;&lt;contributors&gt;&lt;authors&gt;&lt;author&gt;Kuznets, Simon&lt;/author&gt;&lt;/authors&gt;&lt;/contributors&gt;&lt;titles&gt;&lt;title&gt;Economic growth and income inequality&lt;/title&gt;&lt;secondary-title&gt;The American economic review&lt;/secondary-title&gt;&lt;/titles&gt;&lt;pages&gt;1-28&lt;/pages&gt;&lt;dates&gt;&lt;year&gt;1955&lt;/year&gt;&lt;/dates&gt;&lt;isbn&gt;0002-8282&lt;/isbn&gt;&lt;urls&gt;&lt;/urls&gt;&lt;/record&gt;&lt;/Cite&gt;&lt;/EndNote&gt;</w:instrText>
      </w:r>
      <w:r w:rsidRPr="00F10391">
        <w:fldChar w:fldCharType="separate"/>
      </w:r>
      <w:r w:rsidR="00700267">
        <w:rPr>
          <w:noProof/>
        </w:rPr>
        <w:t>[273]</w:t>
      </w:r>
      <w:r w:rsidRPr="00F10391">
        <w:fldChar w:fldCharType="end"/>
      </w:r>
      <w:r w:rsidRPr="00F10391">
        <w:t>,  which implied that as a nation’s economy develops, inequality will widen for a time before ultimately reducing once a certain level is attained. A similar phenomenon may well exist in certain public health settings – whereby the relationship between cumulative health, its distribution and subsequent inequalities over time follows a similar cycle.</w:t>
      </w:r>
    </w:p>
    <w:p w14:paraId="6F907F09" w14:textId="02134850" w:rsidR="00D22CE3" w:rsidRPr="00F10391" w:rsidRDefault="00D22CE3">
      <w:r w:rsidRPr="00F10391">
        <w:t xml:space="preserve">At times, decisions in the CPH may even hinge on seemingly inconsequential differences in interpretation of the scope and such subtleties may prove difficult to represent in models. The scopes may themselves change, via gradual, subtle reinterpretation in light of the facts as they emerge. The facts used are not always self-evident and may require </w:t>
      </w:r>
      <w:r w:rsidR="001B7ADD">
        <w:t>judgment</w:t>
      </w:r>
      <w:r w:rsidRPr="00F10391">
        <w:t xml:space="preserve"> and an understanding of the causal chains of effect </w:t>
      </w:r>
      <w:r w:rsidRPr="00F10391">
        <w:fldChar w:fldCharType="begin"/>
      </w:r>
      <w:r w:rsidR="00700267">
        <w:instrText xml:space="preserve"> ADDIN EN.CITE &lt;EndNote&gt;&lt;Cite&gt;&lt;Author&gt;Kelly&lt;/Author&gt;&lt;Year&gt;2007&lt;/Year&gt;&lt;RecNum&gt;419&lt;/RecNum&gt;&lt;DisplayText&gt;[275]&lt;/DisplayText&gt;&lt;record&gt;&lt;rec-number&gt;419&lt;/rec-number&gt;&lt;foreign-keys&gt;&lt;key app="EN" db-id="sz9092dv2s5fpze9wpgx0zxgv5ar00aezrvf" timestamp="1460655354"&gt;419&lt;/key&gt;&lt;/foreign-keys&gt;&lt;ref-type name="Book"&gt;6&lt;/ref-type&gt;&lt;contributors&gt;&lt;authors&gt;&lt;author&gt;Kelly, Michael P&lt;/author&gt;&lt;author&gt;Commission de l&amp;apos;OMS sur les déterminants sociaux de la santé‏&lt;/author&gt;&lt;author&gt;Bonnefoy, Josiane&lt;/author&gt;&lt;/authors&gt;&lt;/contributors&gt;&lt;titles&gt;&lt;title&gt;The social determinants of health developing an evidence base for political action&lt;/title&gt;&lt;/titles&gt;&lt;dates&gt;&lt;year&gt;2007&lt;/year&gt;&lt;/dates&gt;&lt;publisher&gt;NHS&lt;/publisher&gt;&lt;urls&gt;&lt;/urls&gt;&lt;/record&gt;&lt;/Cite&gt;&lt;/EndNote&gt;</w:instrText>
      </w:r>
      <w:r w:rsidRPr="00F10391">
        <w:fldChar w:fldCharType="separate"/>
      </w:r>
      <w:r w:rsidR="00700267">
        <w:rPr>
          <w:noProof/>
        </w:rPr>
        <w:t>[275]</w:t>
      </w:r>
      <w:r w:rsidRPr="00F10391">
        <w:fldChar w:fldCharType="end"/>
      </w:r>
      <w:r w:rsidRPr="00F10391">
        <w:t xml:space="preserve">. With a new government, wholesale changes in scope are also possible. PHACs may always need to interpret some issues in an </w:t>
      </w:r>
      <w:r w:rsidRPr="00F10391">
        <w:rPr>
          <w:i/>
        </w:rPr>
        <w:t>ad hoc</w:t>
      </w:r>
      <w:r w:rsidRPr="00F10391">
        <w:t xml:space="preserve"> manner as they arise – using their experience and </w:t>
      </w:r>
      <w:r w:rsidR="001B7ADD">
        <w:t>judgment</w:t>
      </w:r>
      <w:r w:rsidRPr="00F10391">
        <w:t xml:space="preserve"> as part of this – though recommendations must be formulated carefully. On one topic on which I worked, a recommendation was being drafted relating to hospital staff, before it was realised that this could be interpreted in such a way that contract staff would not be included in the benefits. This was adjusted accordingly. Equity concerns are currently addressed – at least partially – by the accumulation of marginal gains of this type throughout the deliberative process, rather than through major revisions requiring more formal and operationalisable definitions of equity.</w:t>
      </w:r>
      <w:r w:rsidRPr="00F10391">
        <w:fldChar w:fldCharType="begin"/>
      </w:r>
      <w:r w:rsidRPr="00F10391">
        <w:instrText xml:space="preserve"> ADDIN EN.CITE &lt;EndNote&gt;&lt;Cite Hidden="1"&gt;&lt;Author&gt;Kuznets&lt;/Author&gt;&lt;Year&gt;1955&lt;/Year&gt;&lt;RecNum&gt;80&lt;/RecNum&gt;&lt;record&gt;&lt;rec-number&gt;80&lt;/rec-number&gt;&lt;foreign-keys&gt;&lt;key app="EN" db-id="sz9092dv2s5fpze9wpgx0zxgv5ar00aezrvf" timestamp="0"&gt;80&lt;/key&gt;&lt;/foreign-keys&gt;&lt;ref-type name="Journal Article"&gt;17&lt;/ref-type&gt;&lt;contributors&gt;&lt;authors&gt;&lt;author&gt;Kuznets, Simon&lt;/author&gt;&lt;/authors&gt;&lt;/contributors&gt;&lt;titles&gt;&lt;title&gt;Economic growth and income inequality&lt;/title&gt;&lt;secondary-title&gt;The American economic review&lt;/secondary-title&gt;&lt;/titles&gt;&lt;pages&gt;1-28&lt;/pages&gt;&lt;dates&gt;&lt;year&gt;1955&lt;/year&gt;&lt;/dates&gt;&lt;isbn&gt;0002-8282&lt;/isbn&gt;&lt;urls&gt;&lt;/urls&gt;&lt;/record&gt;&lt;/Cite&gt;&lt;Cite&gt;&lt;Author&gt;Kuznets&lt;/Author&gt;&lt;Year&gt;1955&lt;/Year&gt;&lt;RecNum&gt;80&lt;/RecNum&gt;&lt;record&gt;&lt;rec-number&gt;80&lt;/rec-number&gt;&lt;foreign-keys&gt;&lt;key app="EN" db-id="sz9092dv2s5fpze9wpgx0zxgv5ar00aezrvf" timestamp="0"&gt;80&lt;/key&gt;&lt;/foreign-keys&gt;&lt;ref-type name="Journal Article"&gt;17&lt;/ref-type&gt;&lt;contributors&gt;&lt;authors&gt;&lt;author&gt;Kuznets, Simon&lt;/author&gt;&lt;/authors&gt;&lt;/contributors&gt;&lt;titles&gt;&lt;title&gt;Economic growth and income inequality&lt;/title&gt;&lt;secondary-title&gt;The American economic review&lt;/secondary-title&gt;&lt;/titles&gt;&lt;pages&gt;1-28&lt;/pages&gt;&lt;dates&gt;&lt;year&gt;1955&lt;/year&gt;&lt;/dates&gt;&lt;isbn&gt;0002-8282&lt;/isbn&gt;&lt;urls&gt;&lt;/urls&gt;&lt;/record&gt;&lt;/Cite&gt;&lt;Cite&gt;&lt;Author&gt;Kuznets&lt;/Author&gt;&lt;Year&gt;1955&lt;/Year&gt;&lt;RecNum&gt;80&lt;/RecNum&gt;&lt;record&gt;&lt;rec-number&gt;80&lt;/rec-number&gt;&lt;foreign-keys&gt;&lt;key app="EN" db-id="sz9092dv2s5fpze9wpgx0zxgv5ar00aezrvf" timestamp="0"&gt;80&lt;/key&gt;&lt;/foreign-keys&gt;&lt;ref-type name="Journal Article"&gt;17&lt;/ref-type&gt;&lt;contributors&gt;&lt;authors&gt;&lt;author&gt;Kuznets, Simon&lt;/author&gt;&lt;/authors&gt;&lt;/contributors&gt;&lt;titles&gt;&lt;title&gt;Economic growth and income inequality&lt;/title&gt;&lt;secondary-title&gt;The American economic review&lt;/secondary-title&gt;&lt;/titles&gt;&lt;pages&gt;1-28&lt;/pages&gt;&lt;dates&gt;&lt;year&gt;1955&lt;/year&gt;&lt;/dates&gt;&lt;isbn&gt;0002-8282&lt;/isbn&gt;&lt;urls&gt;&lt;/urls&gt;&lt;/record&gt;&lt;/Cite&gt;&lt;/EndNote&gt;</w:instrText>
      </w:r>
      <w:r w:rsidRPr="00F10391">
        <w:fldChar w:fldCharType="end"/>
      </w:r>
      <w:r w:rsidRPr="00F10391">
        <w:fldChar w:fldCharType="begin">
          <w:fldData xml:space="preserve">PEVuZE5vdGU+PENpdGUgSGlkZGVuPSIxIj48QXV0aG9yPkt1em5ldHM8L0F1dGhvcj48WWVhcj4x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cmxzPjwvcmVjb3JkPjwvQ2l0ZT48Q2l0ZT48QXV0aG9yPkt1em5ldHM8L0F1dGhvcj48WWVhcj4x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cmxzPjwvcmVjb3JkPjwvQ2l0ZT48Q2l0ZT48QXV0aG9yPkt1em5ldHM8L0F1dGhvcj48WWVhcj4x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cmxzPjwvcmVjb3JkPjwvQ2l0ZT48Q2l0ZSBIaWRkZW49IjEiPjxBdXRob3I+S3V6bmV0czwvQXV0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</w:fldData>
        </w:fldChar>
      </w:r>
      <w:r w:rsidRPr="00F10391">
        <w:instrText xml:space="preserve"> ADDIN EN.CITE </w:instrText>
      </w:r>
      <w:r w:rsidRPr="00F10391">
        <w:fldChar w:fldCharType="begin">
          <w:fldData xml:space="preserve">PEVuZE5vdGU+PENpdGUgSGlkZGVuPSIxIj48QXV0aG9yPkt1em5ldHM8L0F1dGhvcj48WWVhcj4x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cmxzPjwvcmVjb3JkPjwvQ2l0ZT48Q2l0ZT48QXV0aG9yPkt1em5ldHM8L0F1dGhvcj48WWVhcj4x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cmxzPjwvcmVjb3JkPjwvQ2l0ZT48Q2l0ZT48QXV0aG9yPkt1em5ldHM8L0F1dGhvcj48WWVhcj4x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</w:fldData>
        </w:fldChar>
      </w:r>
      <w:r w:rsidRPr="00F10391">
        <w:instrText xml:space="preserve"> ADDIN EN.CITE.DATA </w:instrText>
      </w:r>
      <w:r w:rsidRPr="00F10391">
        <w:fldChar w:fldCharType="end"/>
      </w:r>
      <w:r w:rsidRPr="00F10391">
        <w:fldChar w:fldCharType="end"/>
      </w:r>
    </w:p>
    <w:p w14:paraId="156677E7" w14:textId="77777777" w:rsidR="00D22CE3" w:rsidRPr="00F10391" w:rsidRDefault="00D22CE3">
      <w:bookmarkStart w:id="518" w:name="_Toc444180817"/>
      <w:bookmarkStart w:id="519" w:name="_Toc283984237"/>
      <w:r w:rsidRPr="00F10391">
        <w:t xml:space="preserve">An example framework from start to finish for developing the economic model, taken from PH41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is shown in Figure 5.1, displaying the variety of stages required from defining to whom the modelling stage should apply through to quantifying the cost-effectiveness in monetary units.</w:t>
      </w:r>
    </w:p>
    <w:p w14:paraId="1712A7AC" w14:textId="77777777" w:rsidR="00D22CE3" w:rsidRPr="00F10391" w:rsidRDefault="00D22CE3"/>
    <w:p w14:paraId="41B7214A" w14:textId="258F3BF0" w:rsidR="00D22CE3" w:rsidRPr="00F10391" w:rsidRDefault="00D22CE3">
      <w:pPr>
        <w:pStyle w:val="Caption"/>
        <w:rPr>
          <w:lang w:eastAsia="en-IE"/>
        </w:rPr>
      </w:pPr>
      <w:bookmarkStart w:id="520" w:name="_Toc476241454"/>
      <w:r w:rsidRPr="00F10391">
        <w:lastRenderedPageBreak/>
        <w:t xml:space="preserve">Figure </w:t>
      </w:r>
      <w:r w:rsidR="000F1034">
        <w:fldChar w:fldCharType="begin"/>
      </w:r>
      <w:r w:rsidR="000F1034">
        <w:instrText xml:space="preserve"> STYLEREF 1 \s </w:instrText>
      </w:r>
      <w:r w:rsidR="000F1034">
        <w:fldChar w:fldCharType="separate"/>
      </w:r>
      <w:r w:rsidR="00B37229">
        <w:rPr>
          <w:noProof/>
        </w:rPr>
        <w:t>5</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Example prospective modelling framework, as used in PH41</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bookmarkEnd w:id="518"/>
      <w:r w:rsidR="00700267">
        <w:rPr>
          <w:noProof/>
        </w:rPr>
        <w:t>[191]</w:t>
      </w:r>
      <w:bookmarkEnd w:id="520"/>
      <w:r w:rsidRPr="00F10391">
        <w:fldChar w:fldCharType="end"/>
      </w:r>
      <w:r w:rsidRPr="00F10391">
        <w:rPr>
          <w:lang w:eastAsia="en-IE"/>
        </w:rPr>
        <w:t xml:space="preserve"> </w:t>
      </w:r>
    </w:p>
    <w:p w14:paraId="2984E961" w14:textId="77777777" w:rsidR="00D22CE3" w:rsidRPr="00F10391" w:rsidRDefault="00D22CE3">
      <w:pPr>
        <w:rPr>
          <w:lang w:eastAsia="en-IE"/>
        </w:rPr>
      </w:pPr>
      <w:r w:rsidRPr="00F10391">
        <w:rPr>
          <w:noProof/>
          <w:lang w:val="en-IE" w:eastAsia="en-IE"/>
        </w:rPr>
        <mc:AlternateContent>
          <mc:Choice Requires="wps">
            <w:drawing>
              <wp:inline distT="0" distB="0" distL="0" distR="0" wp14:anchorId="6C0A5325" wp14:editId="1CA96397">
                <wp:extent cx="5791200" cy="7642746"/>
                <wp:effectExtent l="0" t="0" r="19050" b="158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642746"/>
                        </a:xfrm>
                        <a:prstGeom prst="rect">
                          <a:avLst/>
                        </a:prstGeom>
                        <a:solidFill>
                          <a:srgbClr val="FFFFFF"/>
                        </a:solidFill>
                        <a:ln w="9525">
                          <a:solidFill>
                            <a:srgbClr val="000000"/>
                          </a:solidFill>
                          <a:miter lim="800000"/>
                          <a:headEnd/>
                          <a:tailEnd/>
                        </a:ln>
                      </wps:spPr>
                      <wps:txbx>
                        <w:txbxContent>
                          <w:p w14:paraId="78FBBE63" w14:textId="77777777" w:rsidR="0063065F" w:rsidRDefault="0063065F" w:rsidP="0063065F">
                            <w:pPr>
                              <w:pStyle w:val="ListParagraph"/>
                              <w:numPr>
                                <w:ilvl w:val="0"/>
                                <w:numId w:val="50"/>
                              </w:numPr>
                            </w:pPr>
                            <w:r>
                              <w:t>Define population subgroups</w:t>
                            </w:r>
                          </w:p>
                          <w:p w14:paraId="6CC3C71C" w14:textId="77777777" w:rsidR="0063065F" w:rsidRDefault="0063065F" w:rsidP="0063065F">
                            <w:r>
                              <w:t>Identify and examine the basic features of the available datasets and whether they can be used as representative of the general population</w:t>
                            </w:r>
                          </w:p>
                          <w:p w14:paraId="2DBA73C9" w14:textId="77777777" w:rsidR="0063065F" w:rsidRDefault="0063065F" w:rsidP="0063065F">
                            <w:pPr>
                              <w:pStyle w:val="ListParagraph"/>
                              <w:numPr>
                                <w:ilvl w:val="0"/>
                                <w:numId w:val="50"/>
                              </w:numPr>
                            </w:pPr>
                            <w:r>
                              <w:t>Identify behaviour and outcomes to include</w:t>
                            </w:r>
                          </w:p>
                          <w:p w14:paraId="64F8AE2C" w14:textId="77777777" w:rsidR="0063065F" w:rsidRDefault="0063065F" w:rsidP="0063065F">
                            <w:r>
                              <w:t>Consider the outcomes used in previous studies and models. The scope of this project related to the effects of increased walking and cycling on personal health and the wider environment and economy, so each of these areas must be investigated.</w:t>
                            </w:r>
                          </w:p>
                          <w:p w14:paraId="333ECB1E" w14:textId="77777777" w:rsidR="0063065F" w:rsidRDefault="0063065F" w:rsidP="0063065F">
                            <w:pPr>
                              <w:pStyle w:val="ListParagraph"/>
                              <w:numPr>
                                <w:ilvl w:val="0"/>
                                <w:numId w:val="50"/>
                              </w:numPr>
                            </w:pPr>
                            <w:r>
                              <w:t>Assess baseline behavioural measures</w:t>
                            </w:r>
                          </w:p>
                          <w:p w14:paraId="0B02FE6A" w14:textId="77777777" w:rsidR="0063065F" w:rsidRDefault="0063065F" w:rsidP="0063065F">
                            <w:r>
                              <w:t>Find a suitable way of projecting the effects of a “do nothing” approach as the comparator. The DfT’s National Transport Model “TEMPRO” was identified, which predicts patterns in future car ownership and usage.</w:t>
                            </w:r>
                          </w:p>
                          <w:p w14:paraId="0CE6EB0C" w14:textId="77777777" w:rsidR="0063065F" w:rsidRDefault="0063065F" w:rsidP="0063065F">
                            <w:pPr>
                              <w:pStyle w:val="ListParagraph"/>
                              <w:numPr>
                                <w:ilvl w:val="0"/>
                                <w:numId w:val="50"/>
                              </w:numPr>
                            </w:pPr>
                            <w:r>
                              <w:t>Specify baseline for policy variables and interventions</w:t>
                            </w:r>
                          </w:p>
                          <w:p w14:paraId="11D3EA3A" w14:textId="77777777" w:rsidR="0063065F" w:rsidRDefault="0063065F" w:rsidP="0063065F">
                            <w:r>
                              <w:t>Identify appropriate interventions from the evidence review, in line with scope</w:t>
                            </w:r>
                          </w:p>
                          <w:p w14:paraId="09CD75C3" w14:textId="77777777" w:rsidR="0063065F" w:rsidRDefault="0063065F" w:rsidP="0063065F">
                            <w:pPr>
                              <w:pStyle w:val="ListParagraph"/>
                              <w:numPr>
                                <w:ilvl w:val="0"/>
                                <w:numId w:val="50"/>
                              </w:numPr>
                            </w:pPr>
                            <w:r>
                              <w:t>Estimate intervention effectiveness on change in outcome measures</w:t>
                            </w:r>
                          </w:p>
                          <w:p w14:paraId="2A2B6048" w14:textId="77777777" w:rsidR="0063065F" w:rsidRDefault="0063065F" w:rsidP="0063065F">
                            <w:pPr>
                              <w:rPr>
                                <w:i/>
                              </w:rPr>
                            </w:pPr>
                            <w:r>
                              <w:t>There is no commonly used outcomes measure across studies - e.g. time spent travelling by each mode, proportion of trips taken by each mode, etc. – so modellers need to identify a common metric which is suitable for deriving both health and non-health outcomes. Prior studies may have different group compositions, which may lead to ungeneralisable outcomes, which must be managed carefully. In practice, the model initially used a step-wise function to indicate the probability a threshold level of exercise would be reached, but after discussions with the PDG a continuous model was also estimated.</w:t>
                            </w:r>
                          </w:p>
                          <w:p w14:paraId="5D196499" w14:textId="77777777" w:rsidR="0063065F" w:rsidRDefault="0063065F" w:rsidP="0063065F">
                            <w:pPr>
                              <w:pStyle w:val="ListParagraph"/>
                              <w:numPr>
                                <w:ilvl w:val="0"/>
                                <w:numId w:val="50"/>
                              </w:numPr>
                            </w:pPr>
                            <w:r>
                              <w:t>Quantify benefits of behaviour change</w:t>
                            </w:r>
                          </w:p>
                          <w:p w14:paraId="3235357F" w14:textId="77777777" w:rsidR="0063065F" w:rsidRDefault="0063065F" w:rsidP="0063065F">
                            <w:r>
                              <w:t>This metric must then be converted into the estimated effects on mortality, morbidity, quality of life as well as the non-health aspects.</w:t>
                            </w:r>
                          </w:p>
                          <w:p w14:paraId="3E5222E7" w14:textId="77777777" w:rsidR="0063065F" w:rsidRDefault="0063065F" w:rsidP="0063065F">
                            <w:pPr>
                              <w:pStyle w:val="ListParagraph"/>
                              <w:numPr>
                                <w:ilvl w:val="0"/>
                                <w:numId w:val="50"/>
                              </w:numPr>
                            </w:pPr>
                            <w:r>
                              <w:t>Monetary valuation</w:t>
                            </w:r>
                          </w:p>
                          <w:p w14:paraId="7011C29E" w14:textId="77777777" w:rsidR="0063065F" w:rsidRDefault="0063065F" w:rsidP="0063065F">
                            <w:r>
                              <w:t>For CBA, costs should be available from reference costs to healthcare provider, though incorporating wider non-health costs will be challenging. There are monetary valuations possible, which may vary according to the relevant body, including the Department of Health.</w:t>
                            </w:r>
                          </w:p>
                          <w:p w14:paraId="74642B45" w14:textId="77777777" w:rsidR="0063065F" w:rsidRDefault="0063065F" w:rsidP="0063065F"/>
                        </w:txbxContent>
                      </wps:txbx>
                      <wps:bodyPr rot="0" vert="horz" wrap="square" lIns="91440" tIns="45720" rIns="91440" bIns="45720" anchor="t" anchorCtr="0" upright="1">
                        <a:noAutofit/>
                      </wps:bodyPr>
                    </wps:wsp>
                  </a:graphicData>
                </a:graphic>
              </wp:inline>
            </w:drawing>
          </mc:Choice>
          <mc:Fallback>
            <w:pict>
              <v:shape w14:anchorId="6C0A5325" id="Text Box 27" o:spid="_x0000_s1029" type="#_x0000_t202" style="width:456pt;height:60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">
                <v:textbox>
                  <w:txbxContent>
                    <w:p w14:paraId="78FBBE63" w14:textId="77777777" w:rsidR="0063065F" w:rsidRDefault="0063065F" w:rsidP="0063065F">
                      <w:pPr>
                        <w:pStyle w:val="ListParagraph"/>
                        <w:numPr>
                          <w:ilvl w:val="0"/>
                          <w:numId w:val="50"/>
                        </w:numPr>
                      </w:pPr>
                      <w:r>
                        <w:t>Define population subgroups</w:t>
                      </w:r>
                    </w:p>
                    <w:p w14:paraId="6CC3C71C" w14:textId="77777777" w:rsidR="0063065F" w:rsidRDefault="0063065F" w:rsidP="0063065F">
                      <w:r>
                        <w:t>Identify and examine the basic features of the available datasets and whether they can be used as representative of the general population</w:t>
                      </w:r>
                    </w:p>
                    <w:p w14:paraId="2DBA73C9" w14:textId="77777777" w:rsidR="0063065F" w:rsidRDefault="0063065F" w:rsidP="0063065F">
                      <w:pPr>
                        <w:pStyle w:val="ListParagraph"/>
                        <w:numPr>
                          <w:ilvl w:val="0"/>
                          <w:numId w:val="50"/>
                        </w:numPr>
                      </w:pPr>
                      <w:r>
                        <w:t>Identify behaviour and outcomes to include</w:t>
                      </w:r>
                    </w:p>
                    <w:p w14:paraId="64F8AE2C" w14:textId="77777777" w:rsidR="0063065F" w:rsidRDefault="0063065F" w:rsidP="0063065F">
                      <w:r>
                        <w:t>Consider the outcomes used in previous studies and models. The scope of this project related to the effects of increased walking and cycling on personal health and the wider environment and economy, so each of these areas must be investigated.</w:t>
                      </w:r>
                    </w:p>
                    <w:p w14:paraId="333ECB1E" w14:textId="77777777" w:rsidR="0063065F" w:rsidRDefault="0063065F" w:rsidP="0063065F">
                      <w:pPr>
                        <w:pStyle w:val="ListParagraph"/>
                        <w:numPr>
                          <w:ilvl w:val="0"/>
                          <w:numId w:val="50"/>
                        </w:numPr>
                      </w:pPr>
                      <w:r>
                        <w:t>Assess baseline behavioural measures</w:t>
                      </w:r>
                    </w:p>
                    <w:p w14:paraId="0B02FE6A" w14:textId="77777777" w:rsidR="0063065F" w:rsidRDefault="0063065F" w:rsidP="0063065F">
                      <w:r>
                        <w:t>Find a suitable way of projecting the effects of a “do nothing” approach as the comparator. The DfT’s National Transport Model “TEMPRO” was identified, which predicts patterns in future car ownership and usage.</w:t>
                      </w:r>
                    </w:p>
                    <w:p w14:paraId="0CE6EB0C" w14:textId="77777777" w:rsidR="0063065F" w:rsidRDefault="0063065F" w:rsidP="0063065F">
                      <w:pPr>
                        <w:pStyle w:val="ListParagraph"/>
                        <w:numPr>
                          <w:ilvl w:val="0"/>
                          <w:numId w:val="50"/>
                        </w:numPr>
                      </w:pPr>
                      <w:r>
                        <w:t>Specify baseline for policy variables and interventions</w:t>
                      </w:r>
                    </w:p>
                    <w:p w14:paraId="11D3EA3A" w14:textId="77777777" w:rsidR="0063065F" w:rsidRDefault="0063065F" w:rsidP="0063065F">
                      <w:r>
                        <w:t>Identify appropriate interventions from the evidence review, in line with scope</w:t>
                      </w:r>
                    </w:p>
                    <w:p w14:paraId="09CD75C3" w14:textId="77777777" w:rsidR="0063065F" w:rsidRDefault="0063065F" w:rsidP="0063065F">
                      <w:pPr>
                        <w:pStyle w:val="ListParagraph"/>
                        <w:numPr>
                          <w:ilvl w:val="0"/>
                          <w:numId w:val="50"/>
                        </w:numPr>
                      </w:pPr>
                      <w:r>
                        <w:t>Estimate intervention effectiveness on change in outcome measures</w:t>
                      </w:r>
                    </w:p>
                    <w:p w14:paraId="2A2B6048" w14:textId="77777777" w:rsidR="0063065F" w:rsidRDefault="0063065F" w:rsidP="0063065F">
                      <w:pPr>
                        <w:rPr>
                          <w:i/>
                        </w:rPr>
                      </w:pPr>
                      <w:r>
                        <w:t>There is no commonly used outcomes measure across studies - e.g. time spent travelling by each mode, proportion of trips taken by each mode, etc. – so modellers need to identify a common metric which is suitable for deriving both health and non-health outcomes. Prior studies may have different group compositions, which may lead to ungeneralisable outcomes, which must be managed carefully. In practice, the model initially used a step-wise function to indicate the probability a threshold level of exercise would be reached, but after discussions with the PDG a continuous model was also estimated.</w:t>
                      </w:r>
                    </w:p>
                    <w:p w14:paraId="5D196499" w14:textId="77777777" w:rsidR="0063065F" w:rsidRDefault="0063065F" w:rsidP="0063065F">
                      <w:pPr>
                        <w:pStyle w:val="ListParagraph"/>
                        <w:numPr>
                          <w:ilvl w:val="0"/>
                          <w:numId w:val="50"/>
                        </w:numPr>
                      </w:pPr>
                      <w:r>
                        <w:t>Quantify benefits of behaviour change</w:t>
                      </w:r>
                    </w:p>
                    <w:p w14:paraId="3235357F" w14:textId="77777777" w:rsidR="0063065F" w:rsidRDefault="0063065F" w:rsidP="0063065F">
                      <w:r>
                        <w:t>This metric must then be converted into the estimated effects on mortality, morbidity, quality of life as well as the non-health aspects.</w:t>
                      </w:r>
                    </w:p>
                    <w:p w14:paraId="3E5222E7" w14:textId="77777777" w:rsidR="0063065F" w:rsidRDefault="0063065F" w:rsidP="0063065F">
                      <w:pPr>
                        <w:pStyle w:val="ListParagraph"/>
                        <w:numPr>
                          <w:ilvl w:val="0"/>
                          <w:numId w:val="50"/>
                        </w:numPr>
                      </w:pPr>
                      <w:r>
                        <w:t>Monetary valuation</w:t>
                      </w:r>
                    </w:p>
                    <w:p w14:paraId="7011C29E" w14:textId="77777777" w:rsidR="0063065F" w:rsidRDefault="0063065F" w:rsidP="0063065F">
                      <w:r>
                        <w:t>For CBA, costs should be available from reference costs to healthcare provider, though incorporating wider non-health costs will be challenging. There are monetary valuations possible, which may vary according to the relevant body, including the Department of Health.</w:t>
                      </w:r>
                    </w:p>
                    <w:p w14:paraId="74642B45" w14:textId="77777777" w:rsidR="0063065F" w:rsidRDefault="0063065F" w:rsidP="0063065F"/>
                  </w:txbxContent>
                </v:textbox>
                <w10:anchorlock/>
              </v:shape>
            </w:pict>
          </mc:Fallback>
        </mc:AlternateContent>
      </w:r>
    </w:p>
    <w:p w14:paraId="6AF9EB61" w14:textId="77777777" w:rsidR="00D22CE3" w:rsidRPr="00F10391" w:rsidRDefault="00D22CE3" w:rsidP="0063065F">
      <w:pPr>
        <w:rPr>
          <w:rFonts w:eastAsia="Times New Roman"/>
        </w:rPr>
      </w:pPr>
      <w:bookmarkStart w:id="521" w:name="_Toc441508987"/>
      <w:bookmarkStart w:id="522" w:name="_Toc304640266"/>
      <w:bookmarkStart w:id="523" w:name="_Toc283984176"/>
      <w:bookmarkEnd w:id="519"/>
      <w:r w:rsidRPr="00F10391">
        <w:br w:type="page"/>
      </w:r>
    </w:p>
    <w:p w14:paraId="10C7CA79" w14:textId="77777777" w:rsidR="00D22CE3" w:rsidRPr="00F10391" w:rsidRDefault="00D22CE3" w:rsidP="00494A9A">
      <w:pPr>
        <w:pStyle w:val="Numberedheading2"/>
      </w:pPr>
      <w:bookmarkStart w:id="524" w:name="_Toc453235425"/>
      <w:bookmarkStart w:id="525" w:name="_Toc453595498"/>
      <w:bookmarkStart w:id="526" w:name="_Toc476241595"/>
      <w:r w:rsidRPr="00F10391">
        <w:lastRenderedPageBreak/>
        <w:t>5.2</w:t>
      </w:r>
      <w:r w:rsidRPr="00F10391">
        <w:tab/>
      </w:r>
      <w:r w:rsidRPr="00F10391">
        <w:tab/>
        <w:t>Review of previous CPH economic modelling</w:t>
      </w:r>
      <w:bookmarkEnd w:id="521"/>
      <w:bookmarkEnd w:id="522"/>
      <w:bookmarkEnd w:id="523"/>
      <w:bookmarkEnd w:id="524"/>
      <w:bookmarkEnd w:id="525"/>
      <w:bookmarkEnd w:id="526"/>
    </w:p>
    <w:p w14:paraId="5BAF3C87" w14:textId="77777777" w:rsidR="00D22CE3" w:rsidRPr="00F10391" w:rsidRDefault="00D22CE3" w:rsidP="00494A9A"/>
    <w:p w14:paraId="6CB1E633" w14:textId="77777777" w:rsidR="00D22CE3" w:rsidRPr="00F10391" w:rsidRDefault="004B026D" w:rsidP="00490B5D">
      <w:pPr>
        <w:pStyle w:val="Heading3"/>
      </w:pPr>
      <w:bookmarkStart w:id="527" w:name="_Toc453235426"/>
      <w:bookmarkStart w:id="528" w:name="_Toc453595499"/>
      <w:bookmarkStart w:id="529" w:name="_Toc476241596"/>
      <w:r w:rsidRPr="00F10391">
        <w:t>5.2.1</w:t>
      </w:r>
      <w:r w:rsidR="00D22CE3" w:rsidRPr="00F10391">
        <w:tab/>
      </w:r>
      <w:r w:rsidR="00D22CE3" w:rsidRPr="00F10391">
        <w:tab/>
        <w:t>Methods</w:t>
      </w:r>
      <w:bookmarkEnd w:id="527"/>
      <w:bookmarkEnd w:id="528"/>
      <w:bookmarkEnd w:id="529"/>
    </w:p>
    <w:p w14:paraId="7FD92696" w14:textId="77777777" w:rsidR="00D22CE3" w:rsidRPr="00F10391" w:rsidRDefault="00D22CE3" w:rsidP="00490B5D">
      <w:r w:rsidRPr="00F10391">
        <w:t xml:space="preserve">The economic modelling reports described in this chapter are all publicly available on the NICE website. Each guidance topic’s page has an ‘Evidence’ section, which lists relevant reports that offer supporting evidence on which the subsequent decisions were based. These vary from topic to topic but typically contain an effectiveness/cost-effectiveness literature review, an economic modelling report and (if a sufficiently long period has passed since the guidance was issued) a report reviewing whether or not to update the guidance. On occasions other reports are included such as fieldwork, qualitative approaches or case studies. Reports do not have a standardised nomenclature and at times, the modelling report is incorporated into the literature review. </w:t>
      </w:r>
    </w:p>
    <w:p w14:paraId="48AA56A2" w14:textId="77777777" w:rsidR="00D22CE3" w:rsidRPr="00F10391" w:rsidRDefault="00D22CE3" w:rsidP="006942ED">
      <w:r w:rsidRPr="00F10391">
        <w:t xml:space="preserve">For this review, all economic modelling reports have been investigated. Where these are not listed, evidence/effectiveness/cost-effectiveness reports were reviewed to ensure that no model instead listed there was missed. For topics that instead reviewed a series of case studies to illustrate the potential cost-effectiveness of approaches - such as </w:t>
      </w:r>
      <w:r w:rsidRPr="00F10391">
        <w:rPr>
          <w:i/>
          <w:lang w:eastAsia="en-US"/>
        </w:rPr>
        <w:t>Strategies to prevent unintentional injuries among under-15s</w:t>
      </w:r>
      <w:r w:rsidRPr="00F10391">
        <w:rPr>
          <w:lang w:eastAsia="en-US"/>
        </w:rPr>
        <w:t xml:space="preserve"> (</w:t>
      </w:r>
      <w:r w:rsidRPr="00F10391">
        <w:t>PH29) – these case reports were also investigated and described.</w:t>
      </w:r>
    </w:p>
    <w:p w14:paraId="49CA4E5B" w14:textId="77777777" w:rsidR="00D22CE3" w:rsidRPr="00F10391" w:rsidRDefault="00D22CE3">
      <w:r w:rsidRPr="00F10391">
        <w:t xml:space="preserve">There was no simple one-to-one relationship between topics and modelling reports. While some guidance did not require any modelling approaches, others used multiple models in the same report, or across multiple reports. Sometimes this was to reflect topics where different perspectives are possible, such as initially using an NHS and PSS perspective before investigating the effect of considering further public sector or societal issues. On occasions where a topic is broadly defined, a wide variety of very different interventions may fit under the definition and in such cases a smattering of these may be used as case studies. </w:t>
      </w:r>
    </w:p>
    <w:p w14:paraId="712CDA2A" w14:textId="77777777" w:rsidR="00D22CE3" w:rsidRPr="00F10391" w:rsidRDefault="00D22CE3"/>
    <w:p w14:paraId="60BA66AE" w14:textId="77777777" w:rsidR="00D22CE3" w:rsidRPr="00F10391" w:rsidRDefault="00D22CE3">
      <w:pPr>
        <w:pStyle w:val="Heading3"/>
      </w:pPr>
      <w:bookmarkStart w:id="530" w:name="_Toc453235427"/>
      <w:bookmarkStart w:id="531" w:name="_Toc453595500"/>
      <w:bookmarkStart w:id="532" w:name="_Toc476241597"/>
      <w:r w:rsidRPr="00F10391">
        <w:t>5.2.2</w:t>
      </w:r>
      <w:r w:rsidRPr="00F10391">
        <w:tab/>
      </w:r>
      <w:r w:rsidRPr="00F10391">
        <w:tab/>
        <w:t>Results</w:t>
      </w:r>
      <w:bookmarkEnd w:id="530"/>
      <w:bookmarkEnd w:id="531"/>
      <w:bookmarkEnd w:id="532"/>
    </w:p>
    <w:p w14:paraId="6A0210ED" w14:textId="77777777" w:rsidR="00D22CE3" w:rsidRPr="00F10391" w:rsidRDefault="00D22CE3">
      <w:r w:rsidRPr="00F10391">
        <w:t xml:space="preserve">Unsurprisingly, the primary criterion used to quantify the benefits of interventions has been health and generally represented by QALYs, though there have been both exceptions and additions to this. ICERs have subsequently been calculated using a variety of approaches, such as Markov modelling, state transition modelling, cohort simulation studies, and by what-if and break-even analyses. These last approaches can be employed where data is lacking in order to investigate whether the minimum improvements required for an intervention to be deemed cost-effective seem credible. At times, the number of deaths or cases averted is shown (e.g. PH41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xml:space="preserve">) in addition to the QALY measurements; in principle, such an approach could be expanded upon more formally in a CCA. For simple cases using CUA, the QALYs lost to mortality and morbidity are calculated, such as from fatal and non-fatal myocardial infarctions (PH6 </w:t>
      </w:r>
      <w:r w:rsidRPr="00F10391">
        <w:fldChar w:fldCharType="begin"/>
      </w:r>
      <w:r w:rsidR="00700267">
        <w:instrText xml:space="preserve"> ADDIN EN.CITE &lt;EndNote&gt;&lt;Cite&gt;&lt;Author&gt;NICE&lt;/Author&gt;&lt;Year&gt;2007&lt;/Year&gt;&lt;RecNum&gt;204&lt;/RecNum&gt;&lt;DisplayText&gt;[220]&lt;/DisplayText&gt;&lt;record&gt;&lt;rec-number&gt;204&lt;/rec-number&gt;&lt;foreign-keys&gt;&lt;key app="EN" db-id="sz9092dv2s5fpze9wpgx0zxgv5ar00aezrvf" timestamp="0"&gt;204&lt;/key&gt;&lt;/foreign-keys&gt;&lt;ref-type name="Report"&gt;27&lt;/ref-type&gt;&lt;contributors&gt;&lt;authors&gt;&lt;author&gt;NICE&lt;/author&gt;&lt;/authors&gt;&lt;/contributors&gt;&lt;titles&gt;&lt;title&gt;Behaviour change: the principles for effective interventions&lt;/title&gt;&lt;secondary-title&gt;PH6&lt;/secondary-title&gt;&lt;/titles&gt;&lt;dates&gt;&lt;year&gt;2007&lt;/year&gt;&lt;/dates&gt;&lt;pub-location&gt;London&lt;/pub-location&gt;&lt;publisher&gt;National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[220]</w:t>
      </w:r>
      <w:r w:rsidRPr="00F10391">
        <w:fldChar w:fldCharType="end"/>
      </w:r>
      <w:r w:rsidRPr="00F10391">
        <w:t xml:space="preserve">). Where the data are available, and a broader perspective is required, the reduction in quality of life associated with non-health causes may also be incorporated. However, in many cases, such research may not previously have been carried out and cannot therefore be reliably quantified, so these outcomes are excluded from the </w:t>
      </w:r>
      <w:r w:rsidRPr="00F10391">
        <w:lastRenderedPageBreak/>
        <w:t xml:space="preserve">model. In </w:t>
      </w:r>
      <w:r w:rsidRPr="00F10391">
        <w:rPr>
          <w:i/>
        </w:rPr>
        <w:t xml:space="preserve">Interventions to reduce substance misuse among vulnerable young people </w:t>
      </w:r>
      <w:r w:rsidRPr="00F10391">
        <w:t xml:space="preserve">(PH4 </w:t>
      </w:r>
      <w:r w:rsidRPr="00F10391">
        <w:fldChar w:fldCharType="begin"/>
      </w:r>
      <w:r w:rsidR="00700267">
        <w:instrText xml:space="preserve"> ADDIN EN.CITE &lt;EndNote&gt;&lt;Cite&gt;&lt;Author&gt;NICE&lt;/Author&gt;&lt;Year&gt;2007&lt;/Year&gt;&lt;RecNum&gt;202&lt;/RecNum&gt;&lt;DisplayText&gt;[231]&lt;/DisplayText&gt;&lt;record&gt;&lt;rec-number&gt;202&lt;/rec-number&gt;&lt;foreign-keys&gt;&lt;key app="EN" db-id="sz9092dv2s5fpze9wpgx0zxgv5ar00aezrvf" timestamp="0"&gt;202&lt;/key&gt;&lt;/foreign-keys&gt;&lt;ref-type name="Report"&gt;27&lt;/ref-type&gt;&lt;contributors&gt;&lt;authors&gt;&lt;author&gt;NICE&lt;/author&gt;&lt;/authors&gt;&lt;/contributors&gt;&lt;titles&gt;&lt;title&gt;Interventions to reduce substance misuse among vulnerable young people&lt;/title&gt;&lt;secondary-title&gt;PH4&lt;/secondary-title&gt;&lt;/titles&gt;&lt;dates&gt;&lt;year&gt;2007&lt;/year&gt;&lt;/dates&gt;&lt;pub-location&gt;London&lt;/pub-location&gt;&lt;publisher&gt;National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[231]</w:t>
      </w:r>
      <w:r w:rsidRPr="00F10391">
        <w:fldChar w:fldCharType="end"/>
      </w:r>
      <w:r w:rsidRPr="00F10391">
        <w:t>) for example, the reduction in QALYs associated with robbery was included because a previous study had estimated this effect. But the effects of other crimes listed in the model were excluded as no such study had been carried out, though it is relatively clear that these would similarly have had a negative effect on people’s lives and health (as would the effect of unemployment, which was excluded for the same reason). Similarly, guidance on</w:t>
      </w:r>
      <w:r w:rsidRPr="00F10391">
        <w:rPr>
          <w:i/>
        </w:rPr>
        <w:t xml:space="preserve"> Managing overweight and obesity among children and young people: lifestyle weight management services</w:t>
      </w:r>
      <w:r w:rsidRPr="00F10391">
        <w:t xml:space="preserve"> (PH47 </w:t>
      </w:r>
      <w:r w:rsidRPr="00F10391">
        <w:fldChar w:fldCharType="begin"/>
      </w:r>
      <w:r w:rsidR="00700267">
        <w:instrText xml:space="preserve"> ADDIN EN.CITE &lt;EndNote&gt;&lt;Cite&gt;&lt;Author&gt;NICE&lt;/Author&gt;&lt;Year&gt;2013&lt;/Year&gt;&lt;RecNum&gt;245&lt;/RecNum&gt;&lt;DisplayText&gt;[238]&lt;/DisplayText&gt;&lt;record&gt;&lt;rec-number&gt;245&lt;/rec-number&gt;&lt;foreign-keys&gt;&lt;key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w:t>
      </w:r>
      <w:r w:rsidRPr="00F10391">
        <w:fldChar w:fldCharType="end"/>
      </w:r>
      <w:r w:rsidRPr="00F10391">
        <w:t>) explains that while related bullying and subsequent mental health issues are clearly relevant to the decision, and very much a real phenomenon, there have been no studies indicating the health-related quality of life impact.  Because these may well be implicitly included in prior studies, to include them would risk double counting their effects, and should therefore be excluded.</w:t>
      </w:r>
    </w:p>
    <w:p w14:paraId="6C504DA1" w14:textId="77777777" w:rsidR="00D22CE3" w:rsidRPr="00F10391" w:rsidRDefault="00D22CE3">
      <w:r w:rsidRPr="00F10391">
        <w:t xml:space="preserve">Where it is unclear how to translate reported outcomes into QALYs – whether directly health-based or not – these too may be excluded from cost-utility analysis findings, potentially increasing the ICER and making the intervention look less cost-effective than it might otherwise. To a certain extent it may be possible to include such data in other ways, such as using a CCA. In </w:t>
      </w:r>
      <w:r w:rsidRPr="00F10391">
        <w:rPr>
          <w:i/>
        </w:rPr>
        <w:t>Physical activity: brief advice for adults in primary care</w:t>
      </w:r>
      <w:r w:rsidRPr="00F10391">
        <w:t xml:space="preserve"> (PH44 </w:t>
      </w:r>
      <w:r w:rsidRPr="00F10391">
        <w:fldChar w:fldCharType="begin"/>
      </w:r>
      <w:r w:rsidR="00700267">
        <w:instrText xml:space="preserve"> ADDIN EN.CITE &lt;EndNote&gt;&lt;Cite&gt;&lt;Author&gt;NICE&lt;/Author&gt;&lt;Year&gt;2013&lt;/Year&gt;&lt;RecNum&gt;242&lt;/RecNum&gt;&lt;DisplayText&gt;[268]&lt;/DisplayText&gt;&lt;record&gt;&lt;rec-number&gt;242&lt;/rec-number&gt;&lt;foreign-keys&gt;&lt;key app="EN" db-id="sz9092dv2s5fpze9wpgx0zxgv5ar00aezrvf" timestamp="0"&gt;242&lt;/key&gt;&lt;/foreign-keys&gt;&lt;ref-type name="Report"&gt;27&lt;/ref-type&gt;&lt;contributors&gt;&lt;authors&gt;&lt;author&gt;NICE&lt;/author&gt;&lt;/authors&gt;&lt;/contributors&gt;&lt;titles&gt;&lt;title&gt;Physical activity: brief advice for adults in primary care&lt;/title&gt;&lt;secondary-title&gt;PH44&lt;/secondary-title&gt;&lt;/titles&gt;&lt;dates&gt;&lt;year&gt;2013&lt;/year&gt;&lt;/dates&gt;&lt;pub-location&gt;London&lt;/pub-location&gt;&lt;publisher&gt;National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[268]</w:t>
      </w:r>
      <w:r w:rsidRPr="00F10391">
        <w:fldChar w:fldCharType="end"/>
      </w:r>
      <w:r w:rsidRPr="00F10391">
        <w:t xml:space="preserve">), for example, the CUA model included the QALY impact of increased physical activity on reducing coronary heart disease, strokes and type 2 diabetes, whereas the CCA approach incorporated these factors alongside the improvement in outcomes in mental health, cancer and a broader range of health effects, as well as further benefits from reduced absenteeism in work. </w:t>
      </w:r>
    </w:p>
    <w:p w14:paraId="5FBF0B27" w14:textId="77777777" w:rsidR="00D22CE3" w:rsidRPr="00F10391" w:rsidRDefault="00D22CE3">
      <w:r w:rsidRPr="00F10391">
        <w:rPr>
          <w:i/>
        </w:rPr>
        <w:t>Smoking cessation in secondary care: acute, maternity and mental health services</w:t>
      </w:r>
      <w:r w:rsidRPr="00F10391">
        <w:t xml:space="preserve"> (PH48 </w:t>
      </w:r>
      <w:r w:rsidRPr="00F10391">
        <w:fldChar w:fldCharType="begin"/>
      </w:r>
      <w:r w:rsidR="00700267">
        <w:instrText xml:space="preserve"> ADDIN EN.CITE &lt;EndNote&gt;&lt;Cite&gt;&lt;Author&gt;NICE&lt;/Author&gt;&lt;Year&gt;2013&lt;/Year&gt;&lt;RecNum&gt;246&lt;/RecNum&gt;&lt;DisplayText&gt;[239]&lt;/DisplayText&gt;&lt;record&gt;&lt;rec-number&gt;246&lt;/rec-number&gt;&lt;foreign-keys&gt;&lt;key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[239]</w:t>
      </w:r>
      <w:r w:rsidRPr="00F10391">
        <w:fldChar w:fldCharType="end"/>
      </w:r>
      <w:r w:rsidRPr="00F10391">
        <w:t xml:space="preserve">) extended this approach further, initially carrying out a CUA using an NHS and PSS perspective and subsequently building upon this. In the original model, a Markov simulation was used, incorporating reduced coronary heart disease, chronic obstructive pulmonary disease, lung cancer, myocardial infarctions and stroke. Because the effectiveness of approaches may vary depending on the setting in which they were employed, models were tested for a variety of case-study type scenarios such as maternal and neonatal health issues, mental health and preoperative settings. Further inputs to each case study specific model could then be more relevant and reliable, and an initial ICER calculated. Subsequent cost savings from offsetting future costs of treating smoking related diseases were next included and a revised “total ICER” calculated. A societal perspective was then used, by incorporating the savings attributable to increased productivity from employees. Though referred to in the text of the report, the corresponding ICERs using this approach appear to have been removed from the relevant tables and net financial savings to employers portrayed instead. </w:t>
      </w:r>
    </w:p>
    <w:p w14:paraId="3F1BC623" w14:textId="77777777" w:rsidR="00D22CE3" w:rsidRPr="00F10391" w:rsidRDefault="00D22CE3">
      <w:r w:rsidRPr="00F10391">
        <w:t xml:space="preserve">Table 5.1 below describes the economic modelling methodologies used in each of the 54 public health guidance topics carried out up to the end of 2014. Where a single model is used, even for multiple interventions or across multiple reports, this is listed only once except in the case of PH12 </w:t>
      </w:r>
      <w:r w:rsidRPr="00F10391">
        <w:fldChar w:fldCharType="begin"/>
      </w:r>
      <w:r w:rsidR="00700267">
        <w:instrText xml:space="preserve"> ADDIN EN.CITE &lt;EndNote&gt;&lt;Cite&gt;&lt;Author&gt;NICE&lt;/Author&gt;&lt;Year&gt;2008&lt;/Year&gt;&lt;RecNum&gt;210&lt;/RecNum&gt;&lt;DisplayText&gt;[276]&lt;/DisplayText&gt;&lt;record&gt;&lt;rec-number&gt;210&lt;/rec-number&gt;&lt;foreign-keys&gt;&lt;key app="EN" db-id="sz9092dv2s5fpze9wpgx0zxgv5ar00aezrvf" timestamp="0"&gt;210&lt;/key&gt;&lt;/foreign-keys&gt;&lt;ref-type name="Report"&gt;27&lt;/ref-type&gt;&lt;contributors&gt;&lt;authors&gt;&lt;author&gt;NICE&lt;/author&gt;&lt;/authors&gt;&lt;/contributors&gt;&lt;titles&gt;&lt;title&gt;Social and emotional wellbeing in primary education&lt;/title&gt;&lt;secondary-title&gt;PH12&lt;/secondary-title&gt;&lt;/titles&gt;&lt;dates&gt;&lt;year&gt;2008&lt;/year&gt;&lt;/dates&gt;&lt;pub-location&gt;London&lt;/pub-location&gt;&lt;publisher&gt;National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[276]</w:t>
      </w:r>
      <w:r w:rsidRPr="00F10391">
        <w:fldChar w:fldCharType="end"/>
      </w:r>
      <w:r w:rsidRPr="00F10391">
        <w:t>, where two wholly different CUA models were used. Non-CUA approa</w:t>
      </w:r>
      <w:r w:rsidR="000127DD" w:rsidRPr="00F10391">
        <w:t xml:space="preserve">ches are described separately. </w:t>
      </w:r>
      <w:r w:rsidRPr="00F10391">
        <w:t xml:space="preserve">At times multiple perspectives were also used as part of the modelling process and at others it was difficult to ascertain which perspective was actually used. In some cases, a public sector or societal approach was claimed, but only health costs and benefits taken in to account (PH32 </w:t>
      </w:r>
      <w:r w:rsidRPr="00F10391">
        <w:fldChar w:fldCharType="begin"/>
      </w:r>
      <w:r w:rsidR="00700267">
        <w:instrText xml:space="preserve"> ADDIN EN.CITE &lt;EndNote&gt;&lt;Cite&gt;&lt;Author&gt;NICE&lt;/Author&gt;&lt;Year&gt;2011&lt;/Year&gt;&lt;RecNum&gt;230&lt;/RecNum&gt;&lt;DisplayText&gt;[270]&lt;/DisplayText&gt;&lt;record&gt;&lt;rec-number&gt;230&lt;/rec-number&gt;&lt;foreign-keys&gt;&lt;key app="EN" db-id="sz9092dv2s5fpze9wpgx0zxgv5ar00aezrvf" timestamp="0"&gt;230&lt;/key&gt;&lt;/foreign-keys&gt;&lt;ref-type name="Report"&gt;27&lt;/ref-type&gt;&lt;contributors&gt;&lt;authors&gt;&lt;author&gt;NICE&lt;/author&gt;&lt;/authors&gt;&lt;/contributors&gt;&lt;titles&gt;&lt;title&gt;Skin cancer prevention: information, resources and environmental changes&lt;/title&gt;&lt;secondary-title&gt;PH32&lt;/secondary-title&gt;&lt;/titles&gt;&lt;dates&gt;&lt;year&gt;2011&lt;/year&gt;&lt;/dates&gt;&lt;pub-location&gt;London&lt;/pub-location&gt;&lt;publisher&gt;National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[270]</w:t>
      </w:r>
      <w:r w:rsidRPr="00F10391">
        <w:fldChar w:fldCharType="end"/>
      </w:r>
      <w:r w:rsidRPr="00F10391">
        <w:t xml:space="preserve">, PH37 </w:t>
      </w:r>
      <w:r w:rsidRPr="00F10391">
        <w:fldChar w:fldCharType="begin"/>
      </w:r>
      <w:r w:rsidR="00700267">
        <w:instrText xml:space="preserve"> ADDIN EN.CITE &lt;EndNote&gt;&lt;Cite&gt;&lt;Author&gt;NICE&lt;/Author&gt;&lt;Year&gt;2012&lt;/Year&gt;&lt;RecNum&gt;235&lt;/RecNum&gt;&lt;DisplayText&gt;[272]&lt;/DisplayText&gt;&lt;record&gt;&lt;rec-number&gt;235&lt;/rec-number&gt;&lt;foreign-keys&gt;&lt;key app="EN" db-id="sz9092dv2s5fpze9wpgx0zxgv5ar00aezrvf" timestamp="0"&gt;235&lt;/key&gt;&lt;/foreign-keys&gt;&lt;ref-type name="Report"&gt;27&lt;/ref-type&gt;&lt;contributors&gt;&lt;authors&gt;&lt;author&gt;NICE&lt;/author&gt;&lt;/authors&gt;&lt;/contributors&gt;&lt;titles&gt;&lt;title&gt;Identifying and managing tuberculosis among hard-to-reach groups&lt;/title&gt;&lt;secondary-title&gt;PH37&lt;/secondary-title&gt;&lt;/titles&gt;&lt;dates&gt;&lt;year&gt;2012&lt;/year&gt;&lt;/dates&gt;&lt;pub-location&gt;London&lt;/pub-location&gt;&lt;publisher&gt;National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[272]</w:t>
      </w:r>
      <w:r w:rsidRPr="00F10391">
        <w:fldChar w:fldCharType="end"/>
      </w:r>
      <w:r w:rsidRPr="00F10391">
        <w:t xml:space="preserve">). This is not necessarily incorrect – perhaps they were the only relevant criteria in each case; these have been listed below as described. In others there was no clear perspective specified and only healthcare criteria were described, and these have been listed as having an NHS and PSS perspective. </w:t>
      </w:r>
    </w:p>
    <w:p w14:paraId="278D06EE" w14:textId="77777777" w:rsidR="00D22CE3" w:rsidRPr="00F10391" w:rsidRDefault="00D22CE3" w:rsidP="0063065F">
      <w:pPr>
        <w:sectPr w:rsidR="00D22CE3" w:rsidRPr="00F10391">
          <w:footnotePr>
            <w:numFmt w:val="lowerRoman"/>
          </w:footnotePr>
          <w:pgSz w:w="11906" w:h="16838"/>
          <w:pgMar w:top="1440" w:right="1440" w:bottom="1440" w:left="1440" w:header="709" w:footer="709" w:gutter="0"/>
          <w:cols w:space="720"/>
        </w:sectPr>
      </w:pPr>
    </w:p>
    <w:p w14:paraId="684FA69C" w14:textId="77777777" w:rsidR="00D22CE3" w:rsidRPr="00F10391" w:rsidRDefault="00D22CE3" w:rsidP="0063065F">
      <w:pPr>
        <w:sectPr w:rsidR="00D22CE3" w:rsidRPr="00F10391">
          <w:footnotePr>
            <w:numFmt w:val="lowerRoman"/>
          </w:footnotePr>
          <w:type w:val="continuous"/>
          <w:pgSz w:w="11906" w:h="16838"/>
          <w:pgMar w:top="1440" w:right="1440" w:bottom="1440" w:left="1440" w:header="709" w:footer="709" w:gutter="0"/>
          <w:cols w:space="720"/>
        </w:sectPr>
      </w:pPr>
    </w:p>
    <w:p w14:paraId="52B799D2" w14:textId="490B4367" w:rsidR="00D22CE3" w:rsidRPr="00F10391" w:rsidRDefault="00D22CE3" w:rsidP="00494A9A">
      <w:pPr>
        <w:pStyle w:val="Caption"/>
      </w:pPr>
      <w:bookmarkStart w:id="533" w:name="_Toc444180794"/>
      <w:bookmarkStart w:id="534" w:name="_Toc283984219"/>
      <w:bookmarkStart w:id="535" w:name="_Toc476241430"/>
      <w:r w:rsidRPr="00F10391">
        <w:lastRenderedPageBreak/>
        <w:t>Table 5.</w:t>
      </w:r>
      <w:r w:rsidR="000F1034">
        <w:fldChar w:fldCharType="begin"/>
      </w:r>
      <w:r w:rsidR="000F1034">
        <w:instrText xml:space="preserve"> SEQ Table \* ARABIC \s 1 </w:instrText>
      </w:r>
      <w:r w:rsidR="000F1034">
        <w:fldChar w:fldCharType="separate"/>
      </w:r>
      <w:r w:rsidR="00B37229">
        <w:rPr>
          <w:noProof/>
        </w:rPr>
        <w:t>1</w:t>
      </w:r>
      <w:r w:rsidR="000F1034">
        <w:rPr>
          <w:noProof/>
        </w:rPr>
        <w:fldChar w:fldCharType="end"/>
      </w:r>
      <w:r w:rsidRPr="00F10391">
        <w:t xml:space="preserve"> – Economic modelling methodologies used in all previous CPH guidance</w:t>
      </w:r>
      <w:bookmarkEnd w:id="533"/>
      <w:bookmarkEnd w:id="534"/>
      <w:bookmarkEnd w:id="535"/>
      <w:r w:rsidRPr="00F10391">
        <w:fldChar w:fldCharType="begin">
          <w:fldData xml:space="preserve">b3JlaWduLWtleXM+PHJlZi10eXBlIG5hbWU9IlJlcG9ydCI+Mjc8L3JlZi10eXBlPjxjb250cmli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</w:fldData>
        </w:fldChar>
      </w:r>
      <w:r w:rsidRPr="00F10391">
        <w:instrText xml:space="preserve"> ADDIN EN.CITE </w:instrText>
      </w:r>
      <w:r w:rsidRPr="00F10391">
        <w:fldChar w:fldCharType="begin">
          <w:fldData xml:space="preserve">PEVuZE5vdGU+PENpdGUgSGlkZGVuPSIxIj48QXV0aG9yPk5JQ0U8L0F1dGhvcj48WWVhcj4yMDA2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==
</w:fldData>
        </w:fldChar>
      </w:r>
      <w:r w:rsidRPr="00F10391">
        <w:instrText xml:space="preserve"> ADDIN EN.CITE.DATA </w:instrText>
      </w:r>
      <w:r w:rsidRPr="00F10391">
        <w:fldChar w:fldCharType="end"/>
      </w:r>
      <w:r w:rsidRPr="00F10391">
        <w:fldChar w:fldCharType="begin">
          <w:fldData xml:space="preserve">b3JlaWduLWtleXM+PHJlZi10eXBlIG5hbWU9IlJlcG9ydCI+Mjc8L3JlZi10eXBlPjxjb250cmli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</w:fldData>
        </w:fldChar>
      </w:r>
      <w:r w:rsidRPr="00F10391">
        <w:instrText xml:space="preserve"> ADDIN EN.CITE.DATA </w:instrText>
      </w:r>
      <w:r w:rsidRPr="00F10391">
        <w:fldChar w:fldCharType="end"/>
      </w:r>
      <w:r w:rsidRPr="00F10391">
        <w:fldChar w:fldCharType="end"/>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459"/>
        <w:gridCol w:w="1255"/>
        <w:gridCol w:w="1353"/>
        <w:gridCol w:w="1585"/>
        <w:gridCol w:w="1582"/>
      </w:tblGrid>
      <w:tr w:rsidR="00D22CE3" w:rsidRPr="00E156D5" w14:paraId="1A50AA2C" w14:textId="77777777" w:rsidTr="0063065F">
        <w:trPr>
          <w:trHeight w:val="851"/>
          <w:tblHeader/>
        </w:trPr>
        <w:tc>
          <w:tcPr>
            <w:tcW w:w="0" w:type="auto"/>
            <w:tcBorders>
              <w:top w:val="single" w:sz="4" w:space="0" w:color="auto"/>
              <w:left w:val="single" w:sz="4" w:space="0" w:color="auto"/>
              <w:bottom w:val="single" w:sz="4" w:space="0" w:color="auto"/>
              <w:right w:val="single" w:sz="4" w:space="0" w:color="auto"/>
            </w:tcBorders>
            <w:hideMark/>
          </w:tcPr>
          <w:p w14:paraId="6894DD63" w14:textId="77777777" w:rsidR="00D22CE3" w:rsidRPr="0063065F" w:rsidRDefault="00D22CE3" w:rsidP="00E156D5">
            <w:pPr>
              <w:jc w:val="left"/>
              <w:rPr>
                <w:b/>
                <w:lang w:eastAsia="en-US"/>
              </w:rPr>
            </w:pPr>
            <w:r w:rsidRPr="0063065F">
              <w:rPr>
                <w:b/>
                <w:lang w:eastAsia="en-US"/>
              </w:rPr>
              <w:t>ID</w:t>
            </w:r>
          </w:p>
        </w:tc>
        <w:tc>
          <w:tcPr>
            <w:tcW w:w="3504" w:type="dxa"/>
            <w:tcBorders>
              <w:top w:val="single" w:sz="4" w:space="0" w:color="auto"/>
              <w:left w:val="single" w:sz="4" w:space="0" w:color="auto"/>
              <w:bottom w:val="single" w:sz="4" w:space="0" w:color="auto"/>
              <w:right w:val="single" w:sz="4" w:space="0" w:color="auto"/>
            </w:tcBorders>
            <w:hideMark/>
          </w:tcPr>
          <w:p w14:paraId="31FDFF79" w14:textId="77777777" w:rsidR="00D22CE3" w:rsidRPr="0063065F" w:rsidRDefault="00D22CE3" w:rsidP="00E156D5">
            <w:pPr>
              <w:jc w:val="left"/>
              <w:rPr>
                <w:b/>
                <w:lang w:eastAsia="en-US"/>
              </w:rPr>
            </w:pPr>
            <w:r w:rsidRPr="0063065F">
              <w:rPr>
                <w:b/>
                <w:lang w:eastAsia="en-US"/>
              </w:rPr>
              <w:t>Title of guidance</w:t>
            </w:r>
          </w:p>
        </w:tc>
        <w:tc>
          <w:tcPr>
            <w:tcW w:w="923" w:type="dxa"/>
            <w:tcBorders>
              <w:top w:val="single" w:sz="4" w:space="0" w:color="auto"/>
              <w:left w:val="single" w:sz="4" w:space="0" w:color="auto"/>
              <w:bottom w:val="single" w:sz="4" w:space="0" w:color="auto"/>
              <w:right w:val="single" w:sz="4" w:space="0" w:color="auto"/>
            </w:tcBorders>
            <w:hideMark/>
          </w:tcPr>
          <w:p w14:paraId="783E9CFF" w14:textId="77777777" w:rsidR="00D22CE3" w:rsidRPr="0063065F" w:rsidRDefault="00D22CE3" w:rsidP="00E156D5">
            <w:pPr>
              <w:jc w:val="left"/>
              <w:rPr>
                <w:b/>
                <w:lang w:eastAsia="en-US"/>
              </w:rPr>
            </w:pPr>
            <w:r w:rsidRPr="0063065F">
              <w:rPr>
                <w:b/>
                <w:lang w:eastAsia="en-US"/>
              </w:rPr>
              <w:t>Date guidance published</w:t>
            </w:r>
          </w:p>
        </w:tc>
        <w:tc>
          <w:tcPr>
            <w:tcW w:w="0" w:type="auto"/>
            <w:tcBorders>
              <w:top w:val="single" w:sz="4" w:space="0" w:color="auto"/>
              <w:left w:val="single" w:sz="4" w:space="0" w:color="auto"/>
              <w:bottom w:val="single" w:sz="4" w:space="0" w:color="auto"/>
              <w:right w:val="single" w:sz="4" w:space="0" w:color="auto"/>
            </w:tcBorders>
            <w:hideMark/>
          </w:tcPr>
          <w:p w14:paraId="1519CCE3" w14:textId="77777777" w:rsidR="00D22CE3" w:rsidRPr="0063065F" w:rsidRDefault="00D22CE3" w:rsidP="00E156D5">
            <w:pPr>
              <w:jc w:val="left"/>
              <w:rPr>
                <w:b/>
                <w:lang w:eastAsia="en-US"/>
              </w:rPr>
            </w:pPr>
            <w:r w:rsidRPr="0063065F">
              <w:rPr>
                <w:b/>
                <w:lang w:eastAsia="en-US"/>
              </w:rPr>
              <w:t>Committee type</w:t>
            </w:r>
          </w:p>
        </w:tc>
        <w:tc>
          <w:tcPr>
            <w:tcW w:w="0" w:type="auto"/>
            <w:tcBorders>
              <w:top w:val="single" w:sz="4" w:space="0" w:color="auto"/>
              <w:left w:val="single" w:sz="4" w:space="0" w:color="auto"/>
              <w:bottom w:val="single" w:sz="4" w:space="0" w:color="auto"/>
              <w:right w:val="single" w:sz="4" w:space="0" w:color="auto"/>
            </w:tcBorders>
            <w:hideMark/>
          </w:tcPr>
          <w:p w14:paraId="19D5E9D3" w14:textId="77777777" w:rsidR="00D22CE3" w:rsidRPr="0063065F" w:rsidRDefault="00D22CE3" w:rsidP="00E156D5">
            <w:pPr>
              <w:jc w:val="left"/>
              <w:rPr>
                <w:b/>
                <w:lang w:eastAsia="en-US"/>
              </w:rPr>
            </w:pPr>
            <w:r w:rsidRPr="0063065F">
              <w:rPr>
                <w:b/>
                <w:lang w:eastAsia="en-US"/>
              </w:rPr>
              <w:t>Methodology used</w:t>
            </w:r>
          </w:p>
        </w:tc>
        <w:tc>
          <w:tcPr>
            <w:tcW w:w="1640" w:type="dxa"/>
            <w:tcBorders>
              <w:top w:val="single" w:sz="4" w:space="0" w:color="auto"/>
              <w:left w:val="single" w:sz="4" w:space="0" w:color="auto"/>
              <w:bottom w:val="single" w:sz="4" w:space="0" w:color="auto"/>
              <w:right w:val="single" w:sz="4" w:space="0" w:color="auto"/>
            </w:tcBorders>
            <w:hideMark/>
          </w:tcPr>
          <w:p w14:paraId="3E77F076" w14:textId="77777777" w:rsidR="00D22CE3" w:rsidRPr="0063065F" w:rsidRDefault="00D22CE3" w:rsidP="00E156D5">
            <w:pPr>
              <w:jc w:val="left"/>
              <w:rPr>
                <w:b/>
                <w:lang w:eastAsia="en-US"/>
              </w:rPr>
            </w:pPr>
            <w:r w:rsidRPr="0063065F">
              <w:rPr>
                <w:b/>
                <w:lang w:eastAsia="en-US"/>
              </w:rPr>
              <w:t>Apparent perspective used</w:t>
            </w:r>
          </w:p>
        </w:tc>
      </w:tr>
      <w:tr w:rsidR="00D22CE3" w:rsidRPr="00F10391" w14:paraId="612E242B"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239D2284" w14:textId="77777777" w:rsidR="00D22CE3" w:rsidRPr="00F10391" w:rsidRDefault="00D22CE3" w:rsidP="00E156D5">
            <w:pPr>
              <w:jc w:val="left"/>
              <w:rPr>
                <w:lang w:eastAsia="en-US"/>
              </w:rPr>
            </w:pPr>
            <w:r w:rsidRPr="00F10391">
              <w:rPr>
                <w:lang w:eastAsia="en-US"/>
              </w:rPr>
              <w:t>PH1</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E41F532" w14:textId="77777777" w:rsidR="00D22CE3" w:rsidRPr="00F10391" w:rsidRDefault="00D22CE3" w:rsidP="00E156D5">
            <w:pPr>
              <w:jc w:val="left"/>
              <w:rPr>
                <w:lang w:eastAsia="en-US"/>
              </w:rPr>
            </w:pPr>
            <w:r w:rsidRPr="00F10391">
              <w:rPr>
                <w:lang w:eastAsia="en-US"/>
              </w:rPr>
              <w:t>Brief interventions and referral for smoking cessation</w:t>
            </w:r>
          </w:p>
        </w:tc>
        <w:tc>
          <w:tcPr>
            <w:tcW w:w="923" w:type="dxa"/>
            <w:tcBorders>
              <w:top w:val="single" w:sz="4" w:space="0" w:color="auto"/>
              <w:left w:val="single" w:sz="4" w:space="0" w:color="auto"/>
              <w:bottom w:val="single" w:sz="4" w:space="0" w:color="auto"/>
              <w:right w:val="single" w:sz="4" w:space="0" w:color="auto"/>
            </w:tcBorders>
            <w:vAlign w:val="center"/>
            <w:hideMark/>
          </w:tcPr>
          <w:p w14:paraId="236877CD" w14:textId="77777777" w:rsidR="00D22CE3" w:rsidRPr="00F10391" w:rsidRDefault="00D22CE3" w:rsidP="00E156D5">
            <w:pPr>
              <w:jc w:val="left"/>
              <w:rPr>
                <w:lang w:eastAsia="en-US"/>
              </w:rPr>
            </w:pPr>
            <w:r w:rsidRPr="00F10391">
              <w:rPr>
                <w:lang w:eastAsia="en-US"/>
              </w:rPr>
              <w:t>Mar-06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8B7E1"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32CB9"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01783F5" w14:textId="77777777" w:rsidR="00D22CE3" w:rsidRPr="00F10391" w:rsidRDefault="00D22CE3" w:rsidP="00E156D5">
            <w:pPr>
              <w:jc w:val="left"/>
              <w:rPr>
                <w:lang w:eastAsia="en-US"/>
              </w:rPr>
            </w:pPr>
            <w:r w:rsidRPr="00F10391">
              <w:rPr>
                <w:lang w:eastAsia="en-US"/>
              </w:rPr>
              <w:t>NA</w:t>
            </w:r>
          </w:p>
        </w:tc>
      </w:tr>
      <w:tr w:rsidR="00D22CE3" w:rsidRPr="00F10391" w14:paraId="3707E0C4"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422E817A" w14:textId="77777777" w:rsidR="00D22CE3" w:rsidRPr="00F10391" w:rsidRDefault="00D22CE3" w:rsidP="00E156D5">
            <w:pPr>
              <w:jc w:val="left"/>
              <w:rPr>
                <w:lang w:eastAsia="en-US"/>
              </w:rPr>
            </w:pPr>
            <w:r w:rsidRPr="00F10391">
              <w:rPr>
                <w:lang w:eastAsia="en-US"/>
              </w:rPr>
              <w:t>PH2</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D2A08D4" w14:textId="271B148F" w:rsidR="00D22CE3" w:rsidRPr="00F10391" w:rsidRDefault="00D22CE3" w:rsidP="00E156D5">
            <w:pPr>
              <w:jc w:val="left"/>
              <w:rPr>
                <w:lang w:eastAsia="en-US"/>
              </w:rPr>
            </w:pPr>
            <w:r w:rsidRPr="00F10391">
              <w:rPr>
                <w:lang w:eastAsia="en-US"/>
              </w:rPr>
              <w:t>Four commonly used methods to increase physical activity (partially updated by PH41 and PH44)</w:t>
            </w:r>
          </w:p>
        </w:tc>
        <w:tc>
          <w:tcPr>
            <w:tcW w:w="923" w:type="dxa"/>
            <w:tcBorders>
              <w:top w:val="single" w:sz="4" w:space="0" w:color="auto"/>
              <w:left w:val="single" w:sz="4" w:space="0" w:color="auto"/>
              <w:bottom w:val="single" w:sz="4" w:space="0" w:color="auto"/>
              <w:right w:val="single" w:sz="4" w:space="0" w:color="auto"/>
            </w:tcBorders>
            <w:vAlign w:val="center"/>
            <w:hideMark/>
          </w:tcPr>
          <w:p w14:paraId="20A168E3" w14:textId="77777777" w:rsidR="00D22CE3" w:rsidRPr="00F10391" w:rsidRDefault="00D22CE3" w:rsidP="00E156D5">
            <w:pPr>
              <w:jc w:val="left"/>
              <w:rPr>
                <w:lang w:eastAsia="en-US"/>
              </w:rPr>
            </w:pPr>
            <w:r w:rsidRPr="00F10391">
              <w:rPr>
                <w:lang w:eastAsia="en-US"/>
              </w:rPr>
              <w:t>Mar-06</w:t>
            </w:r>
          </w:p>
        </w:tc>
        <w:tc>
          <w:tcPr>
            <w:tcW w:w="0" w:type="auto"/>
            <w:tcBorders>
              <w:top w:val="single" w:sz="4" w:space="0" w:color="auto"/>
              <w:left w:val="single" w:sz="4" w:space="0" w:color="auto"/>
              <w:bottom w:val="single" w:sz="4" w:space="0" w:color="auto"/>
              <w:right w:val="single" w:sz="4" w:space="0" w:color="auto"/>
            </w:tcBorders>
            <w:vAlign w:val="center"/>
            <w:hideMark/>
          </w:tcPr>
          <w:p w14:paraId="6B4184F5"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4B96A98F"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DF3A4D8" w14:textId="77777777" w:rsidR="00D22CE3" w:rsidRPr="00F10391" w:rsidRDefault="00D22CE3" w:rsidP="00E156D5">
            <w:pPr>
              <w:jc w:val="left"/>
              <w:rPr>
                <w:lang w:eastAsia="en-US"/>
              </w:rPr>
            </w:pPr>
            <w:r w:rsidRPr="00F10391">
              <w:rPr>
                <w:lang w:eastAsia="en-US"/>
              </w:rPr>
              <w:t>NA</w:t>
            </w:r>
          </w:p>
        </w:tc>
      </w:tr>
      <w:tr w:rsidR="00D22CE3" w:rsidRPr="00F10391" w14:paraId="1FD7B8E5"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44468111" w14:textId="77777777" w:rsidR="00D22CE3" w:rsidRPr="00F10391" w:rsidRDefault="00D22CE3" w:rsidP="00E156D5">
            <w:pPr>
              <w:jc w:val="left"/>
              <w:rPr>
                <w:lang w:eastAsia="en-US"/>
              </w:rPr>
            </w:pPr>
            <w:r w:rsidRPr="00F10391">
              <w:rPr>
                <w:lang w:eastAsia="en-US"/>
              </w:rPr>
              <w:t>PH3</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FD2360D" w14:textId="77777777" w:rsidR="00D22CE3" w:rsidRPr="00F10391" w:rsidRDefault="00D22CE3" w:rsidP="00E156D5">
            <w:pPr>
              <w:jc w:val="left"/>
              <w:rPr>
                <w:lang w:eastAsia="en-US"/>
              </w:rPr>
            </w:pPr>
            <w:r w:rsidRPr="00F10391">
              <w:rPr>
                <w:lang w:eastAsia="en-US"/>
              </w:rPr>
              <w:t>Prevention of sexually transmitted infections and under 18 conceptions</w:t>
            </w:r>
          </w:p>
        </w:tc>
        <w:tc>
          <w:tcPr>
            <w:tcW w:w="923" w:type="dxa"/>
            <w:tcBorders>
              <w:top w:val="single" w:sz="4" w:space="0" w:color="auto"/>
              <w:left w:val="single" w:sz="4" w:space="0" w:color="auto"/>
              <w:bottom w:val="single" w:sz="4" w:space="0" w:color="auto"/>
              <w:right w:val="single" w:sz="4" w:space="0" w:color="auto"/>
            </w:tcBorders>
            <w:vAlign w:val="center"/>
            <w:hideMark/>
          </w:tcPr>
          <w:p w14:paraId="1E707880" w14:textId="77777777" w:rsidR="00D22CE3" w:rsidRPr="00F10391" w:rsidRDefault="00D22CE3" w:rsidP="00E156D5">
            <w:pPr>
              <w:jc w:val="left"/>
              <w:rPr>
                <w:lang w:eastAsia="en-US"/>
              </w:rPr>
            </w:pPr>
            <w:r w:rsidRPr="00F10391">
              <w:rPr>
                <w:lang w:eastAsia="en-US"/>
              </w:rPr>
              <w:t>Feb-07</w:t>
            </w:r>
          </w:p>
        </w:tc>
        <w:tc>
          <w:tcPr>
            <w:tcW w:w="0" w:type="auto"/>
            <w:tcBorders>
              <w:top w:val="single" w:sz="4" w:space="0" w:color="auto"/>
              <w:left w:val="single" w:sz="4" w:space="0" w:color="auto"/>
              <w:bottom w:val="single" w:sz="4" w:space="0" w:color="auto"/>
              <w:right w:val="single" w:sz="4" w:space="0" w:color="auto"/>
            </w:tcBorders>
            <w:vAlign w:val="center"/>
            <w:hideMark/>
          </w:tcPr>
          <w:p w14:paraId="5BCB8FEE"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D779A"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BC21621" w14:textId="77777777" w:rsidR="00D22CE3" w:rsidRPr="00F10391" w:rsidRDefault="00D22CE3" w:rsidP="00E156D5">
            <w:pPr>
              <w:jc w:val="left"/>
              <w:rPr>
                <w:lang w:eastAsia="en-US"/>
              </w:rPr>
            </w:pPr>
            <w:r w:rsidRPr="00F10391">
              <w:rPr>
                <w:lang w:eastAsia="en-US"/>
              </w:rPr>
              <w:t>NHS &amp; PSS</w:t>
            </w:r>
          </w:p>
        </w:tc>
      </w:tr>
      <w:tr w:rsidR="00D22CE3" w:rsidRPr="00F10391" w14:paraId="165BE912"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1DCF8EB" w14:textId="77777777" w:rsidR="00D22CE3" w:rsidRPr="00F10391" w:rsidRDefault="00D22CE3" w:rsidP="00E156D5">
            <w:pPr>
              <w:jc w:val="left"/>
              <w:rPr>
                <w:lang w:eastAsia="en-US"/>
              </w:rPr>
            </w:pPr>
            <w:r w:rsidRPr="00F10391">
              <w:rPr>
                <w:lang w:eastAsia="en-US"/>
              </w:rPr>
              <w:t>PH4</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5460D0A" w14:textId="77777777" w:rsidR="00D22CE3" w:rsidRPr="00F10391" w:rsidRDefault="00D22CE3" w:rsidP="00E156D5">
            <w:pPr>
              <w:jc w:val="left"/>
              <w:rPr>
                <w:lang w:eastAsia="en-US"/>
              </w:rPr>
            </w:pPr>
            <w:r w:rsidRPr="00F10391">
              <w:rPr>
                <w:lang w:eastAsia="en-US"/>
              </w:rPr>
              <w:t>Interventions to reduce substance misuse among vulnerable young people</w:t>
            </w:r>
          </w:p>
        </w:tc>
        <w:tc>
          <w:tcPr>
            <w:tcW w:w="923" w:type="dxa"/>
            <w:tcBorders>
              <w:top w:val="single" w:sz="4" w:space="0" w:color="auto"/>
              <w:left w:val="single" w:sz="4" w:space="0" w:color="auto"/>
              <w:bottom w:val="single" w:sz="4" w:space="0" w:color="auto"/>
              <w:right w:val="single" w:sz="4" w:space="0" w:color="auto"/>
            </w:tcBorders>
            <w:vAlign w:val="center"/>
            <w:hideMark/>
          </w:tcPr>
          <w:p w14:paraId="6B6EFEEA" w14:textId="77777777" w:rsidR="00D22CE3" w:rsidRPr="00F10391" w:rsidRDefault="00D22CE3" w:rsidP="00E156D5">
            <w:pPr>
              <w:jc w:val="left"/>
              <w:rPr>
                <w:lang w:eastAsia="en-US"/>
              </w:rPr>
            </w:pPr>
            <w:r w:rsidRPr="00F10391">
              <w:rPr>
                <w:lang w:eastAsia="en-US"/>
              </w:rPr>
              <w:t>Mar-07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63F63"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A6D7D"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EB73AEA" w14:textId="77777777" w:rsidR="00D22CE3" w:rsidRPr="00F10391" w:rsidRDefault="00D22CE3" w:rsidP="00E156D5">
            <w:pPr>
              <w:jc w:val="left"/>
              <w:rPr>
                <w:lang w:eastAsia="en-US"/>
              </w:rPr>
            </w:pPr>
            <w:r w:rsidRPr="00F10391">
              <w:rPr>
                <w:lang w:eastAsia="en-US"/>
              </w:rPr>
              <w:t>Public sector</w:t>
            </w:r>
          </w:p>
        </w:tc>
      </w:tr>
      <w:tr w:rsidR="00D22CE3" w:rsidRPr="00F10391" w14:paraId="57DE4E3F"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0904A5" w14:textId="77777777" w:rsidR="00D22CE3" w:rsidRPr="00F10391" w:rsidRDefault="00D22CE3" w:rsidP="00E156D5">
            <w:pPr>
              <w:jc w:val="left"/>
              <w:rPr>
                <w:lang w:eastAsia="en-US"/>
              </w:rPr>
            </w:pPr>
            <w:r w:rsidRPr="00F10391">
              <w:rPr>
                <w:lang w:eastAsia="en-US"/>
              </w:rPr>
              <w:t>PH5</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7804151D" w14:textId="77777777" w:rsidR="00D22CE3" w:rsidRPr="00F10391" w:rsidRDefault="00D22CE3" w:rsidP="00E156D5">
            <w:pPr>
              <w:jc w:val="left"/>
              <w:rPr>
                <w:lang w:eastAsia="en-US"/>
              </w:rPr>
            </w:pPr>
            <w:r w:rsidRPr="00F10391">
              <w:rPr>
                <w:lang w:eastAsia="en-US"/>
              </w:rPr>
              <w:t>Workplace interventions to promote smoking cessation</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4FAAFE4F" w14:textId="77777777" w:rsidR="00D22CE3" w:rsidRPr="00F10391" w:rsidRDefault="00D22CE3" w:rsidP="00E156D5">
            <w:pPr>
              <w:jc w:val="left"/>
              <w:rPr>
                <w:lang w:eastAsia="en-US"/>
              </w:rPr>
            </w:pPr>
            <w:r w:rsidRPr="00F10391">
              <w:rPr>
                <w:lang w:eastAsia="en-US"/>
              </w:rPr>
              <w:t>Apr-07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EAF171"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693D6699"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7395E0CF" w14:textId="77777777" w:rsidR="00D22CE3" w:rsidRPr="00F10391" w:rsidRDefault="00D22CE3" w:rsidP="00E156D5">
            <w:pPr>
              <w:jc w:val="left"/>
              <w:rPr>
                <w:lang w:eastAsia="en-US"/>
              </w:rPr>
            </w:pPr>
            <w:r w:rsidRPr="00F10391">
              <w:rPr>
                <w:lang w:eastAsia="en-US"/>
              </w:rPr>
              <w:t>NHS &amp; PSS</w:t>
            </w:r>
          </w:p>
        </w:tc>
      </w:tr>
      <w:tr w:rsidR="00D22CE3" w:rsidRPr="00F10391" w14:paraId="3F370EED"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CBA35"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0254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2B3BE"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6342C"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458C6602" w14:textId="77777777" w:rsidR="00D22CE3" w:rsidRPr="00F10391" w:rsidRDefault="00D22CE3" w:rsidP="00E156D5">
            <w:pPr>
              <w:jc w:val="left"/>
              <w:rPr>
                <w:lang w:eastAsia="en-US"/>
              </w:rPr>
            </w:pPr>
            <w:r w:rsidRPr="00F10391">
              <w:rPr>
                <w:lang w:eastAsia="en-US"/>
              </w:rPr>
              <w:t xml:space="preserve">2. Net financial benefit </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36323564" w14:textId="77777777" w:rsidR="00D22CE3" w:rsidRPr="00F10391" w:rsidRDefault="00D22CE3" w:rsidP="00E156D5">
            <w:pPr>
              <w:jc w:val="left"/>
              <w:rPr>
                <w:lang w:eastAsia="en-US"/>
              </w:rPr>
            </w:pPr>
            <w:r w:rsidRPr="00F10391">
              <w:rPr>
                <w:lang w:eastAsia="en-US"/>
              </w:rPr>
              <w:t>Employer</w:t>
            </w:r>
          </w:p>
        </w:tc>
      </w:tr>
      <w:tr w:rsidR="00D22CE3" w:rsidRPr="00F10391" w14:paraId="415F0B64"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E446C85" w14:textId="77777777" w:rsidR="00D22CE3" w:rsidRPr="00F10391" w:rsidRDefault="00D22CE3" w:rsidP="00E156D5">
            <w:pPr>
              <w:jc w:val="left"/>
              <w:rPr>
                <w:lang w:eastAsia="en-US"/>
              </w:rPr>
            </w:pPr>
            <w:r w:rsidRPr="00F10391">
              <w:rPr>
                <w:lang w:eastAsia="en-US"/>
              </w:rPr>
              <w:t>PH6</w:t>
            </w:r>
          </w:p>
        </w:tc>
        <w:tc>
          <w:tcPr>
            <w:tcW w:w="3504" w:type="dxa"/>
            <w:tcBorders>
              <w:top w:val="single" w:sz="4" w:space="0" w:color="auto"/>
              <w:left w:val="single" w:sz="4" w:space="0" w:color="auto"/>
              <w:bottom w:val="single" w:sz="4" w:space="0" w:color="auto"/>
              <w:right w:val="single" w:sz="4" w:space="0" w:color="auto"/>
            </w:tcBorders>
            <w:vAlign w:val="center"/>
            <w:hideMark/>
          </w:tcPr>
          <w:p w14:paraId="6203FCA9" w14:textId="77777777" w:rsidR="00D22CE3" w:rsidRPr="00F10391" w:rsidRDefault="00D22CE3" w:rsidP="00E156D5">
            <w:pPr>
              <w:jc w:val="left"/>
              <w:rPr>
                <w:lang w:eastAsia="en-US"/>
              </w:rPr>
            </w:pPr>
            <w:r w:rsidRPr="00F10391">
              <w:rPr>
                <w:lang w:eastAsia="en-US"/>
              </w:rPr>
              <w:t>Behaviour change</w:t>
            </w:r>
          </w:p>
        </w:tc>
        <w:tc>
          <w:tcPr>
            <w:tcW w:w="923" w:type="dxa"/>
            <w:tcBorders>
              <w:top w:val="single" w:sz="4" w:space="0" w:color="auto"/>
              <w:left w:val="single" w:sz="4" w:space="0" w:color="auto"/>
              <w:bottom w:val="single" w:sz="4" w:space="0" w:color="auto"/>
              <w:right w:val="single" w:sz="4" w:space="0" w:color="auto"/>
            </w:tcBorders>
            <w:vAlign w:val="center"/>
            <w:hideMark/>
          </w:tcPr>
          <w:p w14:paraId="4E00D123" w14:textId="77777777" w:rsidR="00D22CE3" w:rsidRPr="00F10391" w:rsidRDefault="00D22CE3" w:rsidP="00E156D5">
            <w:pPr>
              <w:jc w:val="left"/>
              <w:rPr>
                <w:lang w:eastAsia="en-US"/>
              </w:rPr>
            </w:pPr>
            <w:r w:rsidRPr="00F10391">
              <w:rPr>
                <w:lang w:eastAsia="en-US"/>
              </w:rPr>
              <w:t>Oct-07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3FB38"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93C1A"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573AA75" w14:textId="77777777" w:rsidR="00D22CE3" w:rsidRPr="00F10391" w:rsidRDefault="00D22CE3" w:rsidP="00E156D5">
            <w:pPr>
              <w:jc w:val="left"/>
              <w:rPr>
                <w:lang w:eastAsia="en-US"/>
              </w:rPr>
            </w:pPr>
            <w:r w:rsidRPr="00F10391">
              <w:rPr>
                <w:lang w:eastAsia="en-US"/>
              </w:rPr>
              <w:t>NHS &amp; PSS</w:t>
            </w:r>
          </w:p>
        </w:tc>
      </w:tr>
      <w:tr w:rsidR="00D22CE3" w:rsidRPr="00F10391" w14:paraId="3391613B"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7644E0B4" w14:textId="77777777" w:rsidR="00D22CE3" w:rsidRPr="00F10391" w:rsidRDefault="00D22CE3" w:rsidP="00E156D5">
            <w:pPr>
              <w:jc w:val="left"/>
              <w:rPr>
                <w:lang w:eastAsia="en-US"/>
              </w:rPr>
            </w:pPr>
            <w:r w:rsidRPr="00F10391">
              <w:rPr>
                <w:lang w:eastAsia="en-US"/>
              </w:rPr>
              <w:t>PH7</w:t>
            </w:r>
          </w:p>
        </w:tc>
        <w:tc>
          <w:tcPr>
            <w:tcW w:w="3504" w:type="dxa"/>
            <w:tcBorders>
              <w:top w:val="single" w:sz="4" w:space="0" w:color="auto"/>
              <w:left w:val="single" w:sz="4" w:space="0" w:color="auto"/>
              <w:bottom w:val="single" w:sz="4" w:space="0" w:color="auto"/>
              <w:right w:val="single" w:sz="4" w:space="0" w:color="auto"/>
            </w:tcBorders>
            <w:vAlign w:val="center"/>
            <w:hideMark/>
          </w:tcPr>
          <w:p w14:paraId="4B6D5060" w14:textId="77777777" w:rsidR="00D22CE3" w:rsidRPr="00F10391" w:rsidRDefault="00D22CE3" w:rsidP="00E156D5">
            <w:pPr>
              <w:jc w:val="left"/>
              <w:rPr>
                <w:lang w:eastAsia="en-US"/>
              </w:rPr>
            </w:pPr>
            <w:r w:rsidRPr="00F10391">
              <w:rPr>
                <w:lang w:eastAsia="en-US"/>
              </w:rPr>
              <w:t>School-based interventions on alcohol</w:t>
            </w:r>
          </w:p>
        </w:tc>
        <w:tc>
          <w:tcPr>
            <w:tcW w:w="923" w:type="dxa"/>
            <w:tcBorders>
              <w:top w:val="single" w:sz="4" w:space="0" w:color="auto"/>
              <w:left w:val="single" w:sz="4" w:space="0" w:color="auto"/>
              <w:bottom w:val="single" w:sz="4" w:space="0" w:color="auto"/>
              <w:right w:val="single" w:sz="4" w:space="0" w:color="auto"/>
            </w:tcBorders>
            <w:vAlign w:val="center"/>
            <w:hideMark/>
          </w:tcPr>
          <w:p w14:paraId="3BB15DCC" w14:textId="77777777" w:rsidR="00D22CE3" w:rsidRPr="00F10391" w:rsidRDefault="00D22CE3" w:rsidP="00E156D5">
            <w:pPr>
              <w:jc w:val="left"/>
              <w:rPr>
                <w:lang w:eastAsia="en-US"/>
              </w:rPr>
            </w:pPr>
            <w:r w:rsidRPr="00F10391">
              <w:rPr>
                <w:lang w:eastAsia="en-US"/>
              </w:rPr>
              <w:t>Nov-07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683CAB"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1FEC32A2" w14:textId="77777777" w:rsidR="00D22CE3" w:rsidRPr="00F10391" w:rsidRDefault="00D22CE3" w:rsidP="00E156D5">
            <w:pPr>
              <w:jc w:val="left"/>
              <w:rPr>
                <w:lang w:eastAsia="en-US"/>
              </w:rPr>
            </w:pPr>
            <w:r w:rsidRPr="00F10391">
              <w:rPr>
                <w:lang w:eastAsia="en-US"/>
              </w:rPr>
              <w:t xml:space="preserve">CUA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35F2168" w14:textId="77777777" w:rsidR="00D22CE3" w:rsidRPr="00F10391" w:rsidRDefault="00D22CE3" w:rsidP="00E156D5">
            <w:pPr>
              <w:jc w:val="left"/>
              <w:rPr>
                <w:lang w:eastAsia="en-US"/>
              </w:rPr>
            </w:pPr>
            <w:r w:rsidRPr="00F10391">
              <w:rPr>
                <w:lang w:eastAsia="en-US"/>
              </w:rPr>
              <w:t>Public sector</w:t>
            </w:r>
          </w:p>
        </w:tc>
      </w:tr>
      <w:tr w:rsidR="00D22CE3" w:rsidRPr="00F10391" w14:paraId="31355282"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B4BF517" w14:textId="77777777" w:rsidR="00D22CE3" w:rsidRPr="00F10391" w:rsidRDefault="00D22CE3" w:rsidP="00E156D5">
            <w:pPr>
              <w:jc w:val="left"/>
              <w:rPr>
                <w:lang w:eastAsia="en-US"/>
              </w:rPr>
            </w:pPr>
            <w:r w:rsidRPr="00F10391">
              <w:rPr>
                <w:lang w:eastAsia="en-US"/>
              </w:rPr>
              <w:t>PH8</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5C065955" w14:textId="77777777" w:rsidR="00D22CE3" w:rsidRPr="00F10391" w:rsidRDefault="00D22CE3" w:rsidP="00E156D5">
            <w:pPr>
              <w:jc w:val="left"/>
              <w:rPr>
                <w:lang w:eastAsia="en-US"/>
              </w:rPr>
            </w:pPr>
            <w:r w:rsidRPr="00F10391">
              <w:rPr>
                <w:lang w:eastAsia="en-US"/>
              </w:rPr>
              <w:t>Physical activity and the environment</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7A9DF3F5" w14:textId="77777777" w:rsidR="00D22CE3" w:rsidRPr="00F10391" w:rsidRDefault="00D22CE3" w:rsidP="00E156D5">
            <w:pPr>
              <w:jc w:val="left"/>
              <w:rPr>
                <w:lang w:eastAsia="en-US"/>
              </w:rPr>
            </w:pPr>
            <w:r w:rsidRPr="00F10391">
              <w:rPr>
                <w:lang w:eastAsia="en-US"/>
              </w:rPr>
              <w:t>Jan-08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A4F54B"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0B62F852"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6EDD0C7F" w14:textId="77777777" w:rsidR="00D22CE3" w:rsidRPr="00F10391" w:rsidRDefault="00D22CE3" w:rsidP="00E156D5">
            <w:pPr>
              <w:jc w:val="left"/>
              <w:rPr>
                <w:lang w:eastAsia="en-US"/>
              </w:rPr>
            </w:pPr>
            <w:r w:rsidRPr="00F10391">
              <w:rPr>
                <w:lang w:eastAsia="en-US"/>
              </w:rPr>
              <w:t xml:space="preserve">NHS &amp; PSS </w:t>
            </w:r>
          </w:p>
        </w:tc>
      </w:tr>
      <w:tr w:rsidR="00D22CE3" w:rsidRPr="00F10391" w14:paraId="2D9699B4"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AB0E21"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9FE13"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502EF"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E5130"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232D410E" w14:textId="77777777" w:rsidR="00D22CE3" w:rsidRPr="00F10391" w:rsidRDefault="00D22CE3" w:rsidP="00E156D5">
            <w:pPr>
              <w:jc w:val="left"/>
              <w:rPr>
                <w:lang w:eastAsia="en-US"/>
              </w:rPr>
            </w:pPr>
            <w:r w:rsidRPr="00F10391">
              <w:rPr>
                <w:lang w:eastAsia="en-US"/>
              </w:rPr>
              <w:t>2. CBA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1A258CC8" w14:textId="77777777" w:rsidR="00D22CE3" w:rsidRPr="00F10391" w:rsidRDefault="00D22CE3" w:rsidP="00E156D5">
            <w:pPr>
              <w:jc w:val="left"/>
              <w:rPr>
                <w:lang w:eastAsia="en-US"/>
              </w:rPr>
            </w:pPr>
            <w:r w:rsidRPr="00F10391">
              <w:rPr>
                <w:lang w:eastAsia="en-US"/>
              </w:rPr>
              <w:t>Societal</w:t>
            </w:r>
          </w:p>
        </w:tc>
      </w:tr>
      <w:tr w:rsidR="00D22CE3" w:rsidRPr="00F10391" w14:paraId="17758427"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59363B3" w14:textId="77777777" w:rsidR="00D22CE3" w:rsidRPr="00F10391" w:rsidRDefault="00D22CE3" w:rsidP="00E156D5">
            <w:pPr>
              <w:jc w:val="left"/>
              <w:rPr>
                <w:lang w:eastAsia="en-US"/>
              </w:rPr>
            </w:pPr>
            <w:r w:rsidRPr="00F10391">
              <w:rPr>
                <w:lang w:eastAsia="en-US"/>
              </w:rPr>
              <w:t>PH9</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26488EF" w14:textId="77777777" w:rsidR="00D22CE3" w:rsidRPr="00F10391" w:rsidRDefault="00D22CE3" w:rsidP="00E156D5">
            <w:pPr>
              <w:jc w:val="left"/>
              <w:rPr>
                <w:lang w:eastAsia="en-US"/>
              </w:rPr>
            </w:pPr>
            <w:r w:rsidRPr="00F10391">
              <w:rPr>
                <w:lang w:eastAsia="en-US"/>
              </w:rPr>
              <w:t>Community engagement</w:t>
            </w:r>
          </w:p>
        </w:tc>
        <w:tc>
          <w:tcPr>
            <w:tcW w:w="923" w:type="dxa"/>
            <w:tcBorders>
              <w:top w:val="single" w:sz="4" w:space="0" w:color="auto"/>
              <w:left w:val="single" w:sz="4" w:space="0" w:color="auto"/>
              <w:bottom w:val="single" w:sz="4" w:space="0" w:color="auto"/>
              <w:right w:val="single" w:sz="4" w:space="0" w:color="auto"/>
            </w:tcBorders>
            <w:vAlign w:val="center"/>
            <w:hideMark/>
          </w:tcPr>
          <w:p w14:paraId="65E5EBD0" w14:textId="77777777" w:rsidR="00D22CE3" w:rsidRPr="00F10391" w:rsidRDefault="00D22CE3" w:rsidP="00E156D5">
            <w:pPr>
              <w:jc w:val="left"/>
              <w:rPr>
                <w:lang w:eastAsia="en-US"/>
              </w:rPr>
            </w:pPr>
            <w:r w:rsidRPr="00F10391">
              <w:rPr>
                <w:lang w:eastAsia="en-US"/>
              </w:rPr>
              <w:t>Feb-08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94687D"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95503" w14:textId="77777777" w:rsidR="00D22CE3" w:rsidRPr="00F10391" w:rsidRDefault="00D22CE3" w:rsidP="00E156D5">
            <w:pPr>
              <w:jc w:val="left"/>
              <w:rPr>
                <w:lang w:eastAsia="en-US"/>
              </w:rPr>
            </w:pPr>
            <w:r w:rsidRPr="00F10391">
              <w:rPr>
                <w:lang w:eastAsia="en-US"/>
              </w:rPr>
              <w:t>Discussion piece</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1BF0027" w14:textId="77777777" w:rsidR="00D22CE3" w:rsidRPr="00F10391" w:rsidRDefault="00D22CE3" w:rsidP="00E156D5">
            <w:pPr>
              <w:jc w:val="left"/>
              <w:rPr>
                <w:lang w:eastAsia="en-US"/>
              </w:rPr>
            </w:pPr>
            <w:r w:rsidRPr="00F10391">
              <w:rPr>
                <w:lang w:eastAsia="en-US"/>
              </w:rPr>
              <w:t xml:space="preserve">Hypothetical generic model discussed – </w:t>
            </w:r>
            <w:r w:rsidRPr="00F10391">
              <w:rPr>
                <w:lang w:eastAsia="en-US"/>
              </w:rPr>
              <w:lastRenderedPageBreak/>
              <w:t>specific model inappropriate</w:t>
            </w:r>
          </w:p>
        </w:tc>
      </w:tr>
      <w:tr w:rsidR="00D22CE3" w:rsidRPr="00F10391" w14:paraId="4CB21CC7"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125B978D" w14:textId="77777777" w:rsidR="00D22CE3" w:rsidRPr="00F10391" w:rsidRDefault="00D22CE3" w:rsidP="00E156D5">
            <w:pPr>
              <w:jc w:val="left"/>
              <w:rPr>
                <w:lang w:eastAsia="en-US"/>
              </w:rPr>
            </w:pPr>
            <w:r w:rsidRPr="00F10391">
              <w:rPr>
                <w:lang w:eastAsia="en-US"/>
              </w:rPr>
              <w:lastRenderedPageBreak/>
              <w:t>PH10</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ED1BC5C" w14:textId="77777777" w:rsidR="00D22CE3" w:rsidRPr="00F10391" w:rsidRDefault="00D22CE3" w:rsidP="00E156D5">
            <w:pPr>
              <w:jc w:val="left"/>
              <w:rPr>
                <w:lang w:eastAsia="en-US"/>
              </w:rPr>
            </w:pPr>
            <w:r w:rsidRPr="00F10391">
              <w:rPr>
                <w:lang w:eastAsia="en-US"/>
              </w:rPr>
              <w:t>Smoking cessation services</w:t>
            </w:r>
          </w:p>
        </w:tc>
        <w:tc>
          <w:tcPr>
            <w:tcW w:w="923" w:type="dxa"/>
            <w:tcBorders>
              <w:top w:val="single" w:sz="4" w:space="0" w:color="auto"/>
              <w:left w:val="single" w:sz="4" w:space="0" w:color="auto"/>
              <w:bottom w:val="single" w:sz="4" w:space="0" w:color="auto"/>
              <w:right w:val="single" w:sz="4" w:space="0" w:color="auto"/>
            </w:tcBorders>
            <w:vAlign w:val="center"/>
            <w:hideMark/>
          </w:tcPr>
          <w:p w14:paraId="2F3401D8" w14:textId="77777777" w:rsidR="00D22CE3" w:rsidRPr="00F10391" w:rsidRDefault="00D22CE3" w:rsidP="00E156D5">
            <w:pPr>
              <w:jc w:val="left"/>
              <w:rPr>
                <w:lang w:eastAsia="en-US"/>
              </w:rPr>
            </w:pPr>
            <w:r w:rsidRPr="00F10391">
              <w:rPr>
                <w:lang w:eastAsia="en-US"/>
              </w:rPr>
              <w:t>Feb-08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78EF0"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3745D"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F43F245" w14:textId="77777777" w:rsidR="00D22CE3" w:rsidRPr="00F10391" w:rsidRDefault="00D22CE3" w:rsidP="00E156D5">
            <w:pPr>
              <w:jc w:val="left"/>
              <w:rPr>
                <w:lang w:eastAsia="en-US"/>
              </w:rPr>
            </w:pPr>
            <w:r w:rsidRPr="00F10391">
              <w:rPr>
                <w:lang w:eastAsia="en-US"/>
              </w:rPr>
              <w:t>NHS &amp; PSS</w:t>
            </w:r>
          </w:p>
        </w:tc>
      </w:tr>
      <w:tr w:rsidR="00D22CE3" w:rsidRPr="00F10391" w14:paraId="0EAE2DCC"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6806E4B8" w14:textId="77777777" w:rsidR="00D22CE3" w:rsidRPr="00F10391" w:rsidRDefault="00D22CE3" w:rsidP="00E156D5">
            <w:pPr>
              <w:jc w:val="left"/>
              <w:rPr>
                <w:lang w:eastAsia="en-US"/>
              </w:rPr>
            </w:pPr>
            <w:r w:rsidRPr="00F10391">
              <w:rPr>
                <w:lang w:eastAsia="en-US"/>
              </w:rPr>
              <w:t>PH11</w:t>
            </w:r>
          </w:p>
        </w:tc>
        <w:tc>
          <w:tcPr>
            <w:tcW w:w="3504" w:type="dxa"/>
            <w:tcBorders>
              <w:top w:val="single" w:sz="4" w:space="0" w:color="auto"/>
              <w:left w:val="single" w:sz="4" w:space="0" w:color="auto"/>
              <w:bottom w:val="single" w:sz="4" w:space="0" w:color="auto"/>
              <w:right w:val="single" w:sz="4" w:space="0" w:color="auto"/>
            </w:tcBorders>
            <w:vAlign w:val="center"/>
            <w:hideMark/>
          </w:tcPr>
          <w:p w14:paraId="6B814C4B" w14:textId="77777777" w:rsidR="00D22CE3" w:rsidRPr="00F10391" w:rsidRDefault="00D22CE3" w:rsidP="00E156D5">
            <w:pPr>
              <w:jc w:val="left"/>
              <w:rPr>
                <w:lang w:eastAsia="en-US"/>
              </w:rPr>
            </w:pPr>
            <w:r w:rsidRPr="00F10391">
              <w:rPr>
                <w:lang w:eastAsia="en-US"/>
              </w:rPr>
              <w:t>Maternal and child nutrition</w:t>
            </w:r>
          </w:p>
        </w:tc>
        <w:tc>
          <w:tcPr>
            <w:tcW w:w="923" w:type="dxa"/>
            <w:tcBorders>
              <w:top w:val="single" w:sz="4" w:space="0" w:color="auto"/>
              <w:left w:val="single" w:sz="4" w:space="0" w:color="auto"/>
              <w:bottom w:val="single" w:sz="4" w:space="0" w:color="auto"/>
              <w:right w:val="single" w:sz="4" w:space="0" w:color="auto"/>
            </w:tcBorders>
            <w:vAlign w:val="center"/>
            <w:hideMark/>
          </w:tcPr>
          <w:p w14:paraId="5A58D733" w14:textId="77777777" w:rsidR="00D22CE3" w:rsidRPr="00F10391" w:rsidRDefault="00D22CE3" w:rsidP="00E156D5">
            <w:pPr>
              <w:jc w:val="left"/>
              <w:rPr>
                <w:lang w:eastAsia="en-US"/>
              </w:rPr>
            </w:pPr>
            <w:r w:rsidRPr="00F10391">
              <w:rPr>
                <w:lang w:eastAsia="en-US"/>
              </w:rPr>
              <w:t>Mar-08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44A668"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6DB0A651" w14:textId="77777777" w:rsidR="00D22CE3" w:rsidRPr="00F10391" w:rsidRDefault="00D22CE3" w:rsidP="00E156D5">
            <w:pPr>
              <w:jc w:val="left"/>
              <w:rPr>
                <w:lang w:eastAsia="en-US"/>
              </w:rPr>
            </w:pPr>
            <w:r w:rsidRPr="00F10391">
              <w:rPr>
                <w:lang w:eastAsia="en-US"/>
              </w:rPr>
              <w:t xml:space="preserve">CUA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CE956A8" w14:textId="77777777" w:rsidR="00D22CE3" w:rsidRPr="00F10391" w:rsidRDefault="00D22CE3" w:rsidP="00E156D5">
            <w:pPr>
              <w:jc w:val="left"/>
              <w:rPr>
                <w:lang w:eastAsia="en-US"/>
              </w:rPr>
            </w:pPr>
            <w:r w:rsidRPr="00F10391">
              <w:rPr>
                <w:lang w:eastAsia="en-US"/>
              </w:rPr>
              <w:t>NHS &amp; PSS</w:t>
            </w:r>
          </w:p>
        </w:tc>
      </w:tr>
      <w:tr w:rsidR="00D22CE3" w:rsidRPr="00F10391" w14:paraId="2D209862"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1F9884" w14:textId="77777777" w:rsidR="00D22CE3" w:rsidRPr="00F10391" w:rsidRDefault="00D22CE3" w:rsidP="00E156D5">
            <w:pPr>
              <w:jc w:val="left"/>
              <w:rPr>
                <w:lang w:eastAsia="en-US"/>
              </w:rPr>
            </w:pPr>
            <w:r w:rsidRPr="00F10391">
              <w:rPr>
                <w:lang w:eastAsia="en-US"/>
              </w:rPr>
              <w:t>PH12</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162ADCA4" w14:textId="77777777" w:rsidR="00D22CE3" w:rsidRPr="00F10391" w:rsidRDefault="00D22CE3" w:rsidP="00E156D5">
            <w:pPr>
              <w:jc w:val="left"/>
              <w:rPr>
                <w:lang w:eastAsia="en-US"/>
              </w:rPr>
            </w:pPr>
            <w:r w:rsidRPr="00F10391">
              <w:rPr>
                <w:lang w:eastAsia="en-US"/>
              </w:rPr>
              <w:t>Social and emotional wellbeing in primary education</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055F4D82" w14:textId="77777777" w:rsidR="00D22CE3" w:rsidRPr="00F10391" w:rsidRDefault="00D22CE3" w:rsidP="00E156D5">
            <w:pPr>
              <w:jc w:val="left"/>
              <w:rPr>
                <w:lang w:eastAsia="en-US"/>
              </w:rPr>
            </w:pPr>
            <w:r w:rsidRPr="00F10391">
              <w:rPr>
                <w:lang w:eastAsia="en-US"/>
              </w:rPr>
              <w:t>Mar-08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2D241B"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42CEFC45" w14:textId="77777777" w:rsidR="00D22CE3" w:rsidRPr="00F10391" w:rsidRDefault="00D22CE3" w:rsidP="00E156D5">
            <w:pPr>
              <w:jc w:val="left"/>
              <w:rPr>
                <w:lang w:eastAsia="en-US"/>
              </w:rPr>
            </w:pPr>
            <w:r w:rsidRPr="00F10391">
              <w:rPr>
                <w:lang w:eastAsia="en-US"/>
              </w:rPr>
              <w:t>1. CUA (basic)</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19B0C274" w14:textId="77777777" w:rsidR="00D22CE3" w:rsidRPr="00F10391" w:rsidRDefault="00D22CE3" w:rsidP="00E156D5">
            <w:pPr>
              <w:jc w:val="left"/>
              <w:rPr>
                <w:lang w:eastAsia="en-US"/>
              </w:rPr>
            </w:pPr>
            <w:r w:rsidRPr="00F10391">
              <w:rPr>
                <w:lang w:eastAsia="en-US"/>
              </w:rPr>
              <w:t xml:space="preserve">NHS &amp; PSS </w:t>
            </w:r>
          </w:p>
        </w:tc>
      </w:tr>
      <w:tr w:rsidR="00D22CE3" w:rsidRPr="00F10391" w14:paraId="76AA7976"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2C2F0"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D5B22"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1E2168"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48EF0"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601C6647" w14:textId="77777777" w:rsidR="00D22CE3" w:rsidRPr="00F10391" w:rsidRDefault="00D22CE3" w:rsidP="00E156D5">
            <w:pPr>
              <w:jc w:val="left"/>
              <w:rPr>
                <w:lang w:eastAsia="en-US"/>
              </w:rPr>
            </w:pPr>
            <w:r w:rsidRPr="00F10391">
              <w:rPr>
                <w:lang w:eastAsia="en-US"/>
              </w:rPr>
              <w:t>2. CUA (broader)</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3C8C8A82" w14:textId="77777777" w:rsidR="00D22CE3" w:rsidRPr="00F10391" w:rsidRDefault="00D22CE3" w:rsidP="00E156D5">
            <w:pPr>
              <w:jc w:val="left"/>
              <w:rPr>
                <w:lang w:eastAsia="en-US"/>
              </w:rPr>
            </w:pPr>
            <w:r w:rsidRPr="00F10391">
              <w:rPr>
                <w:lang w:eastAsia="en-US"/>
              </w:rPr>
              <w:t>Public sector</w:t>
            </w:r>
          </w:p>
        </w:tc>
      </w:tr>
      <w:tr w:rsidR="00D22CE3" w:rsidRPr="00F10391" w14:paraId="64EC5427"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50294B7" w14:textId="77777777" w:rsidR="00D22CE3" w:rsidRPr="00F10391" w:rsidRDefault="00D22CE3" w:rsidP="00E156D5">
            <w:pPr>
              <w:jc w:val="left"/>
              <w:rPr>
                <w:lang w:eastAsia="en-US"/>
              </w:rPr>
            </w:pPr>
            <w:r w:rsidRPr="00F10391">
              <w:rPr>
                <w:lang w:eastAsia="en-US"/>
              </w:rPr>
              <w:t>PH13</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4F0FD2DF" w14:textId="77777777" w:rsidR="00D22CE3" w:rsidRPr="00F10391" w:rsidRDefault="00D22CE3" w:rsidP="00E156D5">
            <w:pPr>
              <w:jc w:val="left"/>
              <w:rPr>
                <w:lang w:eastAsia="en-US"/>
              </w:rPr>
            </w:pPr>
            <w:r w:rsidRPr="00F10391">
              <w:rPr>
                <w:lang w:eastAsia="en-US"/>
              </w:rPr>
              <w:t>Promoting physical activity in the workplace</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2D199D2A" w14:textId="77777777" w:rsidR="00D22CE3" w:rsidRPr="00F10391" w:rsidRDefault="00D22CE3" w:rsidP="00E156D5">
            <w:pPr>
              <w:jc w:val="left"/>
              <w:rPr>
                <w:lang w:eastAsia="en-US"/>
              </w:rPr>
            </w:pPr>
            <w:r w:rsidRPr="00F10391">
              <w:rPr>
                <w:lang w:eastAsia="en-US"/>
              </w:rPr>
              <w:t>May-08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AF1A2A"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3A8BA928"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1AE52C97" w14:textId="77777777" w:rsidR="00D22CE3" w:rsidRPr="00F10391" w:rsidRDefault="00D22CE3" w:rsidP="00E156D5">
            <w:pPr>
              <w:jc w:val="left"/>
              <w:rPr>
                <w:lang w:eastAsia="en-US"/>
              </w:rPr>
            </w:pPr>
            <w:r w:rsidRPr="00F10391">
              <w:rPr>
                <w:lang w:eastAsia="en-US"/>
              </w:rPr>
              <w:t>NHS &amp; PSS</w:t>
            </w:r>
          </w:p>
        </w:tc>
      </w:tr>
      <w:tr w:rsidR="00D22CE3" w:rsidRPr="00F10391" w14:paraId="49BC7275"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537F4"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0790A"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02F9A"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EFEEA"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724613EC" w14:textId="77777777" w:rsidR="00D22CE3" w:rsidRPr="00F10391" w:rsidRDefault="00D22CE3" w:rsidP="00E156D5">
            <w:pPr>
              <w:jc w:val="left"/>
              <w:rPr>
                <w:lang w:eastAsia="en-US"/>
              </w:rPr>
            </w:pPr>
            <w:r w:rsidRPr="00F10391">
              <w:rPr>
                <w:lang w:eastAsia="en-US"/>
              </w:rPr>
              <w:t>2. Net financial benefit</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0577386D" w14:textId="77777777" w:rsidR="00D22CE3" w:rsidRPr="00F10391" w:rsidRDefault="00D22CE3" w:rsidP="00E156D5">
            <w:pPr>
              <w:jc w:val="left"/>
              <w:rPr>
                <w:lang w:eastAsia="en-US"/>
              </w:rPr>
            </w:pPr>
            <w:r w:rsidRPr="00F10391">
              <w:rPr>
                <w:lang w:eastAsia="en-US"/>
              </w:rPr>
              <w:t>Employer</w:t>
            </w:r>
          </w:p>
        </w:tc>
      </w:tr>
      <w:tr w:rsidR="00D22CE3" w:rsidRPr="00F10391" w14:paraId="230DB720"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5D7FC992" w14:textId="77777777" w:rsidR="00D22CE3" w:rsidRPr="00F10391" w:rsidRDefault="00D22CE3" w:rsidP="00E156D5">
            <w:pPr>
              <w:jc w:val="left"/>
              <w:rPr>
                <w:lang w:eastAsia="en-US"/>
              </w:rPr>
            </w:pPr>
            <w:r w:rsidRPr="00F10391">
              <w:rPr>
                <w:lang w:eastAsia="en-US"/>
              </w:rPr>
              <w:t>PH14</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A64C26E" w14:textId="77777777" w:rsidR="00D22CE3" w:rsidRPr="00F10391" w:rsidRDefault="00D22CE3" w:rsidP="00E156D5">
            <w:pPr>
              <w:jc w:val="left"/>
              <w:rPr>
                <w:lang w:eastAsia="en-US"/>
              </w:rPr>
            </w:pPr>
            <w:r w:rsidRPr="00F10391">
              <w:rPr>
                <w:lang w:eastAsia="en-US"/>
              </w:rPr>
              <w:t>Preventing the uptake of smoking by children and young people</w:t>
            </w:r>
          </w:p>
        </w:tc>
        <w:tc>
          <w:tcPr>
            <w:tcW w:w="923" w:type="dxa"/>
            <w:tcBorders>
              <w:top w:val="single" w:sz="4" w:space="0" w:color="auto"/>
              <w:left w:val="single" w:sz="4" w:space="0" w:color="auto"/>
              <w:bottom w:val="single" w:sz="4" w:space="0" w:color="auto"/>
              <w:right w:val="single" w:sz="4" w:space="0" w:color="auto"/>
            </w:tcBorders>
            <w:vAlign w:val="center"/>
            <w:hideMark/>
          </w:tcPr>
          <w:p w14:paraId="5683A803" w14:textId="77777777" w:rsidR="00D22CE3" w:rsidRPr="00F10391" w:rsidRDefault="00D22CE3" w:rsidP="00E156D5">
            <w:pPr>
              <w:jc w:val="left"/>
              <w:rPr>
                <w:lang w:eastAsia="en-US"/>
              </w:rPr>
            </w:pPr>
            <w:r w:rsidRPr="00F10391">
              <w:rPr>
                <w:lang w:eastAsia="en-US"/>
              </w:rPr>
              <w:t>Jul-08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3D161D2"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269E3"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BC516F0" w14:textId="77777777" w:rsidR="00D22CE3" w:rsidRPr="00F10391" w:rsidRDefault="00D22CE3" w:rsidP="00E156D5">
            <w:pPr>
              <w:jc w:val="left"/>
              <w:rPr>
                <w:lang w:eastAsia="en-US"/>
              </w:rPr>
            </w:pPr>
            <w:r w:rsidRPr="00F10391">
              <w:rPr>
                <w:lang w:eastAsia="en-US"/>
              </w:rPr>
              <w:t>NHS &amp; PSS</w:t>
            </w:r>
          </w:p>
        </w:tc>
      </w:tr>
      <w:tr w:rsidR="00D22CE3" w:rsidRPr="00F10391" w14:paraId="16ECD783"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60371A78" w14:textId="77777777" w:rsidR="00D22CE3" w:rsidRPr="00F10391" w:rsidRDefault="00D22CE3" w:rsidP="00E156D5">
            <w:pPr>
              <w:jc w:val="left"/>
              <w:rPr>
                <w:lang w:eastAsia="en-US"/>
              </w:rPr>
            </w:pPr>
            <w:r w:rsidRPr="00F10391">
              <w:rPr>
                <w:lang w:eastAsia="en-US"/>
              </w:rPr>
              <w:t>PH15</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CFF5140" w14:textId="77777777" w:rsidR="00D22CE3" w:rsidRPr="00F10391" w:rsidRDefault="00D22CE3" w:rsidP="00E156D5">
            <w:pPr>
              <w:jc w:val="left"/>
              <w:rPr>
                <w:lang w:eastAsia="en-US"/>
              </w:rPr>
            </w:pPr>
            <w:r w:rsidRPr="00F10391">
              <w:rPr>
                <w:lang w:eastAsia="en-US"/>
              </w:rPr>
              <w:t>Identifying and supporting people most at risk of dying prematurely</w:t>
            </w:r>
          </w:p>
        </w:tc>
        <w:tc>
          <w:tcPr>
            <w:tcW w:w="923" w:type="dxa"/>
            <w:tcBorders>
              <w:top w:val="single" w:sz="4" w:space="0" w:color="auto"/>
              <w:left w:val="single" w:sz="4" w:space="0" w:color="auto"/>
              <w:bottom w:val="single" w:sz="4" w:space="0" w:color="auto"/>
              <w:right w:val="single" w:sz="4" w:space="0" w:color="auto"/>
            </w:tcBorders>
            <w:vAlign w:val="center"/>
            <w:hideMark/>
          </w:tcPr>
          <w:p w14:paraId="29DCCE0E" w14:textId="77777777" w:rsidR="00D22CE3" w:rsidRPr="00F10391" w:rsidRDefault="00D22CE3" w:rsidP="00E156D5">
            <w:pPr>
              <w:jc w:val="left"/>
              <w:rPr>
                <w:lang w:eastAsia="en-US"/>
              </w:rPr>
            </w:pPr>
            <w:r w:rsidRPr="00F10391">
              <w:rPr>
                <w:lang w:eastAsia="en-US"/>
              </w:rPr>
              <w:t>Sep-08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9C5B5"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3B826355"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4297EA9" w14:textId="77777777" w:rsidR="00D22CE3" w:rsidRPr="00F10391" w:rsidRDefault="00D22CE3" w:rsidP="00E156D5">
            <w:pPr>
              <w:jc w:val="left"/>
              <w:rPr>
                <w:lang w:eastAsia="en-US"/>
              </w:rPr>
            </w:pPr>
            <w:r w:rsidRPr="00F10391">
              <w:rPr>
                <w:lang w:eastAsia="en-US"/>
              </w:rPr>
              <w:t>NHS &amp; PSS</w:t>
            </w:r>
          </w:p>
        </w:tc>
      </w:tr>
      <w:tr w:rsidR="00D22CE3" w:rsidRPr="00F10391" w14:paraId="060E21AD"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17148652" w14:textId="77777777" w:rsidR="00D22CE3" w:rsidRPr="00F10391" w:rsidRDefault="00D22CE3" w:rsidP="00E156D5">
            <w:pPr>
              <w:jc w:val="left"/>
              <w:rPr>
                <w:lang w:eastAsia="en-US"/>
              </w:rPr>
            </w:pPr>
            <w:r w:rsidRPr="00F10391">
              <w:rPr>
                <w:lang w:eastAsia="en-US"/>
              </w:rPr>
              <w:t>PH16</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971C771" w14:textId="77777777" w:rsidR="00D22CE3" w:rsidRPr="00F10391" w:rsidRDefault="00D22CE3" w:rsidP="00E156D5">
            <w:pPr>
              <w:jc w:val="left"/>
              <w:rPr>
                <w:lang w:eastAsia="en-US"/>
              </w:rPr>
            </w:pPr>
            <w:r w:rsidRPr="00F10391">
              <w:rPr>
                <w:lang w:eastAsia="en-US"/>
              </w:rPr>
              <w:t>Mental wellbeing and older people</w:t>
            </w:r>
          </w:p>
        </w:tc>
        <w:tc>
          <w:tcPr>
            <w:tcW w:w="923" w:type="dxa"/>
            <w:tcBorders>
              <w:top w:val="single" w:sz="4" w:space="0" w:color="auto"/>
              <w:left w:val="single" w:sz="4" w:space="0" w:color="auto"/>
              <w:bottom w:val="single" w:sz="4" w:space="0" w:color="auto"/>
              <w:right w:val="single" w:sz="4" w:space="0" w:color="auto"/>
            </w:tcBorders>
            <w:vAlign w:val="center"/>
            <w:hideMark/>
          </w:tcPr>
          <w:p w14:paraId="6CFCF0BF" w14:textId="77777777" w:rsidR="00D22CE3" w:rsidRPr="00F10391" w:rsidRDefault="00D22CE3" w:rsidP="00E156D5">
            <w:pPr>
              <w:jc w:val="left"/>
              <w:rPr>
                <w:lang w:eastAsia="en-US"/>
              </w:rPr>
            </w:pPr>
            <w:r w:rsidRPr="00F10391">
              <w:rPr>
                <w:lang w:eastAsia="en-US"/>
              </w:rPr>
              <w:t>Oct-08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CC027"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0454803F"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8C8AFD4" w14:textId="77777777" w:rsidR="00D22CE3" w:rsidRPr="00F10391" w:rsidRDefault="00D22CE3" w:rsidP="00E156D5">
            <w:pPr>
              <w:jc w:val="left"/>
              <w:rPr>
                <w:lang w:eastAsia="en-US"/>
              </w:rPr>
            </w:pPr>
            <w:r w:rsidRPr="00F10391">
              <w:rPr>
                <w:lang w:eastAsia="en-US"/>
              </w:rPr>
              <w:t>NA</w:t>
            </w:r>
          </w:p>
        </w:tc>
      </w:tr>
      <w:tr w:rsidR="00D22CE3" w:rsidRPr="00F10391" w14:paraId="65C2F1FA"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672E8C2A" w14:textId="77777777" w:rsidR="00D22CE3" w:rsidRPr="00F10391" w:rsidRDefault="00D22CE3" w:rsidP="00E156D5">
            <w:pPr>
              <w:jc w:val="left"/>
              <w:rPr>
                <w:lang w:eastAsia="en-US"/>
              </w:rPr>
            </w:pPr>
            <w:r w:rsidRPr="00F10391">
              <w:rPr>
                <w:lang w:eastAsia="en-US"/>
              </w:rPr>
              <w:t>PH17</w:t>
            </w:r>
          </w:p>
        </w:tc>
        <w:tc>
          <w:tcPr>
            <w:tcW w:w="3504" w:type="dxa"/>
            <w:tcBorders>
              <w:top w:val="single" w:sz="4" w:space="0" w:color="auto"/>
              <w:left w:val="single" w:sz="4" w:space="0" w:color="auto"/>
              <w:bottom w:val="single" w:sz="4" w:space="0" w:color="auto"/>
              <w:right w:val="single" w:sz="4" w:space="0" w:color="auto"/>
            </w:tcBorders>
            <w:vAlign w:val="center"/>
            <w:hideMark/>
          </w:tcPr>
          <w:p w14:paraId="7FC40870" w14:textId="77777777" w:rsidR="00D22CE3" w:rsidRPr="00F10391" w:rsidRDefault="00D22CE3" w:rsidP="00E156D5">
            <w:pPr>
              <w:jc w:val="left"/>
              <w:rPr>
                <w:lang w:eastAsia="en-US"/>
              </w:rPr>
            </w:pPr>
            <w:r w:rsidRPr="00F10391">
              <w:rPr>
                <w:lang w:eastAsia="en-US"/>
              </w:rPr>
              <w:t>Promoting physical activity for children and young people</w:t>
            </w:r>
          </w:p>
        </w:tc>
        <w:tc>
          <w:tcPr>
            <w:tcW w:w="923" w:type="dxa"/>
            <w:tcBorders>
              <w:top w:val="single" w:sz="4" w:space="0" w:color="auto"/>
              <w:left w:val="single" w:sz="4" w:space="0" w:color="auto"/>
              <w:bottom w:val="single" w:sz="4" w:space="0" w:color="auto"/>
              <w:right w:val="single" w:sz="4" w:space="0" w:color="auto"/>
            </w:tcBorders>
            <w:vAlign w:val="center"/>
            <w:hideMark/>
          </w:tcPr>
          <w:p w14:paraId="1E84A115" w14:textId="77777777" w:rsidR="00D22CE3" w:rsidRPr="00F10391" w:rsidRDefault="00D22CE3" w:rsidP="00E156D5">
            <w:pPr>
              <w:jc w:val="left"/>
              <w:rPr>
                <w:lang w:eastAsia="en-US"/>
              </w:rPr>
            </w:pPr>
            <w:r w:rsidRPr="00F10391">
              <w:rPr>
                <w:lang w:eastAsia="en-US"/>
              </w:rPr>
              <w:t>Jan-09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12467C9"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4CAE7CF6"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CFCB545" w14:textId="77777777" w:rsidR="00D22CE3" w:rsidRPr="00F10391" w:rsidRDefault="00D22CE3" w:rsidP="00E156D5">
            <w:pPr>
              <w:jc w:val="left"/>
              <w:rPr>
                <w:lang w:eastAsia="en-US"/>
              </w:rPr>
            </w:pPr>
            <w:r w:rsidRPr="00F10391">
              <w:rPr>
                <w:lang w:eastAsia="en-US"/>
              </w:rPr>
              <w:t>NA</w:t>
            </w:r>
          </w:p>
        </w:tc>
      </w:tr>
      <w:tr w:rsidR="00D22CE3" w:rsidRPr="00F10391" w14:paraId="3728789C"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2CA02D4" w14:textId="77777777" w:rsidR="00D22CE3" w:rsidRPr="00F10391" w:rsidRDefault="00D22CE3" w:rsidP="00E156D5">
            <w:pPr>
              <w:jc w:val="left"/>
              <w:rPr>
                <w:lang w:eastAsia="en-US"/>
              </w:rPr>
            </w:pPr>
            <w:r w:rsidRPr="00F10391">
              <w:rPr>
                <w:lang w:eastAsia="en-US"/>
              </w:rPr>
              <w:t>PH18</w:t>
            </w:r>
          </w:p>
        </w:tc>
        <w:tc>
          <w:tcPr>
            <w:tcW w:w="3504" w:type="dxa"/>
            <w:tcBorders>
              <w:top w:val="single" w:sz="4" w:space="0" w:color="auto"/>
              <w:left w:val="single" w:sz="4" w:space="0" w:color="auto"/>
              <w:bottom w:val="single" w:sz="4" w:space="0" w:color="auto"/>
              <w:right w:val="single" w:sz="4" w:space="0" w:color="auto"/>
            </w:tcBorders>
            <w:vAlign w:val="center"/>
            <w:hideMark/>
          </w:tcPr>
          <w:p w14:paraId="1ADB2DEC" w14:textId="77777777" w:rsidR="00D22CE3" w:rsidRPr="00F10391" w:rsidRDefault="00D22CE3" w:rsidP="00E156D5">
            <w:pPr>
              <w:jc w:val="left"/>
              <w:rPr>
                <w:lang w:eastAsia="en-US"/>
              </w:rPr>
            </w:pPr>
            <w:r w:rsidRPr="00F10391">
              <w:rPr>
                <w:lang w:eastAsia="en-US"/>
              </w:rPr>
              <w:t xml:space="preserve">Needle and syringe programmes </w:t>
            </w:r>
          </w:p>
        </w:tc>
        <w:tc>
          <w:tcPr>
            <w:tcW w:w="923" w:type="dxa"/>
            <w:tcBorders>
              <w:top w:val="single" w:sz="4" w:space="0" w:color="auto"/>
              <w:left w:val="single" w:sz="4" w:space="0" w:color="auto"/>
              <w:bottom w:val="single" w:sz="4" w:space="0" w:color="auto"/>
              <w:right w:val="single" w:sz="4" w:space="0" w:color="auto"/>
            </w:tcBorders>
            <w:vAlign w:val="center"/>
            <w:hideMark/>
          </w:tcPr>
          <w:p w14:paraId="657D8556" w14:textId="77777777" w:rsidR="00D22CE3" w:rsidRPr="00F10391" w:rsidRDefault="00D22CE3" w:rsidP="00E156D5">
            <w:pPr>
              <w:jc w:val="left"/>
              <w:rPr>
                <w:lang w:eastAsia="en-US"/>
              </w:rPr>
            </w:pPr>
            <w:r w:rsidRPr="00F10391">
              <w:rPr>
                <w:lang w:eastAsia="en-US"/>
              </w:rPr>
              <w:t>Feb-09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B71137B"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503FD" w14:textId="77777777" w:rsidR="00D22CE3" w:rsidRPr="00F10391" w:rsidRDefault="00D22CE3" w:rsidP="00E156D5">
            <w:pPr>
              <w:jc w:val="left"/>
              <w:rPr>
                <w:lang w:eastAsia="en-US"/>
              </w:rPr>
            </w:pPr>
            <w:r w:rsidRPr="00F10391">
              <w:rPr>
                <w:lang w:eastAsia="en-US"/>
              </w:rPr>
              <w:t xml:space="preserve">CUA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776E47D" w14:textId="77777777" w:rsidR="00D22CE3" w:rsidRPr="00F10391" w:rsidRDefault="00D22CE3" w:rsidP="00E156D5">
            <w:pPr>
              <w:jc w:val="left"/>
              <w:rPr>
                <w:lang w:eastAsia="en-US"/>
              </w:rPr>
            </w:pPr>
            <w:r w:rsidRPr="00F10391">
              <w:rPr>
                <w:lang w:eastAsia="en-US"/>
              </w:rPr>
              <w:t>Societal</w:t>
            </w:r>
          </w:p>
        </w:tc>
      </w:tr>
      <w:tr w:rsidR="00D22CE3" w:rsidRPr="00F10391" w14:paraId="5449145B"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6A7D369" w14:textId="77777777" w:rsidR="00D22CE3" w:rsidRPr="00F10391" w:rsidRDefault="00D22CE3" w:rsidP="00E156D5">
            <w:pPr>
              <w:jc w:val="left"/>
              <w:rPr>
                <w:lang w:eastAsia="en-US"/>
              </w:rPr>
            </w:pPr>
            <w:r w:rsidRPr="00F10391">
              <w:rPr>
                <w:lang w:eastAsia="en-US"/>
              </w:rPr>
              <w:t>PH19</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0F663BB7" w14:textId="77777777" w:rsidR="00D22CE3" w:rsidRPr="00F10391" w:rsidRDefault="00D22CE3" w:rsidP="00E156D5">
            <w:pPr>
              <w:jc w:val="left"/>
              <w:rPr>
                <w:lang w:eastAsia="en-US"/>
              </w:rPr>
            </w:pPr>
            <w:r w:rsidRPr="00F10391">
              <w:rPr>
                <w:lang w:eastAsia="en-US"/>
              </w:rPr>
              <w:t>Management of long-term sickness and incapacity for work</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600D836A" w14:textId="77777777" w:rsidR="00D22CE3" w:rsidRPr="00F10391" w:rsidRDefault="00D22CE3" w:rsidP="00E156D5">
            <w:pPr>
              <w:jc w:val="left"/>
              <w:rPr>
                <w:lang w:eastAsia="en-US"/>
              </w:rPr>
            </w:pPr>
            <w:r w:rsidRPr="00F10391">
              <w:rPr>
                <w:lang w:eastAsia="en-US"/>
              </w:rPr>
              <w:t>Mar-09</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1777299"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5E73F913"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22272F2A" w14:textId="77777777" w:rsidR="00D22CE3" w:rsidRPr="00F10391" w:rsidRDefault="00D22CE3" w:rsidP="00E156D5">
            <w:pPr>
              <w:jc w:val="left"/>
              <w:rPr>
                <w:lang w:eastAsia="en-US"/>
              </w:rPr>
            </w:pPr>
            <w:r w:rsidRPr="00F10391">
              <w:rPr>
                <w:lang w:eastAsia="en-US"/>
              </w:rPr>
              <w:t xml:space="preserve">NHS &amp; PSS </w:t>
            </w:r>
          </w:p>
        </w:tc>
      </w:tr>
      <w:tr w:rsidR="00D22CE3" w:rsidRPr="00F10391" w14:paraId="7F21E419"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EC672"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FBFA7"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86B5E"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BDF2B"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6A6A6"/>
              <w:right w:val="single" w:sz="4" w:space="0" w:color="auto"/>
            </w:tcBorders>
            <w:vAlign w:val="center"/>
            <w:hideMark/>
          </w:tcPr>
          <w:p w14:paraId="3DCD75B9" w14:textId="77777777" w:rsidR="00D22CE3" w:rsidRPr="00F10391" w:rsidRDefault="00D22CE3" w:rsidP="00E156D5">
            <w:pPr>
              <w:jc w:val="left"/>
              <w:rPr>
                <w:lang w:eastAsia="en-US"/>
              </w:rPr>
            </w:pPr>
            <w:r w:rsidRPr="00F10391">
              <w:rPr>
                <w:lang w:eastAsia="en-US"/>
              </w:rPr>
              <w:t>2. CUA</w:t>
            </w:r>
          </w:p>
        </w:tc>
        <w:tc>
          <w:tcPr>
            <w:tcW w:w="1640" w:type="dxa"/>
            <w:tcBorders>
              <w:top w:val="single" w:sz="4" w:space="0" w:color="A6A6A6"/>
              <w:left w:val="single" w:sz="4" w:space="0" w:color="auto"/>
              <w:bottom w:val="single" w:sz="4" w:space="0" w:color="A6A6A6"/>
              <w:right w:val="single" w:sz="4" w:space="0" w:color="auto"/>
            </w:tcBorders>
            <w:vAlign w:val="center"/>
            <w:hideMark/>
          </w:tcPr>
          <w:p w14:paraId="0E2A12DA" w14:textId="77777777" w:rsidR="00D22CE3" w:rsidRPr="00F10391" w:rsidRDefault="00D22CE3" w:rsidP="00E156D5">
            <w:pPr>
              <w:jc w:val="left"/>
              <w:rPr>
                <w:lang w:eastAsia="en-US"/>
              </w:rPr>
            </w:pPr>
            <w:r w:rsidRPr="00F10391">
              <w:rPr>
                <w:lang w:eastAsia="en-US"/>
              </w:rPr>
              <w:t>Societal</w:t>
            </w:r>
          </w:p>
        </w:tc>
      </w:tr>
      <w:tr w:rsidR="00D22CE3" w:rsidRPr="00F10391" w14:paraId="767FA4FC"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8880B"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7FCAA"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4EA7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38F80"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tcPr>
          <w:p w14:paraId="0A750B27" w14:textId="77777777" w:rsidR="00D22CE3" w:rsidRPr="00F10391" w:rsidRDefault="00D22CE3" w:rsidP="00E156D5">
            <w:pPr>
              <w:jc w:val="left"/>
              <w:rPr>
                <w:lang w:eastAsia="en-US"/>
              </w:rPr>
            </w:pPr>
          </w:p>
          <w:p w14:paraId="47398F24" w14:textId="77777777" w:rsidR="00D22CE3" w:rsidRPr="00F10391" w:rsidRDefault="00D22CE3" w:rsidP="00E156D5">
            <w:pPr>
              <w:jc w:val="left"/>
              <w:rPr>
                <w:lang w:eastAsia="en-US"/>
              </w:rPr>
            </w:pPr>
            <w:r w:rsidRPr="00F10391">
              <w:rPr>
                <w:lang w:eastAsia="en-US"/>
              </w:rPr>
              <w:t>3. CUA</w:t>
            </w:r>
          </w:p>
        </w:tc>
        <w:tc>
          <w:tcPr>
            <w:tcW w:w="1640" w:type="dxa"/>
            <w:tcBorders>
              <w:top w:val="single" w:sz="4" w:space="0" w:color="A6A6A6"/>
              <w:left w:val="single" w:sz="4" w:space="0" w:color="auto"/>
              <w:bottom w:val="single" w:sz="4" w:space="0" w:color="auto"/>
              <w:right w:val="single" w:sz="4" w:space="0" w:color="auto"/>
            </w:tcBorders>
            <w:vAlign w:val="center"/>
          </w:tcPr>
          <w:p w14:paraId="063525DC" w14:textId="77777777" w:rsidR="00D22CE3" w:rsidRPr="00F10391" w:rsidRDefault="00D22CE3" w:rsidP="005D7324">
            <w:pPr>
              <w:jc w:val="left"/>
              <w:rPr>
                <w:lang w:eastAsia="en-US"/>
              </w:rPr>
            </w:pPr>
          </w:p>
          <w:p w14:paraId="3FFA0ADD" w14:textId="77777777" w:rsidR="00D22CE3" w:rsidRPr="00F10391" w:rsidRDefault="00D22CE3" w:rsidP="005D7324">
            <w:pPr>
              <w:jc w:val="left"/>
              <w:rPr>
                <w:lang w:eastAsia="en-US"/>
              </w:rPr>
            </w:pPr>
            <w:r w:rsidRPr="00F10391">
              <w:rPr>
                <w:lang w:eastAsia="en-US"/>
              </w:rPr>
              <w:t>Employer</w:t>
            </w:r>
          </w:p>
        </w:tc>
      </w:tr>
      <w:tr w:rsidR="00D22CE3" w:rsidRPr="00F10391" w14:paraId="6F3EE6C9"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19E95C8C" w14:textId="77777777" w:rsidR="00D22CE3" w:rsidRPr="00F10391" w:rsidRDefault="00D22CE3" w:rsidP="00E156D5">
            <w:pPr>
              <w:jc w:val="left"/>
              <w:rPr>
                <w:lang w:eastAsia="en-US"/>
              </w:rPr>
            </w:pPr>
            <w:r w:rsidRPr="00F10391">
              <w:rPr>
                <w:lang w:eastAsia="en-US"/>
              </w:rPr>
              <w:t>PH20</w:t>
            </w:r>
          </w:p>
        </w:tc>
        <w:tc>
          <w:tcPr>
            <w:tcW w:w="3504" w:type="dxa"/>
            <w:tcBorders>
              <w:top w:val="single" w:sz="4" w:space="0" w:color="auto"/>
              <w:left w:val="single" w:sz="4" w:space="0" w:color="auto"/>
              <w:bottom w:val="single" w:sz="4" w:space="0" w:color="auto"/>
              <w:right w:val="single" w:sz="4" w:space="0" w:color="auto"/>
            </w:tcBorders>
            <w:vAlign w:val="center"/>
            <w:hideMark/>
          </w:tcPr>
          <w:p w14:paraId="28902A39" w14:textId="77777777" w:rsidR="00D22CE3" w:rsidRPr="00F10391" w:rsidRDefault="00D22CE3" w:rsidP="00E156D5">
            <w:pPr>
              <w:jc w:val="left"/>
              <w:rPr>
                <w:lang w:eastAsia="en-US"/>
              </w:rPr>
            </w:pPr>
            <w:r w:rsidRPr="00F10391">
              <w:rPr>
                <w:lang w:eastAsia="en-US"/>
              </w:rPr>
              <w:t>Social and emotional wellbeing in secondary education</w:t>
            </w:r>
          </w:p>
        </w:tc>
        <w:tc>
          <w:tcPr>
            <w:tcW w:w="923" w:type="dxa"/>
            <w:tcBorders>
              <w:top w:val="single" w:sz="4" w:space="0" w:color="auto"/>
              <w:left w:val="single" w:sz="4" w:space="0" w:color="auto"/>
              <w:bottom w:val="single" w:sz="4" w:space="0" w:color="auto"/>
              <w:right w:val="single" w:sz="4" w:space="0" w:color="auto"/>
            </w:tcBorders>
            <w:vAlign w:val="center"/>
            <w:hideMark/>
          </w:tcPr>
          <w:p w14:paraId="3DB08B7F" w14:textId="77777777" w:rsidR="00D22CE3" w:rsidRPr="00F10391" w:rsidRDefault="00D22CE3" w:rsidP="00E156D5">
            <w:pPr>
              <w:jc w:val="left"/>
              <w:rPr>
                <w:lang w:eastAsia="en-US"/>
              </w:rPr>
            </w:pPr>
            <w:r w:rsidRPr="00F10391">
              <w:rPr>
                <w:lang w:eastAsia="en-US"/>
              </w:rPr>
              <w:t>Sep-09</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46938"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DA55A45"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B84C323" w14:textId="77777777" w:rsidR="00D22CE3" w:rsidRPr="00F10391" w:rsidRDefault="00D22CE3" w:rsidP="00E156D5">
            <w:pPr>
              <w:jc w:val="left"/>
              <w:rPr>
                <w:lang w:eastAsia="en-US"/>
              </w:rPr>
            </w:pPr>
            <w:r w:rsidRPr="00F10391">
              <w:rPr>
                <w:lang w:eastAsia="en-US"/>
              </w:rPr>
              <w:t>Public sector</w:t>
            </w:r>
          </w:p>
        </w:tc>
      </w:tr>
      <w:tr w:rsidR="00D22CE3" w:rsidRPr="00F10391" w14:paraId="6542E0F5"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5B289B63" w14:textId="77777777" w:rsidR="00D22CE3" w:rsidRPr="00F10391" w:rsidRDefault="00D22CE3" w:rsidP="00E156D5">
            <w:pPr>
              <w:jc w:val="left"/>
              <w:rPr>
                <w:lang w:eastAsia="en-US"/>
              </w:rPr>
            </w:pPr>
            <w:r w:rsidRPr="00F10391">
              <w:rPr>
                <w:lang w:eastAsia="en-US"/>
              </w:rPr>
              <w:t>PH21</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FDE143C" w14:textId="77777777" w:rsidR="00D22CE3" w:rsidRPr="00F10391" w:rsidRDefault="00D22CE3" w:rsidP="00E156D5">
            <w:pPr>
              <w:jc w:val="left"/>
              <w:rPr>
                <w:lang w:eastAsia="en-US"/>
              </w:rPr>
            </w:pPr>
            <w:r w:rsidRPr="00F10391">
              <w:rPr>
                <w:lang w:eastAsia="en-US"/>
              </w:rPr>
              <w:t>Reducing differences in the uptake of immunisations</w:t>
            </w:r>
          </w:p>
        </w:tc>
        <w:tc>
          <w:tcPr>
            <w:tcW w:w="923" w:type="dxa"/>
            <w:tcBorders>
              <w:top w:val="single" w:sz="4" w:space="0" w:color="auto"/>
              <w:left w:val="single" w:sz="4" w:space="0" w:color="auto"/>
              <w:bottom w:val="single" w:sz="4" w:space="0" w:color="auto"/>
              <w:right w:val="single" w:sz="4" w:space="0" w:color="auto"/>
            </w:tcBorders>
            <w:vAlign w:val="center"/>
            <w:hideMark/>
          </w:tcPr>
          <w:p w14:paraId="45BB1185" w14:textId="77777777" w:rsidR="00D22CE3" w:rsidRPr="00F10391" w:rsidRDefault="00D22CE3" w:rsidP="00E156D5">
            <w:pPr>
              <w:jc w:val="left"/>
              <w:rPr>
                <w:lang w:eastAsia="en-US"/>
              </w:rPr>
            </w:pPr>
            <w:r w:rsidRPr="00F10391">
              <w:rPr>
                <w:lang w:eastAsia="en-US"/>
              </w:rPr>
              <w:t>Sep-09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9BFF59"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FBF9D"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E86D26A" w14:textId="77777777" w:rsidR="00D22CE3" w:rsidRPr="00F10391" w:rsidRDefault="00D22CE3" w:rsidP="00E156D5">
            <w:pPr>
              <w:jc w:val="left"/>
              <w:rPr>
                <w:lang w:eastAsia="en-US"/>
              </w:rPr>
            </w:pPr>
            <w:r w:rsidRPr="00F10391">
              <w:rPr>
                <w:lang w:eastAsia="en-US"/>
              </w:rPr>
              <w:t>NHS &amp; PSS</w:t>
            </w:r>
          </w:p>
        </w:tc>
      </w:tr>
      <w:tr w:rsidR="00D22CE3" w:rsidRPr="00F10391" w14:paraId="75571913"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51BCF689" w14:textId="77777777" w:rsidR="00D22CE3" w:rsidRPr="00F10391" w:rsidRDefault="00D22CE3" w:rsidP="00E156D5">
            <w:pPr>
              <w:jc w:val="left"/>
              <w:rPr>
                <w:lang w:eastAsia="en-US"/>
              </w:rPr>
            </w:pPr>
            <w:r w:rsidRPr="00F10391">
              <w:rPr>
                <w:lang w:eastAsia="en-US"/>
              </w:rPr>
              <w:t>PH22</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94AD650" w14:textId="77777777" w:rsidR="00D22CE3" w:rsidRPr="00F10391" w:rsidRDefault="00D22CE3" w:rsidP="00E156D5">
            <w:pPr>
              <w:jc w:val="left"/>
              <w:rPr>
                <w:lang w:eastAsia="en-US"/>
              </w:rPr>
            </w:pPr>
            <w:r w:rsidRPr="00F10391">
              <w:rPr>
                <w:lang w:eastAsia="en-US"/>
              </w:rPr>
              <w:t>Promoting mental wellbeing at work</w:t>
            </w:r>
          </w:p>
        </w:tc>
        <w:tc>
          <w:tcPr>
            <w:tcW w:w="923" w:type="dxa"/>
            <w:tcBorders>
              <w:top w:val="single" w:sz="4" w:space="0" w:color="auto"/>
              <w:left w:val="single" w:sz="4" w:space="0" w:color="auto"/>
              <w:bottom w:val="single" w:sz="4" w:space="0" w:color="auto"/>
              <w:right w:val="single" w:sz="4" w:space="0" w:color="auto"/>
            </w:tcBorders>
            <w:vAlign w:val="center"/>
            <w:hideMark/>
          </w:tcPr>
          <w:p w14:paraId="270C8E29" w14:textId="77777777" w:rsidR="00D22CE3" w:rsidRPr="00F10391" w:rsidRDefault="00D22CE3" w:rsidP="00E156D5">
            <w:pPr>
              <w:jc w:val="left"/>
              <w:rPr>
                <w:lang w:eastAsia="en-US"/>
              </w:rPr>
            </w:pPr>
            <w:r w:rsidRPr="00F10391">
              <w:rPr>
                <w:lang w:eastAsia="en-US"/>
              </w:rPr>
              <w:t>Nov-09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67F3B"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1F3BC716"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35169DD" w14:textId="77777777" w:rsidR="00D22CE3" w:rsidRPr="00F10391" w:rsidRDefault="00D22CE3" w:rsidP="00E156D5">
            <w:pPr>
              <w:jc w:val="left"/>
              <w:rPr>
                <w:lang w:eastAsia="en-US"/>
              </w:rPr>
            </w:pPr>
            <w:r w:rsidRPr="00F10391">
              <w:rPr>
                <w:lang w:eastAsia="en-US"/>
              </w:rPr>
              <w:t>NA</w:t>
            </w:r>
          </w:p>
        </w:tc>
      </w:tr>
      <w:tr w:rsidR="00D22CE3" w:rsidRPr="00F10391" w14:paraId="250A6113"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2969ED48" w14:textId="77777777" w:rsidR="00D22CE3" w:rsidRPr="00F10391" w:rsidRDefault="00D22CE3" w:rsidP="00E156D5">
            <w:pPr>
              <w:jc w:val="left"/>
              <w:rPr>
                <w:lang w:eastAsia="en-US"/>
              </w:rPr>
            </w:pPr>
            <w:r w:rsidRPr="00F10391">
              <w:rPr>
                <w:lang w:eastAsia="en-US"/>
              </w:rPr>
              <w:t>PH23</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FC0B4E7" w14:textId="77777777" w:rsidR="00D22CE3" w:rsidRPr="00F10391" w:rsidRDefault="00D22CE3" w:rsidP="00E156D5">
            <w:pPr>
              <w:jc w:val="left"/>
              <w:rPr>
                <w:lang w:eastAsia="en-US"/>
              </w:rPr>
            </w:pPr>
            <w:r w:rsidRPr="00F10391">
              <w:rPr>
                <w:lang w:eastAsia="en-US"/>
              </w:rPr>
              <w:t xml:space="preserve">School-based interventions to prevent smoking </w:t>
            </w:r>
          </w:p>
        </w:tc>
        <w:tc>
          <w:tcPr>
            <w:tcW w:w="923" w:type="dxa"/>
            <w:tcBorders>
              <w:top w:val="single" w:sz="4" w:space="0" w:color="auto"/>
              <w:left w:val="single" w:sz="4" w:space="0" w:color="auto"/>
              <w:bottom w:val="single" w:sz="4" w:space="0" w:color="auto"/>
              <w:right w:val="single" w:sz="4" w:space="0" w:color="auto"/>
            </w:tcBorders>
            <w:vAlign w:val="center"/>
            <w:hideMark/>
          </w:tcPr>
          <w:p w14:paraId="7EE8E246" w14:textId="77777777" w:rsidR="00D22CE3" w:rsidRPr="00F10391" w:rsidRDefault="00D22CE3" w:rsidP="00E156D5">
            <w:pPr>
              <w:jc w:val="left"/>
              <w:rPr>
                <w:lang w:eastAsia="en-US"/>
              </w:rPr>
            </w:pPr>
            <w:r w:rsidRPr="00F10391">
              <w:rPr>
                <w:lang w:eastAsia="en-US"/>
              </w:rPr>
              <w:t>Feb-10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D87E6"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34EC2"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44137E7" w14:textId="77777777" w:rsidR="00D22CE3" w:rsidRPr="00F10391" w:rsidRDefault="00D22CE3" w:rsidP="00E156D5">
            <w:pPr>
              <w:jc w:val="left"/>
              <w:rPr>
                <w:lang w:eastAsia="en-US"/>
              </w:rPr>
            </w:pPr>
            <w:r w:rsidRPr="00F10391">
              <w:rPr>
                <w:lang w:eastAsia="en-US"/>
              </w:rPr>
              <w:t>NHS &amp; PSS</w:t>
            </w:r>
          </w:p>
        </w:tc>
      </w:tr>
      <w:tr w:rsidR="00D22CE3" w:rsidRPr="00F10391" w14:paraId="783EC824"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3AECAC" w14:textId="77777777" w:rsidR="00D22CE3" w:rsidRPr="00F10391" w:rsidRDefault="00D22CE3" w:rsidP="00E156D5">
            <w:pPr>
              <w:jc w:val="left"/>
              <w:rPr>
                <w:lang w:eastAsia="en-US"/>
              </w:rPr>
            </w:pPr>
            <w:r w:rsidRPr="00F10391">
              <w:rPr>
                <w:lang w:eastAsia="en-US"/>
              </w:rPr>
              <w:t>PH24</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619642FF" w14:textId="77777777" w:rsidR="00D22CE3" w:rsidRPr="00F10391" w:rsidRDefault="00D22CE3" w:rsidP="00E156D5">
            <w:pPr>
              <w:jc w:val="left"/>
              <w:rPr>
                <w:lang w:eastAsia="en-US"/>
              </w:rPr>
            </w:pPr>
            <w:r w:rsidRPr="00F10391">
              <w:rPr>
                <w:lang w:eastAsia="en-US"/>
              </w:rPr>
              <w:t xml:space="preserve">Alcohol-use disorders – preventing harmful drinking </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5C951989" w14:textId="77777777" w:rsidR="00D22CE3" w:rsidRPr="00F10391" w:rsidRDefault="00D22CE3" w:rsidP="00E156D5">
            <w:pPr>
              <w:jc w:val="left"/>
              <w:rPr>
                <w:lang w:eastAsia="en-US"/>
              </w:rPr>
            </w:pPr>
            <w:r w:rsidRPr="00F10391">
              <w:rPr>
                <w:lang w:eastAsia="en-US"/>
              </w:rPr>
              <w:t>Jun-10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0181FF"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57E4FCAF"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06BEB8BE" w14:textId="77777777" w:rsidR="00D22CE3" w:rsidRPr="00F10391" w:rsidRDefault="00D22CE3" w:rsidP="00E156D5">
            <w:pPr>
              <w:jc w:val="left"/>
              <w:rPr>
                <w:lang w:eastAsia="en-US"/>
              </w:rPr>
            </w:pPr>
            <w:r w:rsidRPr="00F10391">
              <w:rPr>
                <w:lang w:eastAsia="en-US"/>
              </w:rPr>
              <w:t>NHS &amp; PSS (for screening and brief interventions)</w:t>
            </w:r>
          </w:p>
          <w:p w14:paraId="5DC20B77" w14:textId="77777777" w:rsidR="00D22CE3" w:rsidRPr="00F10391" w:rsidRDefault="00D22CE3" w:rsidP="005D7324">
            <w:pPr>
              <w:jc w:val="left"/>
              <w:rPr>
                <w:lang w:eastAsia="en-US"/>
              </w:rPr>
            </w:pPr>
            <w:r w:rsidRPr="00F10391">
              <w:rPr>
                <w:lang w:eastAsia="en-US"/>
              </w:rPr>
              <w:t>Public sector for others</w:t>
            </w:r>
          </w:p>
        </w:tc>
      </w:tr>
      <w:tr w:rsidR="00D22CE3" w:rsidRPr="00F10391" w14:paraId="177753C1"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10D35"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4751C"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D7841"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B4195"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6A6A6"/>
              <w:right w:val="single" w:sz="4" w:space="0" w:color="auto"/>
            </w:tcBorders>
            <w:vAlign w:val="center"/>
            <w:hideMark/>
          </w:tcPr>
          <w:p w14:paraId="0B0FE798" w14:textId="77777777" w:rsidR="00D22CE3" w:rsidRPr="00F10391" w:rsidRDefault="00D22CE3" w:rsidP="00E156D5">
            <w:pPr>
              <w:jc w:val="left"/>
              <w:rPr>
                <w:lang w:eastAsia="en-US"/>
              </w:rPr>
            </w:pPr>
            <w:r w:rsidRPr="00F10391">
              <w:rPr>
                <w:lang w:eastAsia="en-US"/>
              </w:rPr>
              <w:t>2. CBA (or Net Financial analysis?), described as</w:t>
            </w:r>
          </w:p>
          <w:p w14:paraId="7C346C5C" w14:textId="77777777" w:rsidR="00D22CE3" w:rsidRPr="00F10391" w:rsidRDefault="00D22CE3" w:rsidP="00E156D5">
            <w:pPr>
              <w:jc w:val="left"/>
              <w:rPr>
                <w:lang w:eastAsia="en-US"/>
              </w:rPr>
            </w:pPr>
            <w:r w:rsidRPr="00F10391">
              <w:rPr>
                <w:lang w:eastAsia="en-US"/>
              </w:rPr>
              <w:t>“Valuation of harms analysis”</w:t>
            </w:r>
          </w:p>
        </w:tc>
        <w:tc>
          <w:tcPr>
            <w:tcW w:w="1640" w:type="dxa"/>
            <w:tcBorders>
              <w:top w:val="single" w:sz="4" w:space="0" w:color="A6A6A6"/>
              <w:left w:val="single" w:sz="4" w:space="0" w:color="auto"/>
              <w:bottom w:val="single" w:sz="4" w:space="0" w:color="A6A6A6"/>
              <w:right w:val="single" w:sz="4" w:space="0" w:color="auto"/>
            </w:tcBorders>
            <w:vAlign w:val="center"/>
          </w:tcPr>
          <w:p w14:paraId="022E03D4" w14:textId="77777777" w:rsidR="00D22CE3" w:rsidRPr="00F10391" w:rsidRDefault="00D22CE3" w:rsidP="005D7324">
            <w:pPr>
              <w:jc w:val="left"/>
              <w:rPr>
                <w:lang w:eastAsia="en-US"/>
              </w:rPr>
            </w:pPr>
            <w:r w:rsidRPr="00F10391">
              <w:rPr>
                <w:lang w:eastAsia="en-US"/>
              </w:rPr>
              <w:t>Societal</w:t>
            </w:r>
          </w:p>
          <w:p w14:paraId="3A559FFA" w14:textId="77777777" w:rsidR="00D22CE3" w:rsidRPr="00F10391" w:rsidRDefault="00D22CE3" w:rsidP="005D7324">
            <w:pPr>
              <w:jc w:val="left"/>
              <w:rPr>
                <w:lang w:eastAsia="en-US"/>
              </w:rPr>
            </w:pPr>
          </w:p>
          <w:p w14:paraId="01E70A00" w14:textId="77777777" w:rsidR="00D22CE3" w:rsidRPr="00F10391" w:rsidRDefault="00D22CE3" w:rsidP="005D7324">
            <w:pPr>
              <w:jc w:val="left"/>
              <w:rPr>
                <w:lang w:eastAsia="en-US"/>
              </w:rPr>
            </w:pPr>
          </w:p>
        </w:tc>
      </w:tr>
      <w:tr w:rsidR="00D22CE3" w:rsidRPr="00F10391" w14:paraId="75548975"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4DDF8"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44F2F"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E7A9D"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2D03F"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3FDBDA5A" w14:textId="77777777" w:rsidR="00D22CE3" w:rsidRPr="00F10391" w:rsidRDefault="00D22CE3" w:rsidP="00E156D5">
            <w:pPr>
              <w:jc w:val="left"/>
              <w:rPr>
                <w:lang w:eastAsia="en-US"/>
              </w:rPr>
            </w:pPr>
            <w:r w:rsidRPr="00F10391">
              <w:rPr>
                <w:lang w:eastAsia="en-US"/>
              </w:rPr>
              <w:t>3. Pseudo- CCA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705483E3" w14:textId="77777777" w:rsidR="00D22CE3" w:rsidRPr="00F10391" w:rsidRDefault="00D22CE3" w:rsidP="00E156D5">
            <w:pPr>
              <w:jc w:val="left"/>
              <w:rPr>
                <w:lang w:eastAsia="en-US"/>
              </w:rPr>
            </w:pPr>
            <w:r w:rsidRPr="00F10391">
              <w:rPr>
                <w:lang w:eastAsia="en-US"/>
              </w:rPr>
              <w:t>Societal</w:t>
            </w:r>
          </w:p>
        </w:tc>
      </w:tr>
      <w:tr w:rsidR="00D22CE3" w:rsidRPr="00F10391" w14:paraId="45391FC9"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472A4038" w14:textId="77777777" w:rsidR="00D22CE3" w:rsidRPr="00F10391" w:rsidRDefault="00D22CE3" w:rsidP="00E156D5">
            <w:pPr>
              <w:jc w:val="left"/>
              <w:rPr>
                <w:lang w:eastAsia="en-US"/>
              </w:rPr>
            </w:pPr>
            <w:r w:rsidRPr="00F10391">
              <w:rPr>
                <w:lang w:eastAsia="en-US"/>
              </w:rPr>
              <w:t>PH25</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AEE81C8" w14:textId="77777777" w:rsidR="00D22CE3" w:rsidRPr="00F10391" w:rsidRDefault="00D22CE3" w:rsidP="00E156D5">
            <w:pPr>
              <w:jc w:val="left"/>
              <w:rPr>
                <w:lang w:eastAsia="en-US"/>
              </w:rPr>
            </w:pPr>
            <w:r w:rsidRPr="00F10391">
              <w:rPr>
                <w:lang w:eastAsia="en-US"/>
              </w:rPr>
              <w:t>Prevention of cardiovascular disease</w:t>
            </w:r>
          </w:p>
        </w:tc>
        <w:tc>
          <w:tcPr>
            <w:tcW w:w="923" w:type="dxa"/>
            <w:tcBorders>
              <w:top w:val="single" w:sz="4" w:space="0" w:color="auto"/>
              <w:left w:val="single" w:sz="4" w:space="0" w:color="auto"/>
              <w:bottom w:val="single" w:sz="4" w:space="0" w:color="auto"/>
              <w:right w:val="single" w:sz="4" w:space="0" w:color="auto"/>
            </w:tcBorders>
            <w:vAlign w:val="center"/>
            <w:hideMark/>
          </w:tcPr>
          <w:p w14:paraId="6AF59C89" w14:textId="77777777" w:rsidR="00D22CE3" w:rsidRPr="00F10391" w:rsidRDefault="00D22CE3" w:rsidP="00E156D5">
            <w:pPr>
              <w:jc w:val="left"/>
              <w:rPr>
                <w:lang w:eastAsia="en-US"/>
              </w:rPr>
            </w:pPr>
            <w:r w:rsidRPr="00F10391">
              <w:rPr>
                <w:lang w:eastAsia="en-US"/>
              </w:rPr>
              <w:t>Jun-10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32D87"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22767454"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5597DBA" w14:textId="77777777" w:rsidR="00D22CE3" w:rsidRPr="00F10391" w:rsidRDefault="00D22CE3" w:rsidP="00E156D5">
            <w:pPr>
              <w:jc w:val="left"/>
              <w:rPr>
                <w:lang w:eastAsia="en-US"/>
              </w:rPr>
            </w:pPr>
            <w:r w:rsidRPr="00F10391">
              <w:rPr>
                <w:lang w:eastAsia="en-US"/>
              </w:rPr>
              <w:t>NA</w:t>
            </w:r>
          </w:p>
        </w:tc>
      </w:tr>
      <w:tr w:rsidR="00D22CE3" w:rsidRPr="00F10391" w14:paraId="6B99C2B5"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B854C58" w14:textId="77777777" w:rsidR="00D22CE3" w:rsidRPr="00F10391" w:rsidRDefault="00D22CE3" w:rsidP="00E156D5">
            <w:pPr>
              <w:jc w:val="left"/>
              <w:rPr>
                <w:lang w:eastAsia="en-US"/>
              </w:rPr>
            </w:pPr>
            <w:r w:rsidRPr="00F10391">
              <w:rPr>
                <w:lang w:eastAsia="en-US"/>
              </w:rPr>
              <w:lastRenderedPageBreak/>
              <w:t>PH26</w:t>
            </w:r>
          </w:p>
        </w:tc>
        <w:tc>
          <w:tcPr>
            <w:tcW w:w="3504" w:type="dxa"/>
            <w:tcBorders>
              <w:top w:val="single" w:sz="4" w:space="0" w:color="auto"/>
              <w:left w:val="single" w:sz="4" w:space="0" w:color="auto"/>
              <w:bottom w:val="single" w:sz="4" w:space="0" w:color="auto"/>
              <w:right w:val="single" w:sz="4" w:space="0" w:color="auto"/>
            </w:tcBorders>
            <w:vAlign w:val="center"/>
            <w:hideMark/>
          </w:tcPr>
          <w:p w14:paraId="03CE9C25" w14:textId="77777777" w:rsidR="00D22CE3" w:rsidRPr="00F10391" w:rsidRDefault="00D22CE3" w:rsidP="00E156D5">
            <w:pPr>
              <w:jc w:val="left"/>
              <w:rPr>
                <w:lang w:eastAsia="en-US"/>
              </w:rPr>
            </w:pPr>
            <w:r w:rsidRPr="00F10391">
              <w:rPr>
                <w:lang w:eastAsia="en-US"/>
              </w:rPr>
              <w:t>Quitting smoking in pregnancy and following childbirth</w:t>
            </w:r>
          </w:p>
        </w:tc>
        <w:tc>
          <w:tcPr>
            <w:tcW w:w="923" w:type="dxa"/>
            <w:tcBorders>
              <w:top w:val="single" w:sz="4" w:space="0" w:color="auto"/>
              <w:left w:val="single" w:sz="4" w:space="0" w:color="auto"/>
              <w:bottom w:val="single" w:sz="4" w:space="0" w:color="auto"/>
              <w:right w:val="single" w:sz="4" w:space="0" w:color="auto"/>
            </w:tcBorders>
            <w:vAlign w:val="center"/>
            <w:hideMark/>
          </w:tcPr>
          <w:p w14:paraId="2848F88E" w14:textId="77777777" w:rsidR="00D22CE3" w:rsidRPr="00F10391" w:rsidRDefault="00D22CE3" w:rsidP="00E156D5">
            <w:pPr>
              <w:jc w:val="left"/>
              <w:rPr>
                <w:lang w:eastAsia="en-US"/>
              </w:rPr>
            </w:pPr>
            <w:r w:rsidRPr="00F10391">
              <w:rPr>
                <w:lang w:eastAsia="en-US"/>
              </w:rPr>
              <w:t>Jun-10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43382"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0EE8C67D"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3136F19" w14:textId="77777777" w:rsidR="00D22CE3" w:rsidRPr="00F10391" w:rsidRDefault="00D22CE3" w:rsidP="00E156D5">
            <w:pPr>
              <w:jc w:val="left"/>
              <w:rPr>
                <w:lang w:eastAsia="en-US"/>
              </w:rPr>
            </w:pPr>
            <w:r w:rsidRPr="00F10391">
              <w:rPr>
                <w:lang w:eastAsia="en-US"/>
              </w:rPr>
              <w:t>NHS &amp; PSS</w:t>
            </w:r>
          </w:p>
        </w:tc>
      </w:tr>
      <w:tr w:rsidR="00D22CE3" w:rsidRPr="00F10391" w14:paraId="2BB0D80F"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4CF958A" w14:textId="77777777" w:rsidR="00D22CE3" w:rsidRPr="00F10391" w:rsidRDefault="00D22CE3" w:rsidP="00E156D5">
            <w:pPr>
              <w:jc w:val="left"/>
              <w:rPr>
                <w:lang w:eastAsia="en-US"/>
              </w:rPr>
            </w:pPr>
            <w:r w:rsidRPr="00F10391">
              <w:rPr>
                <w:lang w:eastAsia="en-US"/>
              </w:rPr>
              <w:t>PH27</w:t>
            </w:r>
          </w:p>
        </w:tc>
        <w:tc>
          <w:tcPr>
            <w:tcW w:w="3504" w:type="dxa"/>
            <w:tcBorders>
              <w:top w:val="single" w:sz="4" w:space="0" w:color="auto"/>
              <w:left w:val="single" w:sz="4" w:space="0" w:color="auto"/>
              <w:bottom w:val="single" w:sz="4" w:space="0" w:color="auto"/>
              <w:right w:val="single" w:sz="4" w:space="0" w:color="auto"/>
            </w:tcBorders>
            <w:vAlign w:val="center"/>
            <w:hideMark/>
          </w:tcPr>
          <w:p w14:paraId="2AA8854F" w14:textId="77777777" w:rsidR="00D22CE3" w:rsidRPr="00F10391" w:rsidRDefault="00D22CE3" w:rsidP="00E156D5">
            <w:pPr>
              <w:jc w:val="left"/>
              <w:rPr>
                <w:lang w:eastAsia="en-US"/>
              </w:rPr>
            </w:pPr>
            <w:r w:rsidRPr="00F10391">
              <w:rPr>
                <w:lang w:eastAsia="en-US"/>
              </w:rPr>
              <w:t>Weight management before, during and after pregnancy</w:t>
            </w:r>
          </w:p>
        </w:tc>
        <w:tc>
          <w:tcPr>
            <w:tcW w:w="923" w:type="dxa"/>
            <w:tcBorders>
              <w:top w:val="single" w:sz="4" w:space="0" w:color="auto"/>
              <w:left w:val="single" w:sz="4" w:space="0" w:color="auto"/>
              <w:bottom w:val="single" w:sz="4" w:space="0" w:color="auto"/>
              <w:right w:val="single" w:sz="4" w:space="0" w:color="auto"/>
            </w:tcBorders>
            <w:vAlign w:val="center"/>
            <w:hideMark/>
          </w:tcPr>
          <w:p w14:paraId="1E0EE7B1" w14:textId="77777777" w:rsidR="00D22CE3" w:rsidRPr="00F10391" w:rsidRDefault="00D22CE3" w:rsidP="00E156D5">
            <w:pPr>
              <w:jc w:val="left"/>
              <w:rPr>
                <w:lang w:eastAsia="en-US"/>
              </w:rPr>
            </w:pPr>
            <w:r w:rsidRPr="00F10391">
              <w:rPr>
                <w:lang w:eastAsia="en-US"/>
              </w:rPr>
              <w:t>Jul-10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B296C"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3ED0EFF2"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091FD57" w14:textId="77777777" w:rsidR="00D22CE3" w:rsidRPr="00F10391" w:rsidRDefault="00D22CE3" w:rsidP="00E156D5">
            <w:pPr>
              <w:jc w:val="left"/>
              <w:rPr>
                <w:lang w:eastAsia="en-US"/>
              </w:rPr>
            </w:pPr>
            <w:r w:rsidRPr="00F10391">
              <w:rPr>
                <w:lang w:eastAsia="en-US"/>
              </w:rPr>
              <w:t>NHS &amp; PSS</w:t>
            </w:r>
          </w:p>
        </w:tc>
      </w:tr>
      <w:tr w:rsidR="00D22CE3" w:rsidRPr="00F10391" w14:paraId="62323417"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A5D8F31" w14:textId="77777777" w:rsidR="00D22CE3" w:rsidRPr="00F10391" w:rsidRDefault="00D22CE3" w:rsidP="00E156D5">
            <w:pPr>
              <w:jc w:val="left"/>
              <w:rPr>
                <w:lang w:eastAsia="en-US"/>
              </w:rPr>
            </w:pPr>
            <w:r w:rsidRPr="00F10391">
              <w:rPr>
                <w:lang w:eastAsia="en-US"/>
              </w:rPr>
              <w:t>PH28</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24B192D" w14:textId="77777777" w:rsidR="00D22CE3" w:rsidRPr="00F10391" w:rsidRDefault="00D22CE3" w:rsidP="00E156D5">
            <w:pPr>
              <w:jc w:val="left"/>
              <w:rPr>
                <w:lang w:eastAsia="en-US"/>
              </w:rPr>
            </w:pPr>
            <w:r w:rsidRPr="00F10391">
              <w:rPr>
                <w:lang w:eastAsia="en-US"/>
              </w:rPr>
              <w:t>Looked-after children and young people</w:t>
            </w:r>
          </w:p>
        </w:tc>
        <w:tc>
          <w:tcPr>
            <w:tcW w:w="923" w:type="dxa"/>
            <w:tcBorders>
              <w:top w:val="single" w:sz="4" w:space="0" w:color="auto"/>
              <w:left w:val="single" w:sz="4" w:space="0" w:color="auto"/>
              <w:bottom w:val="single" w:sz="4" w:space="0" w:color="auto"/>
              <w:right w:val="single" w:sz="4" w:space="0" w:color="auto"/>
            </w:tcBorders>
            <w:vAlign w:val="center"/>
            <w:hideMark/>
          </w:tcPr>
          <w:p w14:paraId="0611AD0A" w14:textId="77777777" w:rsidR="00D22CE3" w:rsidRPr="00F10391" w:rsidRDefault="00D22CE3" w:rsidP="00E156D5">
            <w:pPr>
              <w:jc w:val="left"/>
              <w:rPr>
                <w:lang w:eastAsia="en-US"/>
              </w:rPr>
            </w:pPr>
            <w:r w:rsidRPr="00F10391">
              <w:rPr>
                <w:lang w:eastAsia="en-US"/>
              </w:rPr>
              <w:t>Oct-10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281C5E"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70D523C7"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BCA7D35" w14:textId="77777777" w:rsidR="00D22CE3" w:rsidRPr="00F10391" w:rsidRDefault="00D22CE3" w:rsidP="00E156D5">
            <w:pPr>
              <w:jc w:val="left"/>
              <w:rPr>
                <w:lang w:eastAsia="en-US"/>
              </w:rPr>
            </w:pPr>
            <w:r w:rsidRPr="00F10391">
              <w:rPr>
                <w:lang w:eastAsia="en-US"/>
              </w:rPr>
              <w:t>Public sector</w:t>
            </w:r>
          </w:p>
        </w:tc>
      </w:tr>
      <w:tr w:rsidR="00D22CE3" w:rsidRPr="00F10391" w14:paraId="1008A2D3"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054E64" w14:textId="77777777" w:rsidR="00D22CE3" w:rsidRPr="00F10391" w:rsidRDefault="00D22CE3" w:rsidP="00E156D5">
            <w:pPr>
              <w:jc w:val="left"/>
              <w:rPr>
                <w:lang w:eastAsia="en-US"/>
              </w:rPr>
            </w:pPr>
            <w:r w:rsidRPr="00F10391">
              <w:rPr>
                <w:lang w:eastAsia="en-US"/>
              </w:rPr>
              <w:t>PH29</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559D2BB7" w14:textId="77777777" w:rsidR="00D22CE3" w:rsidRPr="00F10391" w:rsidRDefault="00D22CE3" w:rsidP="00E156D5">
            <w:pPr>
              <w:jc w:val="left"/>
              <w:rPr>
                <w:lang w:eastAsia="en-US"/>
              </w:rPr>
            </w:pPr>
            <w:r w:rsidRPr="00F10391">
              <w:rPr>
                <w:lang w:eastAsia="en-US"/>
              </w:rPr>
              <w:t xml:space="preserve">Strategies to prevent unintentional injuries among under-15s </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09A30013" w14:textId="77777777" w:rsidR="00D22CE3" w:rsidRPr="00F10391" w:rsidRDefault="00D22CE3" w:rsidP="00E156D5">
            <w:pPr>
              <w:jc w:val="left"/>
              <w:rPr>
                <w:lang w:eastAsia="en-US"/>
              </w:rPr>
            </w:pPr>
            <w:r w:rsidRPr="00F10391">
              <w:rPr>
                <w:lang w:eastAsia="en-US"/>
              </w:rPr>
              <w:t>Nov-10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D467E4B"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tcPr>
          <w:p w14:paraId="2467CF3A" w14:textId="77777777" w:rsidR="00D22CE3" w:rsidRPr="00F10391" w:rsidRDefault="00D22CE3" w:rsidP="00E156D5">
            <w:pPr>
              <w:jc w:val="left"/>
              <w:rPr>
                <w:lang w:eastAsia="en-US"/>
              </w:rPr>
            </w:pPr>
            <w:r w:rsidRPr="00F10391">
              <w:rPr>
                <w:lang w:eastAsia="en-US"/>
              </w:rPr>
              <w:t>Generic model with 2 examples</w:t>
            </w:r>
          </w:p>
          <w:p w14:paraId="3D859E97" w14:textId="77777777" w:rsidR="00D22CE3" w:rsidRPr="00F10391" w:rsidRDefault="00D22CE3" w:rsidP="00E156D5">
            <w:pPr>
              <w:jc w:val="left"/>
              <w:rPr>
                <w:lang w:eastAsia="en-US"/>
              </w:rPr>
            </w:pPr>
          </w:p>
          <w:p w14:paraId="4A21DB60" w14:textId="77777777" w:rsidR="00D22CE3" w:rsidRPr="00F10391" w:rsidRDefault="00D22CE3" w:rsidP="005D7324">
            <w:pPr>
              <w:jc w:val="left"/>
              <w:rPr>
                <w:lang w:eastAsia="en-US"/>
              </w:rPr>
            </w:pPr>
            <w:r w:rsidRPr="00F10391">
              <w:rPr>
                <w:lang w:eastAsia="en-US"/>
              </w:rPr>
              <w:t>1a. CUA / CBA</w:t>
            </w:r>
          </w:p>
          <w:p w14:paraId="0FE9C785" w14:textId="77777777" w:rsidR="00D22CE3" w:rsidRPr="00F10391" w:rsidRDefault="00D22CE3" w:rsidP="005D7324">
            <w:pPr>
              <w:jc w:val="left"/>
              <w:rPr>
                <w:lang w:eastAsia="en-US"/>
              </w:rPr>
            </w:pPr>
            <w:r w:rsidRPr="00F10391">
              <w:rPr>
                <w:lang w:eastAsia="en-US"/>
              </w:rPr>
              <w:t>(20 mph zones in residential areas)</w:t>
            </w:r>
          </w:p>
        </w:tc>
        <w:tc>
          <w:tcPr>
            <w:tcW w:w="1640" w:type="dxa"/>
            <w:tcBorders>
              <w:top w:val="single" w:sz="4" w:space="0" w:color="auto"/>
              <w:left w:val="single" w:sz="4" w:space="0" w:color="auto"/>
              <w:bottom w:val="single" w:sz="4" w:space="0" w:color="A6A6A6"/>
              <w:right w:val="single" w:sz="4" w:space="0" w:color="auto"/>
            </w:tcBorders>
            <w:vAlign w:val="center"/>
          </w:tcPr>
          <w:p w14:paraId="16980466" w14:textId="77777777" w:rsidR="00D22CE3" w:rsidRPr="00F10391" w:rsidRDefault="00D22CE3" w:rsidP="005D7324">
            <w:pPr>
              <w:jc w:val="left"/>
              <w:rPr>
                <w:lang w:eastAsia="en-US"/>
              </w:rPr>
            </w:pPr>
          </w:p>
          <w:p w14:paraId="60ED70AE" w14:textId="77777777" w:rsidR="00D22CE3" w:rsidRPr="00F10391" w:rsidRDefault="00D22CE3" w:rsidP="005D7324">
            <w:pPr>
              <w:jc w:val="left"/>
              <w:rPr>
                <w:lang w:eastAsia="en-US"/>
              </w:rPr>
            </w:pPr>
            <w:r w:rsidRPr="00F10391">
              <w:rPr>
                <w:lang w:eastAsia="en-US"/>
              </w:rPr>
              <w:t>Public sector</w:t>
            </w:r>
          </w:p>
        </w:tc>
      </w:tr>
      <w:tr w:rsidR="00D22CE3" w:rsidRPr="00F10391" w14:paraId="486EA008"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B2370"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B4EA9"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59477"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D88BA"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5B4305D6" w14:textId="77777777" w:rsidR="00D22CE3" w:rsidRPr="00F10391" w:rsidRDefault="00D22CE3" w:rsidP="00E156D5">
            <w:pPr>
              <w:jc w:val="left"/>
              <w:rPr>
                <w:lang w:eastAsia="en-US"/>
              </w:rPr>
            </w:pPr>
            <w:r w:rsidRPr="00F10391">
              <w:rPr>
                <w:lang w:eastAsia="en-US"/>
              </w:rPr>
              <w:t>1b. CUA</w:t>
            </w:r>
          </w:p>
          <w:p w14:paraId="3543BA69" w14:textId="77777777" w:rsidR="00D22CE3" w:rsidRPr="00F10391" w:rsidRDefault="00D22CE3" w:rsidP="00E156D5">
            <w:pPr>
              <w:jc w:val="left"/>
              <w:rPr>
                <w:lang w:eastAsia="en-US"/>
              </w:rPr>
            </w:pPr>
            <w:r w:rsidRPr="00F10391">
              <w:rPr>
                <w:lang w:eastAsia="en-US"/>
              </w:rPr>
              <w:t>(Thermostatic mixing valves in social housing where some residents are &lt;5years)</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0253158E" w14:textId="77777777" w:rsidR="00D22CE3" w:rsidRPr="00F10391" w:rsidRDefault="00D22CE3" w:rsidP="005D7324">
            <w:pPr>
              <w:jc w:val="left"/>
              <w:rPr>
                <w:lang w:eastAsia="en-US"/>
              </w:rPr>
            </w:pPr>
            <w:r w:rsidRPr="00F10391">
              <w:rPr>
                <w:lang w:eastAsia="en-US"/>
              </w:rPr>
              <w:t>Public sector</w:t>
            </w:r>
          </w:p>
        </w:tc>
      </w:tr>
      <w:tr w:rsidR="00D22CE3" w:rsidRPr="00F10391" w14:paraId="6212B3A9"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56FE3CA2" w14:textId="77777777" w:rsidR="00D22CE3" w:rsidRPr="00F10391" w:rsidRDefault="00D22CE3" w:rsidP="00E156D5">
            <w:pPr>
              <w:jc w:val="left"/>
              <w:rPr>
                <w:lang w:eastAsia="en-US"/>
              </w:rPr>
            </w:pPr>
            <w:r w:rsidRPr="00F10391">
              <w:rPr>
                <w:lang w:eastAsia="en-US"/>
              </w:rPr>
              <w:t>PH30</w:t>
            </w:r>
          </w:p>
        </w:tc>
        <w:tc>
          <w:tcPr>
            <w:tcW w:w="3504" w:type="dxa"/>
            <w:tcBorders>
              <w:top w:val="single" w:sz="4" w:space="0" w:color="auto"/>
              <w:left w:val="single" w:sz="4" w:space="0" w:color="auto"/>
              <w:bottom w:val="single" w:sz="4" w:space="0" w:color="auto"/>
              <w:right w:val="single" w:sz="4" w:space="0" w:color="auto"/>
            </w:tcBorders>
            <w:vAlign w:val="center"/>
            <w:hideMark/>
          </w:tcPr>
          <w:p w14:paraId="7268E8A4" w14:textId="77777777" w:rsidR="00D22CE3" w:rsidRPr="00F10391" w:rsidRDefault="00D22CE3" w:rsidP="00E156D5">
            <w:pPr>
              <w:jc w:val="left"/>
              <w:rPr>
                <w:lang w:eastAsia="en-US"/>
              </w:rPr>
            </w:pPr>
            <w:r w:rsidRPr="00F10391">
              <w:rPr>
                <w:lang w:eastAsia="en-US"/>
              </w:rPr>
              <w:t xml:space="preserve">Preventing unintentional injuries among under-15s in the home </w:t>
            </w:r>
          </w:p>
        </w:tc>
        <w:tc>
          <w:tcPr>
            <w:tcW w:w="923" w:type="dxa"/>
            <w:tcBorders>
              <w:top w:val="single" w:sz="4" w:space="0" w:color="auto"/>
              <w:left w:val="single" w:sz="4" w:space="0" w:color="auto"/>
              <w:bottom w:val="single" w:sz="4" w:space="0" w:color="auto"/>
              <w:right w:val="single" w:sz="4" w:space="0" w:color="auto"/>
            </w:tcBorders>
            <w:vAlign w:val="center"/>
            <w:hideMark/>
          </w:tcPr>
          <w:p w14:paraId="3DB1DAF5" w14:textId="77777777" w:rsidR="00D22CE3" w:rsidRPr="00F10391" w:rsidRDefault="00D22CE3" w:rsidP="00E156D5">
            <w:pPr>
              <w:jc w:val="left"/>
              <w:rPr>
                <w:lang w:eastAsia="en-US"/>
              </w:rPr>
            </w:pPr>
            <w:r w:rsidRPr="00F10391">
              <w:rPr>
                <w:lang w:eastAsia="en-US"/>
              </w:rPr>
              <w:t>Nov-10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9BAC0"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3AEE381C"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FEB546D" w14:textId="77777777" w:rsidR="00D22CE3" w:rsidRPr="00F10391" w:rsidRDefault="00D22CE3" w:rsidP="00E156D5">
            <w:pPr>
              <w:jc w:val="left"/>
              <w:rPr>
                <w:lang w:eastAsia="en-US"/>
              </w:rPr>
            </w:pPr>
            <w:r w:rsidRPr="00F10391">
              <w:rPr>
                <w:lang w:eastAsia="en-US"/>
              </w:rPr>
              <w:t>NHS &amp; PSS</w:t>
            </w:r>
          </w:p>
        </w:tc>
      </w:tr>
      <w:tr w:rsidR="00D22CE3" w:rsidRPr="00F10391" w14:paraId="2FD4E161"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8340FA" w14:textId="77777777" w:rsidR="00D22CE3" w:rsidRPr="00F10391" w:rsidRDefault="00D22CE3" w:rsidP="00E156D5">
            <w:pPr>
              <w:jc w:val="left"/>
              <w:rPr>
                <w:lang w:eastAsia="en-US"/>
              </w:rPr>
            </w:pPr>
            <w:r w:rsidRPr="00F10391">
              <w:rPr>
                <w:lang w:eastAsia="en-US"/>
              </w:rPr>
              <w:t>PH31</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00605D7D" w14:textId="77777777" w:rsidR="00D22CE3" w:rsidRPr="00F10391" w:rsidRDefault="00D22CE3" w:rsidP="00E156D5">
            <w:pPr>
              <w:jc w:val="left"/>
              <w:rPr>
                <w:lang w:eastAsia="en-US"/>
              </w:rPr>
            </w:pPr>
            <w:r w:rsidRPr="00F10391">
              <w:rPr>
                <w:lang w:eastAsia="en-US"/>
              </w:rPr>
              <w:t xml:space="preserve">Preventing unintentional road injuries among under-15s: road design </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0BEF2D67" w14:textId="77777777" w:rsidR="00D22CE3" w:rsidRPr="00F10391" w:rsidRDefault="00D22CE3" w:rsidP="00E156D5">
            <w:pPr>
              <w:jc w:val="left"/>
              <w:rPr>
                <w:lang w:eastAsia="en-US"/>
              </w:rPr>
            </w:pPr>
            <w:r w:rsidRPr="00F10391">
              <w:rPr>
                <w:lang w:eastAsia="en-US"/>
              </w:rPr>
              <w:t>Nov-10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AD7A3D"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27375E19"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1221A573" w14:textId="77777777" w:rsidR="00D22CE3" w:rsidRPr="00F10391" w:rsidRDefault="00D22CE3" w:rsidP="00E156D5">
            <w:pPr>
              <w:jc w:val="left"/>
              <w:rPr>
                <w:lang w:eastAsia="en-US"/>
              </w:rPr>
            </w:pPr>
            <w:r w:rsidRPr="00F10391">
              <w:rPr>
                <w:lang w:eastAsia="en-US"/>
              </w:rPr>
              <w:t>Public sector</w:t>
            </w:r>
          </w:p>
        </w:tc>
      </w:tr>
      <w:tr w:rsidR="00D22CE3" w:rsidRPr="00F10391" w14:paraId="6708A374"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70D59"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7D14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417EA"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6294C"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254B38C7" w14:textId="77777777" w:rsidR="00D22CE3" w:rsidRPr="00F10391" w:rsidRDefault="00D22CE3" w:rsidP="00E156D5">
            <w:pPr>
              <w:jc w:val="left"/>
              <w:rPr>
                <w:lang w:eastAsia="en-US"/>
              </w:rPr>
            </w:pPr>
            <w:r w:rsidRPr="00F10391">
              <w:rPr>
                <w:lang w:eastAsia="en-US"/>
              </w:rPr>
              <w:t>2. CBA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51CE00FC" w14:textId="77777777" w:rsidR="00D22CE3" w:rsidRPr="00F10391" w:rsidRDefault="00D22CE3" w:rsidP="00E156D5">
            <w:pPr>
              <w:jc w:val="left"/>
              <w:rPr>
                <w:lang w:eastAsia="en-US"/>
              </w:rPr>
            </w:pPr>
            <w:r w:rsidRPr="00F10391">
              <w:rPr>
                <w:lang w:eastAsia="en-US"/>
              </w:rPr>
              <w:t>Societal</w:t>
            </w:r>
          </w:p>
        </w:tc>
      </w:tr>
      <w:tr w:rsidR="00D22CE3" w:rsidRPr="00F10391" w14:paraId="42AF3A2B"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1738629" w14:textId="77777777" w:rsidR="00D22CE3" w:rsidRPr="00F10391" w:rsidRDefault="00D22CE3" w:rsidP="00E156D5">
            <w:pPr>
              <w:jc w:val="left"/>
              <w:rPr>
                <w:lang w:eastAsia="en-US"/>
              </w:rPr>
            </w:pPr>
            <w:r w:rsidRPr="00F10391">
              <w:rPr>
                <w:lang w:eastAsia="en-US"/>
              </w:rPr>
              <w:lastRenderedPageBreak/>
              <w:t>PH32</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57EEB7BF" w14:textId="77777777" w:rsidR="00D22CE3" w:rsidRPr="00F10391" w:rsidRDefault="00D22CE3" w:rsidP="00E156D5">
            <w:pPr>
              <w:jc w:val="left"/>
              <w:rPr>
                <w:lang w:eastAsia="en-US"/>
              </w:rPr>
            </w:pPr>
            <w:r w:rsidRPr="00F10391">
              <w:rPr>
                <w:lang w:eastAsia="en-US"/>
              </w:rPr>
              <w:t>Skin cancer prevention: information, resources and environmental changes</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7C0C06F4" w14:textId="77777777" w:rsidR="00D22CE3" w:rsidRPr="00F10391" w:rsidRDefault="00D22CE3" w:rsidP="00E156D5">
            <w:pPr>
              <w:jc w:val="left"/>
              <w:rPr>
                <w:lang w:eastAsia="en-US"/>
              </w:rPr>
            </w:pPr>
            <w:r w:rsidRPr="00F10391">
              <w:rPr>
                <w:lang w:eastAsia="en-US"/>
              </w:rPr>
              <w:t>Jan-11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73C668"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188F8915"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558AA380" w14:textId="77777777" w:rsidR="00D22CE3" w:rsidRPr="00F10391" w:rsidRDefault="00D22CE3" w:rsidP="00E156D5">
            <w:pPr>
              <w:jc w:val="left"/>
              <w:rPr>
                <w:lang w:eastAsia="en-US"/>
              </w:rPr>
            </w:pPr>
            <w:r w:rsidRPr="00F10391">
              <w:rPr>
                <w:lang w:eastAsia="en-US"/>
              </w:rPr>
              <w:t>Public sector</w:t>
            </w:r>
          </w:p>
        </w:tc>
      </w:tr>
      <w:tr w:rsidR="00D22CE3" w:rsidRPr="00F10391" w14:paraId="22AF70C8"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76733"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EF8BA"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8D24E"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8F945"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6CAF7427" w14:textId="77777777" w:rsidR="00D22CE3" w:rsidRPr="00F10391" w:rsidRDefault="00D22CE3" w:rsidP="00E156D5">
            <w:pPr>
              <w:jc w:val="left"/>
              <w:rPr>
                <w:lang w:eastAsia="en-US"/>
              </w:rPr>
            </w:pPr>
            <w:r w:rsidRPr="00F10391">
              <w:rPr>
                <w:lang w:eastAsia="en-US"/>
              </w:rPr>
              <w:t>2. CUA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2207DCD4" w14:textId="77777777" w:rsidR="00D22CE3" w:rsidRPr="00F10391" w:rsidRDefault="00D22CE3" w:rsidP="00E156D5">
            <w:pPr>
              <w:jc w:val="left"/>
              <w:rPr>
                <w:lang w:eastAsia="en-US"/>
              </w:rPr>
            </w:pPr>
            <w:r w:rsidRPr="00F10391">
              <w:rPr>
                <w:lang w:eastAsia="en-US"/>
              </w:rPr>
              <w:t>Public sector</w:t>
            </w:r>
          </w:p>
        </w:tc>
      </w:tr>
      <w:tr w:rsidR="00D22CE3" w:rsidRPr="00F10391" w14:paraId="55611534"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F86723C" w14:textId="77777777" w:rsidR="00D22CE3" w:rsidRPr="00F10391" w:rsidRDefault="00D22CE3" w:rsidP="00E156D5">
            <w:pPr>
              <w:jc w:val="left"/>
              <w:rPr>
                <w:lang w:eastAsia="en-US"/>
              </w:rPr>
            </w:pPr>
            <w:r w:rsidRPr="00F10391">
              <w:rPr>
                <w:lang w:eastAsia="en-US"/>
              </w:rPr>
              <w:t>PH33</w:t>
            </w:r>
          </w:p>
        </w:tc>
        <w:tc>
          <w:tcPr>
            <w:tcW w:w="3504" w:type="dxa"/>
            <w:tcBorders>
              <w:top w:val="single" w:sz="4" w:space="0" w:color="auto"/>
              <w:left w:val="single" w:sz="4" w:space="0" w:color="auto"/>
              <w:bottom w:val="single" w:sz="4" w:space="0" w:color="auto"/>
              <w:right w:val="single" w:sz="4" w:space="0" w:color="auto"/>
            </w:tcBorders>
            <w:vAlign w:val="center"/>
            <w:hideMark/>
          </w:tcPr>
          <w:p w14:paraId="23D94FE0" w14:textId="77777777" w:rsidR="00D22CE3" w:rsidRPr="00F10391" w:rsidRDefault="00D22CE3" w:rsidP="00E156D5">
            <w:pPr>
              <w:jc w:val="left"/>
              <w:rPr>
                <w:lang w:eastAsia="en-US"/>
              </w:rPr>
            </w:pPr>
            <w:r w:rsidRPr="00F10391">
              <w:rPr>
                <w:lang w:eastAsia="en-US"/>
              </w:rPr>
              <w:t>Increasing the uptake of HIV testing among black Africans in England</w:t>
            </w:r>
          </w:p>
        </w:tc>
        <w:tc>
          <w:tcPr>
            <w:tcW w:w="923" w:type="dxa"/>
            <w:tcBorders>
              <w:top w:val="single" w:sz="4" w:space="0" w:color="auto"/>
              <w:left w:val="single" w:sz="4" w:space="0" w:color="auto"/>
              <w:bottom w:val="single" w:sz="4" w:space="0" w:color="auto"/>
              <w:right w:val="single" w:sz="4" w:space="0" w:color="auto"/>
            </w:tcBorders>
            <w:vAlign w:val="center"/>
            <w:hideMark/>
          </w:tcPr>
          <w:p w14:paraId="62DA0350" w14:textId="77777777" w:rsidR="00D22CE3" w:rsidRPr="00F10391" w:rsidRDefault="00D22CE3" w:rsidP="00E156D5">
            <w:pPr>
              <w:jc w:val="left"/>
              <w:rPr>
                <w:lang w:eastAsia="en-US"/>
              </w:rPr>
            </w:pPr>
            <w:r w:rsidRPr="00F10391">
              <w:rPr>
                <w:lang w:eastAsia="en-US"/>
              </w:rPr>
              <w:t>Mar-11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BE0414"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F624E"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75B51E3" w14:textId="77777777" w:rsidR="00D22CE3" w:rsidRPr="00F10391" w:rsidRDefault="00D22CE3" w:rsidP="00E156D5">
            <w:pPr>
              <w:jc w:val="left"/>
              <w:rPr>
                <w:lang w:eastAsia="en-US"/>
              </w:rPr>
            </w:pPr>
            <w:r w:rsidRPr="00F10391">
              <w:rPr>
                <w:lang w:eastAsia="en-US"/>
              </w:rPr>
              <w:t>NA</w:t>
            </w:r>
          </w:p>
        </w:tc>
      </w:tr>
      <w:tr w:rsidR="00D22CE3" w:rsidRPr="00F10391" w14:paraId="42392437"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8775E63" w14:textId="77777777" w:rsidR="00D22CE3" w:rsidRPr="00F10391" w:rsidRDefault="00D22CE3" w:rsidP="00E156D5">
            <w:pPr>
              <w:jc w:val="left"/>
              <w:rPr>
                <w:lang w:eastAsia="en-US"/>
              </w:rPr>
            </w:pPr>
            <w:r w:rsidRPr="00F10391">
              <w:rPr>
                <w:lang w:eastAsia="en-US"/>
              </w:rPr>
              <w:t>PH34</w:t>
            </w:r>
          </w:p>
        </w:tc>
        <w:tc>
          <w:tcPr>
            <w:tcW w:w="3504" w:type="dxa"/>
            <w:tcBorders>
              <w:top w:val="single" w:sz="4" w:space="0" w:color="auto"/>
              <w:left w:val="single" w:sz="4" w:space="0" w:color="auto"/>
              <w:bottom w:val="single" w:sz="4" w:space="0" w:color="auto"/>
              <w:right w:val="single" w:sz="4" w:space="0" w:color="auto"/>
            </w:tcBorders>
            <w:vAlign w:val="center"/>
            <w:hideMark/>
          </w:tcPr>
          <w:p w14:paraId="666C9E0E" w14:textId="77777777" w:rsidR="00D22CE3" w:rsidRPr="00F10391" w:rsidRDefault="00D22CE3" w:rsidP="00E156D5">
            <w:pPr>
              <w:jc w:val="left"/>
              <w:rPr>
                <w:lang w:eastAsia="en-US"/>
              </w:rPr>
            </w:pPr>
            <w:r w:rsidRPr="00F10391">
              <w:rPr>
                <w:lang w:eastAsia="en-US"/>
              </w:rPr>
              <w:t>Increasing the uptake of HIV testing among men who have sex with men</w:t>
            </w:r>
          </w:p>
        </w:tc>
        <w:tc>
          <w:tcPr>
            <w:tcW w:w="923" w:type="dxa"/>
            <w:tcBorders>
              <w:top w:val="single" w:sz="4" w:space="0" w:color="auto"/>
              <w:left w:val="single" w:sz="4" w:space="0" w:color="auto"/>
              <w:bottom w:val="single" w:sz="4" w:space="0" w:color="auto"/>
              <w:right w:val="single" w:sz="4" w:space="0" w:color="auto"/>
            </w:tcBorders>
            <w:vAlign w:val="center"/>
            <w:hideMark/>
          </w:tcPr>
          <w:p w14:paraId="6FF871B9" w14:textId="77777777" w:rsidR="00D22CE3" w:rsidRPr="00F10391" w:rsidRDefault="00D22CE3" w:rsidP="00E156D5">
            <w:pPr>
              <w:jc w:val="left"/>
              <w:rPr>
                <w:lang w:eastAsia="en-US"/>
              </w:rPr>
            </w:pPr>
            <w:r w:rsidRPr="00F10391">
              <w:rPr>
                <w:lang w:eastAsia="en-US"/>
              </w:rPr>
              <w:t>Mar-11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FC2F7"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85741D8"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685B337" w14:textId="77777777" w:rsidR="00D22CE3" w:rsidRPr="00F10391" w:rsidRDefault="00D22CE3" w:rsidP="00E156D5">
            <w:pPr>
              <w:jc w:val="left"/>
              <w:rPr>
                <w:lang w:eastAsia="en-US"/>
              </w:rPr>
            </w:pPr>
            <w:r w:rsidRPr="00F10391">
              <w:rPr>
                <w:lang w:eastAsia="en-US"/>
              </w:rPr>
              <w:t>NA</w:t>
            </w:r>
          </w:p>
        </w:tc>
      </w:tr>
      <w:tr w:rsidR="00D22CE3" w:rsidRPr="00F10391" w14:paraId="7ED46EDB"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252F26A7" w14:textId="77777777" w:rsidR="00D22CE3" w:rsidRPr="00F10391" w:rsidRDefault="00D22CE3" w:rsidP="00E156D5">
            <w:pPr>
              <w:jc w:val="left"/>
              <w:rPr>
                <w:lang w:eastAsia="en-US"/>
              </w:rPr>
            </w:pPr>
            <w:r w:rsidRPr="00F10391">
              <w:rPr>
                <w:lang w:eastAsia="en-US"/>
              </w:rPr>
              <w:t>PH35</w:t>
            </w:r>
          </w:p>
        </w:tc>
        <w:tc>
          <w:tcPr>
            <w:tcW w:w="3504" w:type="dxa"/>
            <w:tcBorders>
              <w:top w:val="single" w:sz="4" w:space="0" w:color="auto"/>
              <w:left w:val="single" w:sz="4" w:space="0" w:color="auto"/>
              <w:bottom w:val="single" w:sz="4" w:space="0" w:color="auto"/>
              <w:right w:val="single" w:sz="4" w:space="0" w:color="auto"/>
            </w:tcBorders>
            <w:vAlign w:val="center"/>
            <w:hideMark/>
          </w:tcPr>
          <w:p w14:paraId="1CEA91E3" w14:textId="77777777" w:rsidR="00D22CE3" w:rsidRPr="00F10391" w:rsidRDefault="00D22CE3" w:rsidP="00E156D5">
            <w:pPr>
              <w:jc w:val="left"/>
              <w:rPr>
                <w:lang w:eastAsia="en-US"/>
              </w:rPr>
            </w:pPr>
            <w:r w:rsidRPr="00F10391">
              <w:rPr>
                <w:lang w:eastAsia="en-US"/>
              </w:rPr>
              <w:t>Preventing type 2 diabetes – population and community interventions</w:t>
            </w:r>
          </w:p>
        </w:tc>
        <w:tc>
          <w:tcPr>
            <w:tcW w:w="923" w:type="dxa"/>
            <w:tcBorders>
              <w:top w:val="single" w:sz="4" w:space="0" w:color="auto"/>
              <w:left w:val="single" w:sz="4" w:space="0" w:color="auto"/>
              <w:bottom w:val="single" w:sz="4" w:space="0" w:color="auto"/>
              <w:right w:val="single" w:sz="4" w:space="0" w:color="auto"/>
            </w:tcBorders>
            <w:vAlign w:val="center"/>
            <w:hideMark/>
          </w:tcPr>
          <w:p w14:paraId="6DEB744C" w14:textId="77777777" w:rsidR="00D22CE3" w:rsidRPr="00F10391" w:rsidRDefault="00D22CE3" w:rsidP="00E156D5">
            <w:pPr>
              <w:jc w:val="left"/>
              <w:rPr>
                <w:lang w:eastAsia="en-US"/>
              </w:rPr>
            </w:pPr>
            <w:r w:rsidRPr="00F10391">
              <w:rPr>
                <w:lang w:eastAsia="en-US"/>
              </w:rPr>
              <w:t>May-11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988B5"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86C2"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056495D3" w14:textId="77777777" w:rsidR="00D22CE3" w:rsidRPr="00F10391" w:rsidRDefault="00D22CE3" w:rsidP="00E156D5">
            <w:pPr>
              <w:jc w:val="left"/>
              <w:rPr>
                <w:lang w:eastAsia="en-US"/>
              </w:rPr>
            </w:pPr>
            <w:r w:rsidRPr="00F10391">
              <w:rPr>
                <w:lang w:eastAsia="en-US"/>
              </w:rPr>
              <w:t>NHS &amp; PSS</w:t>
            </w:r>
          </w:p>
        </w:tc>
      </w:tr>
      <w:tr w:rsidR="00D22CE3" w:rsidRPr="00F10391" w14:paraId="2A93FA4B"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6ADB208" w14:textId="77777777" w:rsidR="00D22CE3" w:rsidRPr="00F10391" w:rsidRDefault="00D22CE3" w:rsidP="00E156D5">
            <w:pPr>
              <w:jc w:val="left"/>
              <w:rPr>
                <w:lang w:eastAsia="en-US"/>
              </w:rPr>
            </w:pPr>
            <w:r w:rsidRPr="00F10391">
              <w:rPr>
                <w:lang w:eastAsia="en-US"/>
              </w:rPr>
              <w:t>PH36</w:t>
            </w:r>
          </w:p>
        </w:tc>
        <w:tc>
          <w:tcPr>
            <w:tcW w:w="3504" w:type="dxa"/>
            <w:tcBorders>
              <w:top w:val="single" w:sz="4" w:space="0" w:color="auto"/>
              <w:left w:val="single" w:sz="4" w:space="0" w:color="auto"/>
              <w:bottom w:val="single" w:sz="4" w:space="0" w:color="auto"/>
              <w:right w:val="single" w:sz="4" w:space="0" w:color="auto"/>
            </w:tcBorders>
            <w:vAlign w:val="center"/>
            <w:hideMark/>
          </w:tcPr>
          <w:p w14:paraId="4093BB17" w14:textId="77777777" w:rsidR="00D22CE3" w:rsidRPr="00F10391" w:rsidRDefault="00D22CE3" w:rsidP="00E156D5">
            <w:pPr>
              <w:jc w:val="left"/>
              <w:rPr>
                <w:lang w:eastAsia="en-US"/>
              </w:rPr>
            </w:pPr>
            <w:r w:rsidRPr="00F10391">
              <w:rPr>
                <w:lang w:eastAsia="en-US"/>
              </w:rPr>
              <w:t>Prevention and control of healthcare-associated infections</w:t>
            </w:r>
          </w:p>
        </w:tc>
        <w:tc>
          <w:tcPr>
            <w:tcW w:w="923" w:type="dxa"/>
            <w:tcBorders>
              <w:top w:val="single" w:sz="4" w:space="0" w:color="auto"/>
              <w:left w:val="single" w:sz="4" w:space="0" w:color="auto"/>
              <w:bottom w:val="single" w:sz="4" w:space="0" w:color="auto"/>
              <w:right w:val="single" w:sz="4" w:space="0" w:color="auto"/>
            </w:tcBorders>
            <w:vAlign w:val="center"/>
            <w:hideMark/>
          </w:tcPr>
          <w:p w14:paraId="7E7D478E" w14:textId="77777777" w:rsidR="00D22CE3" w:rsidRPr="00F10391" w:rsidRDefault="00D22CE3" w:rsidP="00E156D5">
            <w:pPr>
              <w:jc w:val="left"/>
              <w:rPr>
                <w:lang w:eastAsia="en-US"/>
              </w:rPr>
            </w:pPr>
            <w:r w:rsidRPr="00F10391">
              <w:rPr>
                <w:lang w:eastAsia="en-US"/>
              </w:rPr>
              <w:t>Nov-11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F0980" w14:textId="77777777" w:rsidR="00D22CE3" w:rsidRPr="00F10391" w:rsidRDefault="00D22CE3" w:rsidP="00E156D5">
            <w:pPr>
              <w:jc w:val="left"/>
              <w:rPr>
                <w:lang w:eastAsia="en-US"/>
              </w:rPr>
            </w:pPr>
            <w:r w:rsidRPr="00F10391">
              <w:rPr>
                <w:lang w:eastAsia="en-US"/>
              </w:rPr>
              <w:t>Pilot project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8C312A"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74704E7" w14:textId="77777777" w:rsidR="00D22CE3" w:rsidRPr="00F10391" w:rsidRDefault="00D22CE3" w:rsidP="00E156D5">
            <w:pPr>
              <w:jc w:val="left"/>
              <w:rPr>
                <w:lang w:eastAsia="en-US"/>
              </w:rPr>
            </w:pPr>
            <w:r w:rsidRPr="00F10391">
              <w:rPr>
                <w:lang w:eastAsia="en-US"/>
              </w:rPr>
              <w:t>NA</w:t>
            </w:r>
          </w:p>
        </w:tc>
      </w:tr>
      <w:tr w:rsidR="00D22CE3" w:rsidRPr="00F10391" w14:paraId="52B46D67"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9F5EA10" w14:textId="77777777" w:rsidR="00D22CE3" w:rsidRPr="00F10391" w:rsidRDefault="00D22CE3" w:rsidP="00E156D5">
            <w:pPr>
              <w:jc w:val="left"/>
              <w:rPr>
                <w:lang w:eastAsia="en-US"/>
              </w:rPr>
            </w:pPr>
            <w:r w:rsidRPr="00F10391">
              <w:rPr>
                <w:lang w:eastAsia="en-US"/>
              </w:rPr>
              <w:t>PH37</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A2120FC" w14:textId="77777777" w:rsidR="00D22CE3" w:rsidRPr="00F10391" w:rsidRDefault="00D22CE3" w:rsidP="00E156D5">
            <w:pPr>
              <w:jc w:val="left"/>
              <w:rPr>
                <w:lang w:eastAsia="en-US"/>
              </w:rPr>
            </w:pPr>
            <w:r w:rsidRPr="00F10391">
              <w:rPr>
                <w:lang w:eastAsia="en-US"/>
              </w:rPr>
              <w:t xml:space="preserve">Tuberculosis – hard-to-reach groups </w:t>
            </w:r>
          </w:p>
        </w:tc>
        <w:tc>
          <w:tcPr>
            <w:tcW w:w="923" w:type="dxa"/>
            <w:tcBorders>
              <w:top w:val="single" w:sz="4" w:space="0" w:color="auto"/>
              <w:left w:val="single" w:sz="4" w:space="0" w:color="auto"/>
              <w:bottom w:val="single" w:sz="4" w:space="0" w:color="auto"/>
              <w:right w:val="single" w:sz="4" w:space="0" w:color="auto"/>
            </w:tcBorders>
            <w:vAlign w:val="center"/>
            <w:hideMark/>
          </w:tcPr>
          <w:p w14:paraId="23FB2DBA" w14:textId="77777777" w:rsidR="00D22CE3" w:rsidRPr="00F10391" w:rsidRDefault="00D22CE3" w:rsidP="00E156D5">
            <w:pPr>
              <w:jc w:val="left"/>
              <w:rPr>
                <w:lang w:eastAsia="en-US"/>
              </w:rPr>
            </w:pPr>
            <w:r w:rsidRPr="00F10391">
              <w:rPr>
                <w:lang w:eastAsia="en-US"/>
              </w:rPr>
              <w:t>Mar-12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60BAA"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A6375"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D564C27" w14:textId="77777777" w:rsidR="00D22CE3" w:rsidRPr="00F10391" w:rsidRDefault="00D22CE3" w:rsidP="00E156D5">
            <w:pPr>
              <w:jc w:val="left"/>
              <w:rPr>
                <w:lang w:eastAsia="en-US"/>
              </w:rPr>
            </w:pPr>
            <w:r w:rsidRPr="00F10391">
              <w:rPr>
                <w:lang w:eastAsia="en-US"/>
              </w:rPr>
              <w:t>Public sector</w:t>
            </w:r>
          </w:p>
        </w:tc>
      </w:tr>
      <w:tr w:rsidR="00D22CE3" w:rsidRPr="00F10391" w14:paraId="74781838"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6ED5DE35" w14:textId="77777777" w:rsidR="00D22CE3" w:rsidRPr="00F10391" w:rsidRDefault="00D22CE3" w:rsidP="00E156D5">
            <w:pPr>
              <w:jc w:val="left"/>
              <w:rPr>
                <w:lang w:eastAsia="en-US"/>
              </w:rPr>
            </w:pPr>
            <w:r w:rsidRPr="00F10391">
              <w:rPr>
                <w:lang w:eastAsia="en-US"/>
              </w:rPr>
              <w:t>PH38</w:t>
            </w:r>
          </w:p>
        </w:tc>
        <w:tc>
          <w:tcPr>
            <w:tcW w:w="3504" w:type="dxa"/>
            <w:tcBorders>
              <w:top w:val="single" w:sz="4" w:space="0" w:color="auto"/>
              <w:left w:val="single" w:sz="4" w:space="0" w:color="auto"/>
              <w:bottom w:val="single" w:sz="4" w:space="0" w:color="auto"/>
              <w:right w:val="single" w:sz="4" w:space="0" w:color="auto"/>
            </w:tcBorders>
            <w:vAlign w:val="center"/>
            <w:hideMark/>
          </w:tcPr>
          <w:p w14:paraId="1DBA96A2" w14:textId="77777777" w:rsidR="00D22CE3" w:rsidRPr="00F10391" w:rsidRDefault="00D22CE3" w:rsidP="00E156D5">
            <w:pPr>
              <w:jc w:val="left"/>
              <w:rPr>
                <w:lang w:eastAsia="en-US"/>
              </w:rPr>
            </w:pPr>
            <w:r w:rsidRPr="00F10391">
              <w:rPr>
                <w:lang w:eastAsia="en-US"/>
              </w:rPr>
              <w:t>Preventing type 2 diabetes – risk identification and interventions for individuals at high risk</w:t>
            </w:r>
          </w:p>
        </w:tc>
        <w:tc>
          <w:tcPr>
            <w:tcW w:w="923" w:type="dxa"/>
            <w:tcBorders>
              <w:top w:val="single" w:sz="4" w:space="0" w:color="auto"/>
              <w:left w:val="single" w:sz="4" w:space="0" w:color="auto"/>
              <w:bottom w:val="single" w:sz="4" w:space="0" w:color="auto"/>
              <w:right w:val="single" w:sz="4" w:space="0" w:color="auto"/>
            </w:tcBorders>
            <w:vAlign w:val="center"/>
            <w:hideMark/>
          </w:tcPr>
          <w:p w14:paraId="1A31969A" w14:textId="77777777" w:rsidR="00D22CE3" w:rsidRPr="00F10391" w:rsidRDefault="00D22CE3" w:rsidP="00E156D5">
            <w:pPr>
              <w:jc w:val="left"/>
              <w:rPr>
                <w:lang w:eastAsia="en-US"/>
              </w:rPr>
            </w:pPr>
            <w:r w:rsidRPr="00F10391">
              <w:rPr>
                <w:lang w:eastAsia="en-US"/>
              </w:rPr>
              <w:t>Jul-12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B6B4BF0"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D26A7"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0D0C73C" w14:textId="77777777" w:rsidR="00D22CE3" w:rsidRPr="00F10391" w:rsidRDefault="00D22CE3" w:rsidP="00E156D5">
            <w:pPr>
              <w:jc w:val="left"/>
              <w:rPr>
                <w:lang w:eastAsia="en-US"/>
              </w:rPr>
            </w:pPr>
            <w:r w:rsidRPr="00F10391">
              <w:rPr>
                <w:lang w:eastAsia="en-US"/>
              </w:rPr>
              <w:t>NHS &amp; PSS</w:t>
            </w:r>
          </w:p>
        </w:tc>
      </w:tr>
      <w:tr w:rsidR="00D22CE3" w:rsidRPr="00F10391" w14:paraId="6DDEB05F"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E460ADD" w14:textId="77777777" w:rsidR="00D22CE3" w:rsidRPr="00F10391" w:rsidRDefault="00D22CE3" w:rsidP="00E156D5">
            <w:pPr>
              <w:jc w:val="left"/>
              <w:rPr>
                <w:lang w:eastAsia="en-US"/>
              </w:rPr>
            </w:pPr>
            <w:r w:rsidRPr="00F10391">
              <w:rPr>
                <w:lang w:eastAsia="en-US"/>
              </w:rPr>
              <w:t>PH39</w:t>
            </w:r>
          </w:p>
        </w:tc>
        <w:tc>
          <w:tcPr>
            <w:tcW w:w="3504" w:type="dxa"/>
            <w:tcBorders>
              <w:top w:val="single" w:sz="4" w:space="0" w:color="auto"/>
              <w:left w:val="single" w:sz="4" w:space="0" w:color="auto"/>
              <w:bottom w:val="single" w:sz="4" w:space="0" w:color="auto"/>
              <w:right w:val="single" w:sz="4" w:space="0" w:color="auto"/>
            </w:tcBorders>
            <w:vAlign w:val="center"/>
            <w:hideMark/>
          </w:tcPr>
          <w:p w14:paraId="201B9721" w14:textId="77777777" w:rsidR="00D22CE3" w:rsidRPr="00F10391" w:rsidRDefault="00D22CE3" w:rsidP="00E156D5">
            <w:pPr>
              <w:jc w:val="left"/>
              <w:rPr>
                <w:lang w:eastAsia="en-US"/>
              </w:rPr>
            </w:pPr>
            <w:r w:rsidRPr="00F10391">
              <w:rPr>
                <w:lang w:eastAsia="en-US"/>
              </w:rPr>
              <w:t>Smokeless tobacco cessation – South Asian communities</w:t>
            </w:r>
          </w:p>
        </w:tc>
        <w:tc>
          <w:tcPr>
            <w:tcW w:w="923" w:type="dxa"/>
            <w:tcBorders>
              <w:top w:val="single" w:sz="4" w:space="0" w:color="auto"/>
              <w:left w:val="single" w:sz="4" w:space="0" w:color="auto"/>
              <w:bottom w:val="single" w:sz="4" w:space="0" w:color="auto"/>
              <w:right w:val="single" w:sz="4" w:space="0" w:color="auto"/>
            </w:tcBorders>
            <w:vAlign w:val="center"/>
            <w:hideMark/>
          </w:tcPr>
          <w:p w14:paraId="5D819478" w14:textId="77777777" w:rsidR="00D22CE3" w:rsidRPr="00F10391" w:rsidRDefault="00D22CE3" w:rsidP="00E156D5">
            <w:pPr>
              <w:jc w:val="left"/>
              <w:rPr>
                <w:lang w:eastAsia="en-US"/>
              </w:rPr>
            </w:pPr>
            <w:r w:rsidRPr="00F10391">
              <w:rPr>
                <w:lang w:eastAsia="en-US"/>
              </w:rPr>
              <w:t>Sep-12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9A45F"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0B93B61E" w14:textId="77777777" w:rsidR="00D22CE3" w:rsidRPr="00F10391" w:rsidRDefault="00D22CE3" w:rsidP="00E156D5">
            <w:pPr>
              <w:jc w:val="left"/>
              <w:rPr>
                <w:lang w:eastAsia="en-US"/>
              </w:rPr>
            </w:pPr>
            <w:r w:rsidRPr="00F10391">
              <w:rPr>
                <w:lang w:eastAsia="en-US"/>
              </w:rPr>
              <w:t xml:space="preserve">CUA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CBE5C10" w14:textId="77777777" w:rsidR="00D22CE3" w:rsidRPr="00F10391" w:rsidRDefault="00D22CE3" w:rsidP="00E156D5">
            <w:pPr>
              <w:jc w:val="left"/>
              <w:rPr>
                <w:lang w:eastAsia="en-US"/>
              </w:rPr>
            </w:pPr>
            <w:r w:rsidRPr="00F10391">
              <w:rPr>
                <w:lang w:eastAsia="en-US"/>
              </w:rPr>
              <w:t>NHS &amp; PSS</w:t>
            </w:r>
          </w:p>
        </w:tc>
      </w:tr>
      <w:tr w:rsidR="00D22CE3" w:rsidRPr="00F10391" w14:paraId="67EE9C2B"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13210F32" w14:textId="77777777" w:rsidR="00D22CE3" w:rsidRPr="00F10391" w:rsidRDefault="00D22CE3" w:rsidP="00E156D5">
            <w:pPr>
              <w:jc w:val="left"/>
              <w:rPr>
                <w:lang w:eastAsia="en-US"/>
              </w:rPr>
            </w:pPr>
            <w:r w:rsidRPr="00F10391">
              <w:rPr>
                <w:lang w:eastAsia="en-US"/>
              </w:rPr>
              <w:t>PH40</w:t>
            </w:r>
          </w:p>
        </w:tc>
        <w:tc>
          <w:tcPr>
            <w:tcW w:w="3504" w:type="dxa"/>
            <w:tcBorders>
              <w:top w:val="single" w:sz="4" w:space="0" w:color="auto"/>
              <w:left w:val="single" w:sz="4" w:space="0" w:color="auto"/>
              <w:bottom w:val="single" w:sz="4" w:space="0" w:color="auto"/>
              <w:right w:val="single" w:sz="4" w:space="0" w:color="auto"/>
            </w:tcBorders>
            <w:vAlign w:val="center"/>
            <w:hideMark/>
          </w:tcPr>
          <w:p w14:paraId="7650AD2E" w14:textId="77777777" w:rsidR="00D22CE3" w:rsidRPr="00F10391" w:rsidRDefault="00D22CE3" w:rsidP="00E156D5">
            <w:pPr>
              <w:jc w:val="left"/>
              <w:rPr>
                <w:lang w:eastAsia="en-US"/>
              </w:rPr>
            </w:pPr>
            <w:r w:rsidRPr="00F10391">
              <w:rPr>
                <w:lang w:eastAsia="en-US"/>
              </w:rPr>
              <w:t>Social and emotional wellbeing – early years</w:t>
            </w:r>
          </w:p>
        </w:tc>
        <w:tc>
          <w:tcPr>
            <w:tcW w:w="923" w:type="dxa"/>
            <w:tcBorders>
              <w:top w:val="single" w:sz="4" w:space="0" w:color="auto"/>
              <w:left w:val="single" w:sz="4" w:space="0" w:color="auto"/>
              <w:bottom w:val="single" w:sz="4" w:space="0" w:color="auto"/>
              <w:right w:val="single" w:sz="4" w:space="0" w:color="auto"/>
            </w:tcBorders>
            <w:vAlign w:val="center"/>
            <w:hideMark/>
          </w:tcPr>
          <w:p w14:paraId="1010AA83" w14:textId="77777777" w:rsidR="00D22CE3" w:rsidRPr="00F10391" w:rsidRDefault="00D22CE3" w:rsidP="00E156D5">
            <w:pPr>
              <w:jc w:val="left"/>
              <w:rPr>
                <w:lang w:eastAsia="en-US"/>
              </w:rPr>
            </w:pPr>
            <w:r w:rsidRPr="00F10391">
              <w:rPr>
                <w:lang w:eastAsia="en-US"/>
              </w:rPr>
              <w:t>Oct-12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6A0D2C"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849EC"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4889CA7" w14:textId="77777777" w:rsidR="00D22CE3" w:rsidRPr="00F10391" w:rsidRDefault="00D22CE3" w:rsidP="00E156D5">
            <w:pPr>
              <w:jc w:val="left"/>
              <w:rPr>
                <w:lang w:eastAsia="en-US"/>
              </w:rPr>
            </w:pPr>
            <w:r w:rsidRPr="00F10391">
              <w:rPr>
                <w:lang w:eastAsia="en-US"/>
              </w:rPr>
              <w:t>Public sector</w:t>
            </w:r>
          </w:p>
        </w:tc>
      </w:tr>
      <w:tr w:rsidR="00D22CE3" w:rsidRPr="00F10391" w14:paraId="6EA97709"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7E9F955" w14:textId="77777777" w:rsidR="00D22CE3" w:rsidRPr="00F10391" w:rsidRDefault="00D22CE3" w:rsidP="00E156D5">
            <w:pPr>
              <w:jc w:val="left"/>
              <w:rPr>
                <w:lang w:eastAsia="en-US"/>
              </w:rPr>
            </w:pPr>
            <w:r w:rsidRPr="00F10391">
              <w:rPr>
                <w:lang w:eastAsia="en-US"/>
              </w:rPr>
              <w:t>PH41</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760F184E" w14:textId="77777777" w:rsidR="00D22CE3" w:rsidRPr="00F10391" w:rsidRDefault="00D22CE3" w:rsidP="00E156D5">
            <w:pPr>
              <w:jc w:val="left"/>
              <w:rPr>
                <w:lang w:eastAsia="en-US"/>
              </w:rPr>
            </w:pPr>
            <w:r w:rsidRPr="00F10391">
              <w:rPr>
                <w:lang w:eastAsia="en-US"/>
              </w:rPr>
              <w:t>Walking and cycling</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3C244DCA" w14:textId="77777777" w:rsidR="00D22CE3" w:rsidRPr="00F10391" w:rsidRDefault="00D22CE3" w:rsidP="00E156D5">
            <w:pPr>
              <w:jc w:val="left"/>
              <w:rPr>
                <w:lang w:eastAsia="en-US"/>
              </w:rPr>
            </w:pPr>
            <w:r w:rsidRPr="00F10391">
              <w:rPr>
                <w:lang w:eastAsia="en-US"/>
              </w:rPr>
              <w:t>Nov-12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C9161F"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58629800"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596E11B0" w14:textId="77777777" w:rsidR="00D22CE3" w:rsidRPr="00F10391" w:rsidRDefault="00D22CE3" w:rsidP="00E156D5">
            <w:pPr>
              <w:jc w:val="left"/>
              <w:rPr>
                <w:lang w:eastAsia="en-US"/>
              </w:rPr>
            </w:pPr>
            <w:r w:rsidRPr="00F10391">
              <w:rPr>
                <w:lang w:eastAsia="en-US"/>
              </w:rPr>
              <w:t>Public sector</w:t>
            </w:r>
          </w:p>
        </w:tc>
      </w:tr>
      <w:tr w:rsidR="00D22CE3" w:rsidRPr="00F10391" w14:paraId="665DB351"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875E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FEC78"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F916F"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B2100"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6A2DB006" w14:textId="77777777" w:rsidR="00D22CE3" w:rsidRPr="00F10391" w:rsidRDefault="00D22CE3" w:rsidP="00E156D5">
            <w:pPr>
              <w:jc w:val="left"/>
              <w:rPr>
                <w:lang w:eastAsia="en-US"/>
              </w:rPr>
            </w:pPr>
            <w:r w:rsidRPr="00F10391">
              <w:rPr>
                <w:lang w:eastAsia="en-US"/>
              </w:rPr>
              <w:t>2. CBA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75C6CAC4" w14:textId="77777777" w:rsidR="00D22CE3" w:rsidRPr="00F10391" w:rsidRDefault="00D22CE3" w:rsidP="00E156D5">
            <w:pPr>
              <w:jc w:val="left"/>
              <w:rPr>
                <w:lang w:eastAsia="en-US"/>
              </w:rPr>
            </w:pPr>
            <w:r w:rsidRPr="00F10391">
              <w:rPr>
                <w:lang w:eastAsia="en-US"/>
              </w:rPr>
              <w:t>Societal</w:t>
            </w:r>
          </w:p>
        </w:tc>
      </w:tr>
      <w:tr w:rsidR="00D22CE3" w:rsidRPr="00F10391" w14:paraId="65E1E58C"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33B51CD8" w14:textId="77777777" w:rsidR="00D22CE3" w:rsidRPr="00F10391" w:rsidRDefault="00D22CE3" w:rsidP="00E156D5">
            <w:pPr>
              <w:jc w:val="left"/>
              <w:rPr>
                <w:lang w:eastAsia="en-US"/>
              </w:rPr>
            </w:pPr>
            <w:r w:rsidRPr="00F10391">
              <w:rPr>
                <w:lang w:eastAsia="en-US"/>
              </w:rPr>
              <w:t>PH42</w:t>
            </w:r>
          </w:p>
        </w:tc>
        <w:tc>
          <w:tcPr>
            <w:tcW w:w="3504" w:type="dxa"/>
            <w:tcBorders>
              <w:top w:val="single" w:sz="4" w:space="0" w:color="auto"/>
              <w:left w:val="single" w:sz="4" w:space="0" w:color="auto"/>
              <w:bottom w:val="single" w:sz="4" w:space="0" w:color="auto"/>
              <w:right w:val="single" w:sz="4" w:space="0" w:color="auto"/>
            </w:tcBorders>
            <w:vAlign w:val="center"/>
            <w:hideMark/>
          </w:tcPr>
          <w:p w14:paraId="46204BF5" w14:textId="77777777" w:rsidR="00D22CE3" w:rsidRPr="00F10391" w:rsidRDefault="00D22CE3" w:rsidP="00E156D5">
            <w:pPr>
              <w:jc w:val="left"/>
              <w:rPr>
                <w:lang w:eastAsia="en-US"/>
              </w:rPr>
            </w:pPr>
            <w:r w:rsidRPr="00F10391">
              <w:rPr>
                <w:lang w:eastAsia="en-US"/>
              </w:rPr>
              <w:t>Obesity – working with local communities</w:t>
            </w:r>
          </w:p>
        </w:tc>
        <w:tc>
          <w:tcPr>
            <w:tcW w:w="923" w:type="dxa"/>
            <w:tcBorders>
              <w:top w:val="single" w:sz="4" w:space="0" w:color="auto"/>
              <w:left w:val="single" w:sz="4" w:space="0" w:color="auto"/>
              <w:bottom w:val="single" w:sz="4" w:space="0" w:color="auto"/>
              <w:right w:val="single" w:sz="4" w:space="0" w:color="auto"/>
            </w:tcBorders>
            <w:vAlign w:val="center"/>
            <w:hideMark/>
          </w:tcPr>
          <w:p w14:paraId="600EC666" w14:textId="77777777" w:rsidR="00D22CE3" w:rsidRPr="00F10391" w:rsidRDefault="00D22CE3" w:rsidP="00E156D5">
            <w:pPr>
              <w:jc w:val="left"/>
              <w:rPr>
                <w:lang w:eastAsia="en-US"/>
              </w:rPr>
            </w:pPr>
            <w:r w:rsidRPr="00F10391">
              <w:rPr>
                <w:lang w:eastAsia="en-US"/>
              </w:rPr>
              <w:t>Nov-12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E3370"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8173F" w14:textId="77777777" w:rsidR="00D22CE3" w:rsidRPr="00F10391" w:rsidRDefault="00D22CE3" w:rsidP="00E156D5">
            <w:pPr>
              <w:jc w:val="left"/>
              <w:rPr>
                <w:lang w:eastAsia="en-US"/>
              </w:rPr>
            </w:pPr>
            <w:r w:rsidRPr="00F10391">
              <w:rPr>
                <w:lang w:eastAsia="en-US"/>
              </w:rPr>
              <w:t>Discussion piece</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8509146" w14:textId="77777777" w:rsidR="00D22CE3" w:rsidRPr="00F10391" w:rsidRDefault="00D22CE3" w:rsidP="00E156D5">
            <w:pPr>
              <w:jc w:val="left"/>
              <w:rPr>
                <w:lang w:eastAsia="en-US"/>
              </w:rPr>
            </w:pPr>
            <w:r w:rsidRPr="00F10391">
              <w:rPr>
                <w:lang w:eastAsia="en-US"/>
              </w:rPr>
              <w:t>No comparator appropriate</w:t>
            </w:r>
          </w:p>
        </w:tc>
      </w:tr>
      <w:tr w:rsidR="00D22CE3" w:rsidRPr="00F10391" w14:paraId="6D30DF97"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63011C4" w14:textId="77777777" w:rsidR="00D22CE3" w:rsidRPr="00F10391" w:rsidRDefault="00D22CE3" w:rsidP="00E156D5">
            <w:pPr>
              <w:jc w:val="left"/>
              <w:rPr>
                <w:lang w:eastAsia="en-US"/>
              </w:rPr>
            </w:pPr>
            <w:r w:rsidRPr="00F10391">
              <w:rPr>
                <w:lang w:eastAsia="en-US"/>
              </w:rPr>
              <w:t>PH43</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1D2640E1" w14:textId="77777777" w:rsidR="00D22CE3" w:rsidRPr="00F10391" w:rsidRDefault="00D22CE3" w:rsidP="00E156D5">
            <w:pPr>
              <w:jc w:val="left"/>
              <w:rPr>
                <w:lang w:eastAsia="en-US"/>
              </w:rPr>
            </w:pPr>
            <w:r w:rsidRPr="00F10391">
              <w:rPr>
                <w:lang w:eastAsia="en-US"/>
              </w:rPr>
              <w:t>Hepatitis B and C – ways to promote and offer testing</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5F93C5D0" w14:textId="77777777" w:rsidR="00D22CE3" w:rsidRPr="00F10391" w:rsidRDefault="00D22CE3" w:rsidP="00E156D5">
            <w:pPr>
              <w:jc w:val="left"/>
              <w:rPr>
                <w:lang w:eastAsia="en-US"/>
              </w:rPr>
            </w:pPr>
            <w:r w:rsidRPr="00F10391">
              <w:rPr>
                <w:lang w:eastAsia="en-US"/>
              </w:rPr>
              <w:t>Dec-12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18A0BE"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22DB6D3F" w14:textId="77777777" w:rsidR="00D22CE3" w:rsidRPr="00F10391" w:rsidRDefault="00D22CE3" w:rsidP="00E156D5">
            <w:pPr>
              <w:jc w:val="left"/>
              <w:rPr>
                <w:lang w:eastAsia="en-US"/>
              </w:rPr>
            </w:pPr>
            <w:r w:rsidRPr="00F10391">
              <w:rPr>
                <w:lang w:eastAsia="en-US"/>
              </w:rPr>
              <w:t>1. CUA (for migrants)</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56FAC3A8" w14:textId="77777777" w:rsidR="00D22CE3" w:rsidRPr="00F10391" w:rsidRDefault="00D22CE3" w:rsidP="00E156D5">
            <w:pPr>
              <w:jc w:val="left"/>
              <w:rPr>
                <w:lang w:eastAsia="en-US"/>
              </w:rPr>
            </w:pPr>
            <w:r w:rsidRPr="00F10391">
              <w:rPr>
                <w:lang w:eastAsia="en-US"/>
              </w:rPr>
              <w:t>NHS &amp; PSS</w:t>
            </w:r>
          </w:p>
        </w:tc>
      </w:tr>
      <w:tr w:rsidR="00D22CE3" w:rsidRPr="00F10391" w14:paraId="10B8FDD7"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EA2B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4E785"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2DD7D"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7EE23"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47977381" w14:textId="77777777" w:rsidR="00D22CE3" w:rsidRPr="00F10391" w:rsidRDefault="00D22CE3" w:rsidP="00E156D5">
            <w:pPr>
              <w:jc w:val="left"/>
              <w:rPr>
                <w:lang w:eastAsia="en-US"/>
              </w:rPr>
            </w:pPr>
            <w:r w:rsidRPr="00F10391">
              <w:rPr>
                <w:lang w:eastAsia="en-US"/>
              </w:rPr>
              <w:t>2. CUA (for intravenous drug users)</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1836FDF2" w14:textId="77777777" w:rsidR="00D22CE3" w:rsidRPr="00F10391" w:rsidRDefault="00D22CE3" w:rsidP="00E156D5">
            <w:pPr>
              <w:jc w:val="left"/>
              <w:rPr>
                <w:lang w:eastAsia="en-US"/>
              </w:rPr>
            </w:pPr>
            <w:r w:rsidRPr="00F10391">
              <w:rPr>
                <w:lang w:eastAsia="en-US"/>
              </w:rPr>
              <w:t>NHS &amp; PSS</w:t>
            </w:r>
          </w:p>
        </w:tc>
      </w:tr>
      <w:tr w:rsidR="00D22CE3" w:rsidRPr="00F10391" w14:paraId="376CC843"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EEDB2D" w14:textId="77777777" w:rsidR="00D22CE3" w:rsidRPr="00F10391" w:rsidRDefault="00D22CE3" w:rsidP="00E156D5">
            <w:pPr>
              <w:jc w:val="left"/>
              <w:rPr>
                <w:lang w:eastAsia="en-US"/>
              </w:rPr>
            </w:pPr>
            <w:r w:rsidRPr="00F10391">
              <w:rPr>
                <w:lang w:eastAsia="en-US"/>
              </w:rPr>
              <w:t>PH44</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1D5B1E6C" w14:textId="77777777" w:rsidR="00D22CE3" w:rsidRPr="00F10391" w:rsidRDefault="00D22CE3" w:rsidP="00E156D5">
            <w:pPr>
              <w:jc w:val="left"/>
              <w:rPr>
                <w:lang w:eastAsia="en-US"/>
              </w:rPr>
            </w:pPr>
            <w:r w:rsidRPr="00F10391">
              <w:rPr>
                <w:lang w:eastAsia="en-US"/>
              </w:rPr>
              <w:t>Physical activity: brief advice for adults in primary care</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4BAADD3D" w14:textId="77777777" w:rsidR="00D22CE3" w:rsidRPr="00F10391" w:rsidRDefault="00D22CE3" w:rsidP="00E156D5">
            <w:pPr>
              <w:jc w:val="left"/>
              <w:rPr>
                <w:lang w:eastAsia="en-US"/>
              </w:rPr>
            </w:pPr>
            <w:r w:rsidRPr="00F10391">
              <w:rPr>
                <w:lang w:eastAsia="en-US"/>
              </w:rPr>
              <w:t>May-13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F65C5A"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6A6A6"/>
              <w:right w:val="single" w:sz="4" w:space="0" w:color="auto"/>
            </w:tcBorders>
            <w:vAlign w:val="center"/>
            <w:hideMark/>
          </w:tcPr>
          <w:p w14:paraId="2A41D7D1"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3B012ECA" w14:textId="77777777" w:rsidR="00D22CE3" w:rsidRPr="00F10391" w:rsidRDefault="00D22CE3" w:rsidP="00E156D5">
            <w:pPr>
              <w:jc w:val="left"/>
              <w:rPr>
                <w:lang w:eastAsia="en-US"/>
              </w:rPr>
            </w:pPr>
            <w:r w:rsidRPr="00F10391">
              <w:rPr>
                <w:lang w:eastAsia="en-US"/>
              </w:rPr>
              <w:t>NHS &amp; PSS</w:t>
            </w:r>
          </w:p>
        </w:tc>
      </w:tr>
      <w:tr w:rsidR="00D22CE3" w:rsidRPr="00F10391" w14:paraId="7F926662"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B73C0"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47C8B"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ABAA3"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6C665"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1255FFF7" w14:textId="77777777" w:rsidR="00D22CE3" w:rsidRPr="00F10391" w:rsidRDefault="00D22CE3" w:rsidP="00E156D5">
            <w:pPr>
              <w:jc w:val="left"/>
              <w:rPr>
                <w:lang w:eastAsia="en-US"/>
              </w:rPr>
            </w:pPr>
            <w:r w:rsidRPr="00F10391">
              <w:rPr>
                <w:lang w:eastAsia="en-US"/>
              </w:rPr>
              <w:t>2. CCA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08495018" w14:textId="77777777" w:rsidR="00D22CE3" w:rsidRPr="00F10391" w:rsidRDefault="00D22CE3" w:rsidP="00E156D5">
            <w:pPr>
              <w:jc w:val="left"/>
              <w:rPr>
                <w:lang w:eastAsia="en-US"/>
              </w:rPr>
            </w:pPr>
            <w:r w:rsidRPr="00F10391">
              <w:rPr>
                <w:lang w:eastAsia="en-US"/>
              </w:rPr>
              <w:t>Societal</w:t>
            </w:r>
          </w:p>
        </w:tc>
      </w:tr>
      <w:tr w:rsidR="00D22CE3" w:rsidRPr="00F10391" w14:paraId="07858EDE"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2E6EAA40" w14:textId="77777777" w:rsidR="00D22CE3" w:rsidRPr="00F10391" w:rsidRDefault="00D22CE3" w:rsidP="00E156D5">
            <w:pPr>
              <w:jc w:val="left"/>
              <w:rPr>
                <w:lang w:eastAsia="en-US"/>
              </w:rPr>
            </w:pPr>
            <w:r w:rsidRPr="00F10391">
              <w:rPr>
                <w:lang w:eastAsia="en-US"/>
              </w:rPr>
              <w:t>PH45</w:t>
            </w:r>
          </w:p>
        </w:tc>
        <w:tc>
          <w:tcPr>
            <w:tcW w:w="3504" w:type="dxa"/>
            <w:tcBorders>
              <w:top w:val="single" w:sz="4" w:space="0" w:color="auto"/>
              <w:left w:val="single" w:sz="4" w:space="0" w:color="auto"/>
              <w:bottom w:val="single" w:sz="4" w:space="0" w:color="auto"/>
              <w:right w:val="single" w:sz="4" w:space="0" w:color="auto"/>
            </w:tcBorders>
            <w:vAlign w:val="center"/>
            <w:hideMark/>
          </w:tcPr>
          <w:p w14:paraId="66861B69" w14:textId="77777777" w:rsidR="00D22CE3" w:rsidRPr="00F10391" w:rsidRDefault="00D22CE3" w:rsidP="00E156D5">
            <w:pPr>
              <w:jc w:val="left"/>
              <w:rPr>
                <w:lang w:eastAsia="en-US"/>
              </w:rPr>
            </w:pPr>
            <w:r w:rsidRPr="00F10391">
              <w:rPr>
                <w:lang w:eastAsia="en-US"/>
              </w:rPr>
              <w:t xml:space="preserve">Tobacco harm reduction </w:t>
            </w:r>
          </w:p>
        </w:tc>
        <w:tc>
          <w:tcPr>
            <w:tcW w:w="923" w:type="dxa"/>
            <w:tcBorders>
              <w:top w:val="single" w:sz="4" w:space="0" w:color="auto"/>
              <w:left w:val="single" w:sz="4" w:space="0" w:color="auto"/>
              <w:bottom w:val="single" w:sz="4" w:space="0" w:color="auto"/>
              <w:right w:val="single" w:sz="4" w:space="0" w:color="auto"/>
            </w:tcBorders>
            <w:vAlign w:val="center"/>
            <w:hideMark/>
          </w:tcPr>
          <w:p w14:paraId="41D673E5" w14:textId="77777777" w:rsidR="00D22CE3" w:rsidRPr="00F10391" w:rsidRDefault="00D22CE3" w:rsidP="00E156D5">
            <w:pPr>
              <w:jc w:val="left"/>
              <w:rPr>
                <w:lang w:eastAsia="en-US"/>
              </w:rPr>
            </w:pPr>
            <w:r w:rsidRPr="00F10391">
              <w:rPr>
                <w:lang w:eastAsia="en-US"/>
              </w:rPr>
              <w:t>Jun-13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28EF7B"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832FA"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A486CE0" w14:textId="77777777" w:rsidR="00D22CE3" w:rsidRPr="00F10391" w:rsidRDefault="00D22CE3" w:rsidP="00E156D5">
            <w:pPr>
              <w:jc w:val="left"/>
              <w:rPr>
                <w:lang w:eastAsia="en-US"/>
              </w:rPr>
            </w:pPr>
            <w:r w:rsidRPr="00F10391">
              <w:rPr>
                <w:lang w:eastAsia="en-US"/>
              </w:rPr>
              <w:t>NHS &amp; PSS</w:t>
            </w:r>
          </w:p>
        </w:tc>
      </w:tr>
      <w:tr w:rsidR="00D22CE3" w:rsidRPr="00F10391" w14:paraId="561A55E8"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29C684AF" w14:textId="77777777" w:rsidR="00D22CE3" w:rsidRPr="00F10391" w:rsidRDefault="00D22CE3" w:rsidP="00E156D5">
            <w:pPr>
              <w:jc w:val="left"/>
              <w:rPr>
                <w:lang w:eastAsia="en-US"/>
              </w:rPr>
            </w:pPr>
            <w:r w:rsidRPr="00F10391">
              <w:rPr>
                <w:lang w:eastAsia="en-US"/>
              </w:rPr>
              <w:t>PH46</w:t>
            </w:r>
          </w:p>
        </w:tc>
        <w:tc>
          <w:tcPr>
            <w:tcW w:w="3504" w:type="dxa"/>
            <w:tcBorders>
              <w:top w:val="single" w:sz="4" w:space="0" w:color="auto"/>
              <w:left w:val="single" w:sz="4" w:space="0" w:color="auto"/>
              <w:bottom w:val="single" w:sz="4" w:space="0" w:color="auto"/>
              <w:right w:val="single" w:sz="4" w:space="0" w:color="auto"/>
            </w:tcBorders>
            <w:vAlign w:val="center"/>
            <w:hideMark/>
          </w:tcPr>
          <w:p w14:paraId="3FDD0398" w14:textId="77777777" w:rsidR="00D22CE3" w:rsidRPr="00F10391" w:rsidRDefault="00D22CE3" w:rsidP="00E156D5">
            <w:pPr>
              <w:jc w:val="left"/>
              <w:rPr>
                <w:lang w:eastAsia="en-US"/>
              </w:rPr>
            </w:pPr>
            <w:r w:rsidRPr="00F10391">
              <w:rPr>
                <w:lang w:eastAsia="en-US"/>
              </w:rPr>
              <w:t xml:space="preserve">BMI and waist circumference – black, Asian and minority ethnic groups </w:t>
            </w:r>
          </w:p>
        </w:tc>
        <w:tc>
          <w:tcPr>
            <w:tcW w:w="923" w:type="dxa"/>
            <w:tcBorders>
              <w:top w:val="single" w:sz="4" w:space="0" w:color="auto"/>
              <w:left w:val="single" w:sz="4" w:space="0" w:color="auto"/>
              <w:bottom w:val="single" w:sz="4" w:space="0" w:color="auto"/>
              <w:right w:val="single" w:sz="4" w:space="0" w:color="auto"/>
            </w:tcBorders>
            <w:vAlign w:val="center"/>
            <w:hideMark/>
          </w:tcPr>
          <w:p w14:paraId="1CDFA5C7" w14:textId="77777777" w:rsidR="00D22CE3" w:rsidRPr="00F10391" w:rsidRDefault="00D22CE3" w:rsidP="00E156D5">
            <w:pPr>
              <w:jc w:val="left"/>
              <w:rPr>
                <w:lang w:eastAsia="en-US"/>
              </w:rPr>
            </w:pPr>
            <w:r w:rsidRPr="00F10391">
              <w:rPr>
                <w:lang w:eastAsia="en-US"/>
              </w:rPr>
              <w:t>Jul-13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788AD" w14:textId="77777777" w:rsidR="00D22CE3" w:rsidRPr="00F10391" w:rsidRDefault="00D22CE3" w:rsidP="00E156D5">
            <w:pPr>
              <w:jc w:val="left"/>
              <w:rPr>
                <w:lang w:eastAsia="en-US"/>
              </w:rPr>
            </w:pPr>
            <w:r w:rsidRPr="00F10391">
              <w:rPr>
                <w:lang w:eastAsia="en-US"/>
              </w:rPr>
              <w:t>PHIAC</w:t>
            </w:r>
          </w:p>
        </w:tc>
        <w:tc>
          <w:tcPr>
            <w:tcW w:w="0" w:type="auto"/>
            <w:tcBorders>
              <w:top w:val="single" w:sz="4" w:space="0" w:color="auto"/>
              <w:left w:val="single" w:sz="4" w:space="0" w:color="auto"/>
              <w:bottom w:val="single" w:sz="4" w:space="0" w:color="auto"/>
              <w:right w:val="single" w:sz="4" w:space="0" w:color="auto"/>
            </w:tcBorders>
            <w:vAlign w:val="center"/>
            <w:hideMark/>
          </w:tcPr>
          <w:p w14:paraId="2F733655"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1F81A6A" w14:textId="77777777" w:rsidR="00D22CE3" w:rsidRPr="00F10391" w:rsidRDefault="00D22CE3" w:rsidP="00E156D5">
            <w:pPr>
              <w:jc w:val="left"/>
              <w:rPr>
                <w:lang w:eastAsia="en-US"/>
              </w:rPr>
            </w:pPr>
            <w:r w:rsidRPr="00F10391">
              <w:rPr>
                <w:lang w:eastAsia="en-US"/>
              </w:rPr>
              <w:t>NA</w:t>
            </w:r>
          </w:p>
        </w:tc>
      </w:tr>
      <w:tr w:rsidR="00D22CE3" w:rsidRPr="00F10391" w14:paraId="374FB922"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5E99CB" w14:textId="77777777" w:rsidR="00D22CE3" w:rsidRPr="00F10391" w:rsidRDefault="00D22CE3" w:rsidP="00E156D5">
            <w:pPr>
              <w:jc w:val="left"/>
              <w:rPr>
                <w:lang w:eastAsia="en-US"/>
              </w:rPr>
            </w:pPr>
            <w:r w:rsidRPr="00F10391">
              <w:rPr>
                <w:lang w:eastAsia="en-US"/>
              </w:rPr>
              <w:t>PH47</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073EEBE6" w14:textId="77777777" w:rsidR="00D22CE3" w:rsidRPr="00F10391" w:rsidRDefault="00D22CE3" w:rsidP="00E156D5">
            <w:pPr>
              <w:jc w:val="left"/>
              <w:rPr>
                <w:lang w:eastAsia="en-US"/>
              </w:rPr>
            </w:pPr>
            <w:r w:rsidRPr="00F10391">
              <w:rPr>
                <w:lang w:eastAsia="en-US"/>
              </w:rPr>
              <w:t>Managing overweight and obesity among children and young people: lifestyle weight management services</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13EC804B" w14:textId="77777777" w:rsidR="00D22CE3" w:rsidRPr="00F10391" w:rsidRDefault="00D22CE3" w:rsidP="00E156D5">
            <w:pPr>
              <w:jc w:val="left"/>
              <w:rPr>
                <w:lang w:eastAsia="en-US"/>
              </w:rPr>
            </w:pPr>
            <w:r w:rsidRPr="00F10391">
              <w:rPr>
                <w:lang w:eastAsia="en-US"/>
              </w:rPr>
              <w:t>Oct-13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3027763"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40AB0F5F"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7D797378" w14:textId="77777777" w:rsidR="00D22CE3" w:rsidRPr="00F10391" w:rsidRDefault="00D22CE3" w:rsidP="00E156D5">
            <w:pPr>
              <w:jc w:val="left"/>
              <w:rPr>
                <w:lang w:eastAsia="en-US"/>
              </w:rPr>
            </w:pPr>
            <w:r w:rsidRPr="00F10391">
              <w:rPr>
                <w:lang w:eastAsia="en-US"/>
              </w:rPr>
              <w:t>NHS &amp; PSS</w:t>
            </w:r>
          </w:p>
        </w:tc>
      </w:tr>
      <w:tr w:rsidR="00D22CE3" w:rsidRPr="00F10391" w14:paraId="35DE593E"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E0E9E"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37EE4"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7D33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E850C"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69A313AB" w14:textId="77777777" w:rsidR="00D22CE3" w:rsidRPr="00F10391" w:rsidRDefault="00D22CE3" w:rsidP="00E156D5">
            <w:pPr>
              <w:jc w:val="left"/>
              <w:rPr>
                <w:lang w:eastAsia="en-US"/>
              </w:rPr>
            </w:pPr>
            <w:r w:rsidRPr="00F10391">
              <w:rPr>
                <w:lang w:eastAsia="en-US"/>
              </w:rPr>
              <w:t>2. CCA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30368022" w14:textId="77777777" w:rsidR="00D22CE3" w:rsidRPr="00F10391" w:rsidRDefault="00D22CE3" w:rsidP="00E156D5">
            <w:pPr>
              <w:jc w:val="left"/>
              <w:rPr>
                <w:lang w:eastAsia="en-US"/>
              </w:rPr>
            </w:pPr>
            <w:r w:rsidRPr="00F10391">
              <w:rPr>
                <w:lang w:eastAsia="en-US"/>
              </w:rPr>
              <w:t>Societal</w:t>
            </w:r>
          </w:p>
        </w:tc>
      </w:tr>
      <w:tr w:rsidR="00D22CE3" w:rsidRPr="00F10391" w14:paraId="388B9AFA"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125E8A" w14:textId="77777777" w:rsidR="00D22CE3" w:rsidRPr="00F10391" w:rsidRDefault="00D22CE3" w:rsidP="00E156D5">
            <w:pPr>
              <w:jc w:val="left"/>
              <w:rPr>
                <w:lang w:eastAsia="en-US"/>
              </w:rPr>
            </w:pPr>
            <w:r w:rsidRPr="00F10391">
              <w:rPr>
                <w:lang w:eastAsia="en-US"/>
              </w:rPr>
              <w:t>PH48</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11C1A4C2" w14:textId="77777777" w:rsidR="00D22CE3" w:rsidRPr="00F10391" w:rsidRDefault="00D22CE3" w:rsidP="00E156D5">
            <w:pPr>
              <w:jc w:val="left"/>
              <w:rPr>
                <w:lang w:eastAsia="en-US"/>
              </w:rPr>
            </w:pPr>
            <w:r w:rsidRPr="00F10391">
              <w:rPr>
                <w:lang w:eastAsia="en-US"/>
              </w:rPr>
              <w:t>Smoking cessation in secondary care: acute, maternity and mental health services</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4CDA6B09" w14:textId="77777777" w:rsidR="00D22CE3" w:rsidRPr="00F10391" w:rsidRDefault="00D22CE3" w:rsidP="00E156D5">
            <w:pPr>
              <w:jc w:val="left"/>
              <w:rPr>
                <w:lang w:eastAsia="en-US"/>
              </w:rPr>
            </w:pPr>
            <w:r w:rsidRPr="00F10391">
              <w:rPr>
                <w:lang w:eastAsia="en-US"/>
              </w:rPr>
              <w:t>Nov-13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24919D3"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7970A085" w14:textId="77777777" w:rsidR="00D22CE3" w:rsidRPr="00F10391" w:rsidRDefault="00D22CE3" w:rsidP="00E156D5">
            <w:pPr>
              <w:jc w:val="left"/>
              <w:rPr>
                <w:lang w:eastAsia="en-US"/>
              </w:rPr>
            </w:pPr>
            <w:r w:rsidRPr="00F10391">
              <w:rPr>
                <w:lang w:eastAsia="en-US"/>
              </w:rPr>
              <w:t>1. CUA</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70CB0BAB" w14:textId="77777777" w:rsidR="00D22CE3" w:rsidRPr="00F10391" w:rsidRDefault="00D22CE3" w:rsidP="00E156D5">
            <w:pPr>
              <w:jc w:val="left"/>
              <w:rPr>
                <w:lang w:eastAsia="en-US"/>
              </w:rPr>
            </w:pPr>
            <w:r w:rsidRPr="00F10391">
              <w:rPr>
                <w:lang w:eastAsia="en-US"/>
              </w:rPr>
              <w:t>NHS &amp; PSS</w:t>
            </w:r>
          </w:p>
        </w:tc>
      </w:tr>
      <w:tr w:rsidR="00D22CE3" w:rsidRPr="00F10391" w14:paraId="01966ED5"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54C6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0CE41"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56E59"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74B42"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3C7F17A4" w14:textId="77777777" w:rsidR="00D22CE3" w:rsidRPr="00F10391" w:rsidRDefault="00D22CE3" w:rsidP="00E156D5">
            <w:pPr>
              <w:jc w:val="left"/>
              <w:rPr>
                <w:lang w:eastAsia="en-US"/>
              </w:rPr>
            </w:pPr>
            <w:r w:rsidRPr="00F10391">
              <w:rPr>
                <w:lang w:eastAsia="en-US"/>
              </w:rPr>
              <w:t>1a. As above plus CCA, (though not implemented fully)</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72BAC14C" w14:textId="77777777" w:rsidR="00D22CE3" w:rsidRPr="00F10391" w:rsidRDefault="00D22CE3" w:rsidP="00E156D5">
            <w:pPr>
              <w:jc w:val="left"/>
              <w:rPr>
                <w:lang w:eastAsia="en-US"/>
              </w:rPr>
            </w:pPr>
            <w:r w:rsidRPr="00F10391">
              <w:rPr>
                <w:lang w:eastAsia="en-US"/>
              </w:rPr>
              <w:t>Employer perspective</w:t>
            </w:r>
          </w:p>
        </w:tc>
      </w:tr>
      <w:tr w:rsidR="00D22CE3" w:rsidRPr="00F10391" w14:paraId="07FEAE26"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03269C5A" w14:textId="77777777" w:rsidR="00D22CE3" w:rsidRPr="00F10391" w:rsidRDefault="00D22CE3" w:rsidP="00E156D5">
            <w:pPr>
              <w:jc w:val="left"/>
              <w:rPr>
                <w:lang w:eastAsia="en-US"/>
              </w:rPr>
            </w:pPr>
            <w:r w:rsidRPr="00F10391">
              <w:rPr>
                <w:lang w:eastAsia="en-US"/>
              </w:rPr>
              <w:lastRenderedPageBreak/>
              <w:t>PH49</w:t>
            </w:r>
          </w:p>
        </w:tc>
        <w:tc>
          <w:tcPr>
            <w:tcW w:w="3504" w:type="dxa"/>
            <w:tcBorders>
              <w:top w:val="single" w:sz="4" w:space="0" w:color="auto"/>
              <w:left w:val="single" w:sz="4" w:space="0" w:color="auto"/>
              <w:bottom w:val="single" w:sz="4" w:space="0" w:color="auto"/>
              <w:right w:val="single" w:sz="4" w:space="0" w:color="auto"/>
            </w:tcBorders>
            <w:vAlign w:val="center"/>
            <w:hideMark/>
          </w:tcPr>
          <w:p w14:paraId="7B48DA4C" w14:textId="77777777" w:rsidR="00D22CE3" w:rsidRPr="00F10391" w:rsidRDefault="00D22CE3" w:rsidP="00E156D5">
            <w:pPr>
              <w:jc w:val="left"/>
              <w:rPr>
                <w:lang w:eastAsia="en-US"/>
              </w:rPr>
            </w:pPr>
            <w:r w:rsidRPr="00F10391">
              <w:rPr>
                <w:lang w:eastAsia="en-US"/>
              </w:rPr>
              <w:t>Behaviour change: individual approaches</w:t>
            </w:r>
          </w:p>
        </w:tc>
        <w:tc>
          <w:tcPr>
            <w:tcW w:w="923" w:type="dxa"/>
            <w:tcBorders>
              <w:top w:val="single" w:sz="4" w:space="0" w:color="auto"/>
              <w:left w:val="single" w:sz="4" w:space="0" w:color="auto"/>
              <w:bottom w:val="single" w:sz="4" w:space="0" w:color="auto"/>
              <w:right w:val="single" w:sz="4" w:space="0" w:color="auto"/>
            </w:tcBorders>
            <w:vAlign w:val="center"/>
            <w:hideMark/>
          </w:tcPr>
          <w:p w14:paraId="34EB8464" w14:textId="77777777" w:rsidR="00D22CE3" w:rsidRPr="00F10391" w:rsidRDefault="00D22CE3" w:rsidP="00E156D5">
            <w:pPr>
              <w:jc w:val="left"/>
              <w:rPr>
                <w:lang w:eastAsia="en-US"/>
              </w:rPr>
            </w:pPr>
            <w:r w:rsidRPr="00F10391">
              <w:rPr>
                <w:lang w:eastAsia="en-US"/>
              </w:rPr>
              <w:t>Jan-14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2B556"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3893E" w14:textId="77777777" w:rsidR="00D22CE3" w:rsidRPr="00F10391" w:rsidRDefault="00D22CE3" w:rsidP="00E156D5">
            <w:pPr>
              <w:jc w:val="left"/>
              <w:rPr>
                <w:lang w:eastAsia="en-US"/>
              </w:rPr>
            </w:pPr>
            <w:r w:rsidRPr="00F10391">
              <w:rPr>
                <w:lang w:eastAsia="en-US"/>
              </w:rPr>
              <w:t>No model used</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0250A08" w14:textId="77777777" w:rsidR="00D22CE3" w:rsidRPr="00F10391" w:rsidRDefault="00D22CE3" w:rsidP="00E156D5">
            <w:pPr>
              <w:jc w:val="left"/>
              <w:rPr>
                <w:lang w:eastAsia="en-US"/>
              </w:rPr>
            </w:pPr>
            <w:r w:rsidRPr="00F10391">
              <w:rPr>
                <w:lang w:eastAsia="en-US"/>
              </w:rPr>
              <w:t>NA</w:t>
            </w:r>
          </w:p>
        </w:tc>
      </w:tr>
      <w:tr w:rsidR="00D22CE3" w:rsidRPr="00F10391" w14:paraId="37C40CB1" w14:textId="77777777" w:rsidTr="0063065F">
        <w:trPr>
          <w:trHeight w:val="85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06BA818" w14:textId="77777777" w:rsidR="00D22CE3" w:rsidRPr="00F10391" w:rsidRDefault="00D22CE3" w:rsidP="00E156D5">
            <w:pPr>
              <w:jc w:val="left"/>
              <w:rPr>
                <w:lang w:eastAsia="en-US"/>
              </w:rPr>
            </w:pPr>
            <w:r w:rsidRPr="00F10391">
              <w:rPr>
                <w:lang w:eastAsia="en-US"/>
              </w:rPr>
              <w:t>PH50</w:t>
            </w:r>
          </w:p>
        </w:tc>
        <w:tc>
          <w:tcPr>
            <w:tcW w:w="3504" w:type="dxa"/>
            <w:vMerge w:val="restart"/>
            <w:tcBorders>
              <w:top w:val="single" w:sz="4" w:space="0" w:color="auto"/>
              <w:left w:val="single" w:sz="4" w:space="0" w:color="auto"/>
              <w:bottom w:val="single" w:sz="4" w:space="0" w:color="auto"/>
              <w:right w:val="single" w:sz="4" w:space="0" w:color="auto"/>
            </w:tcBorders>
            <w:vAlign w:val="center"/>
            <w:hideMark/>
          </w:tcPr>
          <w:p w14:paraId="4D1C74B7" w14:textId="77777777" w:rsidR="00D22CE3" w:rsidRPr="00F10391" w:rsidRDefault="00D22CE3" w:rsidP="00E156D5">
            <w:pPr>
              <w:jc w:val="left"/>
              <w:rPr>
                <w:lang w:eastAsia="en-US"/>
              </w:rPr>
            </w:pPr>
            <w:r w:rsidRPr="00F10391">
              <w:rPr>
                <w:lang w:eastAsia="en-US"/>
              </w:rPr>
              <w:t>Domestic violence and abuse: how health services, social care and the organisations they work with can respond effectively</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14:paraId="57B65BB5" w14:textId="77777777" w:rsidR="00D22CE3" w:rsidRPr="00F10391" w:rsidRDefault="00D22CE3" w:rsidP="00E156D5">
            <w:pPr>
              <w:jc w:val="left"/>
              <w:rPr>
                <w:lang w:eastAsia="en-US"/>
              </w:rPr>
            </w:pPr>
            <w:r w:rsidRPr="00F10391">
              <w:rPr>
                <w:lang w:eastAsia="en-US"/>
              </w:rPr>
              <w:t>Feb-14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9E916AF"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6A6A6"/>
              <w:right w:val="single" w:sz="4" w:space="0" w:color="auto"/>
            </w:tcBorders>
            <w:vAlign w:val="center"/>
            <w:hideMark/>
          </w:tcPr>
          <w:p w14:paraId="4E17E894" w14:textId="77777777" w:rsidR="00D22CE3" w:rsidRPr="00F10391" w:rsidRDefault="00D22CE3" w:rsidP="00E156D5">
            <w:pPr>
              <w:jc w:val="left"/>
              <w:rPr>
                <w:lang w:eastAsia="en-US"/>
              </w:rPr>
            </w:pPr>
            <w:r w:rsidRPr="00F10391">
              <w:rPr>
                <w:lang w:eastAsia="en-US"/>
              </w:rPr>
              <w:t>CBA (referred to as CUA, but took into account societal costs and found intervention to be dominant)</w:t>
            </w:r>
          </w:p>
        </w:tc>
        <w:tc>
          <w:tcPr>
            <w:tcW w:w="1640" w:type="dxa"/>
            <w:tcBorders>
              <w:top w:val="single" w:sz="4" w:space="0" w:color="auto"/>
              <w:left w:val="single" w:sz="4" w:space="0" w:color="auto"/>
              <w:bottom w:val="single" w:sz="4" w:space="0" w:color="A6A6A6"/>
              <w:right w:val="single" w:sz="4" w:space="0" w:color="auto"/>
            </w:tcBorders>
            <w:vAlign w:val="center"/>
            <w:hideMark/>
          </w:tcPr>
          <w:p w14:paraId="064247AB" w14:textId="77777777" w:rsidR="00D22CE3" w:rsidRPr="00F10391" w:rsidRDefault="00D22CE3" w:rsidP="00E156D5">
            <w:pPr>
              <w:jc w:val="left"/>
              <w:rPr>
                <w:lang w:eastAsia="en-US"/>
              </w:rPr>
            </w:pPr>
            <w:r w:rsidRPr="00F10391">
              <w:rPr>
                <w:lang w:eastAsia="en-US"/>
              </w:rPr>
              <w:t>Societal</w:t>
            </w:r>
          </w:p>
        </w:tc>
      </w:tr>
      <w:tr w:rsidR="00D22CE3" w:rsidRPr="00F10391" w14:paraId="1623F902" w14:textId="77777777" w:rsidTr="0063065F">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7A429"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1AC22"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57C46" w14:textId="77777777" w:rsidR="00D22CE3" w:rsidRPr="00F10391" w:rsidRDefault="00D22CE3" w:rsidP="0063065F">
            <w:pPr>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D8729" w14:textId="77777777" w:rsidR="00D22CE3" w:rsidRPr="00F10391" w:rsidRDefault="00D22CE3" w:rsidP="0063065F">
            <w:pPr>
              <w:jc w:val="left"/>
              <w:rPr>
                <w:lang w:eastAsia="en-US"/>
              </w:rPr>
            </w:pPr>
          </w:p>
        </w:tc>
        <w:tc>
          <w:tcPr>
            <w:tcW w:w="0" w:type="auto"/>
            <w:tcBorders>
              <w:top w:val="single" w:sz="4" w:space="0" w:color="A6A6A6"/>
              <w:left w:val="single" w:sz="4" w:space="0" w:color="auto"/>
              <w:bottom w:val="single" w:sz="4" w:space="0" w:color="auto"/>
              <w:right w:val="single" w:sz="4" w:space="0" w:color="auto"/>
            </w:tcBorders>
            <w:vAlign w:val="center"/>
            <w:hideMark/>
          </w:tcPr>
          <w:p w14:paraId="6E7701F0" w14:textId="77777777" w:rsidR="00D22CE3" w:rsidRPr="00F10391" w:rsidRDefault="00D22CE3" w:rsidP="00E156D5">
            <w:pPr>
              <w:jc w:val="left"/>
              <w:rPr>
                <w:lang w:eastAsia="en-US"/>
              </w:rPr>
            </w:pPr>
            <w:r w:rsidRPr="00F10391">
              <w:rPr>
                <w:lang w:eastAsia="en-US"/>
              </w:rPr>
              <w:t>2. As above, with nominal CCA</w:t>
            </w:r>
          </w:p>
        </w:tc>
        <w:tc>
          <w:tcPr>
            <w:tcW w:w="1640" w:type="dxa"/>
            <w:tcBorders>
              <w:top w:val="single" w:sz="4" w:space="0" w:color="A6A6A6"/>
              <w:left w:val="single" w:sz="4" w:space="0" w:color="auto"/>
              <w:bottom w:val="single" w:sz="4" w:space="0" w:color="auto"/>
              <w:right w:val="single" w:sz="4" w:space="0" w:color="auto"/>
            </w:tcBorders>
            <w:vAlign w:val="center"/>
            <w:hideMark/>
          </w:tcPr>
          <w:p w14:paraId="6692506B" w14:textId="77777777" w:rsidR="00D22CE3" w:rsidRPr="00F10391" w:rsidRDefault="00D22CE3" w:rsidP="00E156D5">
            <w:pPr>
              <w:jc w:val="left"/>
              <w:rPr>
                <w:lang w:eastAsia="en-US"/>
              </w:rPr>
            </w:pPr>
            <w:r w:rsidRPr="00F10391">
              <w:rPr>
                <w:lang w:eastAsia="en-US"/>
              </w:rPr>
              <w:t>Societal</w:t>
            </w:r>
          </w:p>
        </w:tc>
      </w:tr>
      <w:tr w:rsidR="00D22CE3" w:rsidRPr="00F10391" w14:paraId="114DBFA3"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7D1476EC" w14:textId="77777777" w:rsidR="00D22CE3" w:rsidRPr="00F10391" w:rsidRDefault="00D22CE3" w:rsidP="00E156D5">
            <w:pPr>
              <w:jc w:val="left"/>
              <w:rPr>
                <w:lang w:eastAsia="en-US"/>
              </w:rPr>
            </w:pPr>
            <w:r w:rsidRPr="00F10391">
              <w:rPr>
                <w:lang w:eastAsia="en-US"/>
              </w:rPr>
              <w:t>PH51</w:t>
            </w:r>
          </w:p>
        </w:tc>
        <w:tc>
          <w:tcPr>
            <w:tcW w:w="3504" w:type="dxa"/>
            <w:tcBorders>
              <w:top w:val="single" w:sz="4" w:space="0" w:color="auto"/>
              <w:left w:val="single" w:sz="4" w:space="0" w:color="auto"/>
              <w:bottom w:val="single" w:sz="4" w:space="0" w:color="auto"/>
              <w:right w:val="single" w:sz="4" w:space="0" w:color="auto"/>
            </w:tcBorders>
            <w:vAlign w:val="center"/>
            <w:hideMark/>
          </w:tcPr>
          <w:p w14:paraId="15233A97" w14:textId="77777777" w:rsidR="00D22CE3" w:rsidRPr="00F10391" w:rsidRDefault="00D22CE3" w:rsidP="00E156D5">
            <w:pPr>
              <w:jc w:val="left"/>
              <w:rPr>
                <w:lang w:eastAsia="en-US"/>
              </w:rPr>
            </w:pPr>
            <w:r w:rsidRPr="00F10391">
              <w:rPr>
                <w:lang w:eastAsia="en-US"/>
              </w:rPr>
              <w:t>Contraceptive services with a focus on young people up to the age of 25</w:t>
            </w:r>
          </w:p>
        </w:tc>
        <w:tc>
          <w:tcPr>
            <w:tcW w:w="923" w:type="dxa"/>
            <w:tcBorders>
              <w:top w:val="single" w:sz="4" w:space="0" w:color="auto"/>
              <w:left w:val="single" w:sz="4" w:space="0" w:color="auto"/>
              <w:bottom w:val="single" w:sz="4" w:space="0" w:color="auto"/>
              <w:right w:val="single" w:sz="4" w:space="0" w:color="auto"/>
            </w:tcBorders>
            <w:vAlign w:val="center"/>
            <w:hideMark/>
          </w:tcPr>
          <w:p w14:paraId="038B7A44" w14:textId="77777777" w:rsidR="00D22CE3" w:rsidRPr="00F10391" w:rsidRDefault="00D22CE3" w:rsidP="00E156D5">
            <w:pPr>
              <w:jc w:val="left"/>
              <w:rPr>
                <w:lang w:eastAsia="en-US"/>
              </w:rPr>
            </w:pPr>
            <w:r w:rsidRPr="00F10391">
              <w:rPr>
                <w:lang w:eastAsia="en-US"/>
              </w:rPr>
              <w:t>Mar-14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E3A27"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tcPr>
          <w:p w14:paraId="2069AD88" w14:textId="77777777" w:rsidR="00D22CE3" w:rsidRPr="00F10391" w:rsidRDefault="00D22CE3" w:rsidP="00E156D5">
            <w:pPr>
              <w:jc w:val="left"/>
              <w:rPr>
                <w:lang w:eastAsia="en-US"/>
              </w:rPr>
            </w:pPr>
            <w:r w:rsidRPr="00F10391">
              <w:rPr>
                <w:lang w:eastAsia="en-US"/>
              </w:rPr>
              <w:t>CBA, built upon CEA</w:t>
            </w:r>
          </w:p>
          <w:p w14:paraId="1132F933" w14:textId="77777777" w:rsidR="00D22CE3" w:rsidRPr="00F10391" w:rsidRDefault="00D22CE3" w:rsidP="00E156D5">
            <w:pPr>
              <w:jc w:val="left"/>
              <w:rPr>
                <w:lang w:eastAsia="en-US"/>
              </w:rPr>
            </w:pPr>
            <w:r w:rsidRPr="00F10391">
              <w:rPr>
                <w:lang w:eastAsia="en-US"/>
              </w:rPr>
              <w:t>(CUA felt to be infeasible/ inappropriate)</w:t>
            </w:r>
          </w:p>
          <w:p w14:paraId="6B8ED53E" w14:textId="77777777" w:rsidR="00D22CE3" w:rsidRPr="00F10391" w:rsidRDefault="00D22CE3" w:rsidP="005D7324">
            <w:pPr>
              <w:jc w:val="left"/>
              <w:rPr>
                <w:lang w:eastAsia="en-US"/>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197A2CF" w14:textId="77777777" w:rsidR="00D22CE3" w:rsidRPr="00F10391" w:rsidRDefault="00D22CE3" w:rsidP="005D7324">
            <w:pPr>
              <w:jc w:val="left"/>
              <w:rPr>
                <w:lang w:eastAsia="en-US"/>
              </w:rPr>
            </w:pPr>
            <w:r w:rsidRPr="00F10391">
              <w:rPr>
                <w:lang w:eastAsia="en-US"/>
              </w:rPr>
              <w:t>Public sector, with NHS &amp; PSS checked in sensitivity analyses</w:t>
            </w:r>
          </w:p>
        </w:tc>
      </w:tr>
      <w:tr w:rsidR="00D22CE3" w:rsidRPr="00F10391" w14:paraId="3B2D8254"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6EBD7AEC" w14:textId="77777777" w:rsidR="00D22CE3" w:rsidRPr="00F10391" w:rsidRDefault="00D22CE3" w:rsidP="00E156D5">
            <w:pPr>
              <w:jc w:val="left"/>
              <w:rPr>
                <w:lang w:eastAsia="en-US"/>
              </w:rPr>
            </w:pPr>
            <w:r w:rsidRPr="00F10391">
              <w:rPr>
                <w:lang w:eastAsia="en-US"/>
              </w:rPr>
              <w:t>PH52</w:t>
            </w:r>
          </w:p>
        </w:tc>
        <w:tc>
          <w:tcPr>
            <w:tcW w:w="3504" w:type="dxa"/>
            <w:tcBorders>
              <w:top w:val="single" w:sz="4" w:space="0" w:color="auto"/>
              <w:left w:val="single" w:sz="4" w:space="0" w:color="auto"/>
              <w:bottom w:val="single" w:sz="4" w:space="0" w:color="auto"/>
              <w:right w:val="single" w:sz="4" w:space="0" w:color="auto"/>
            </w:tcBorders>
            <w:vAlign w:val="center"/>
            <w:hideMark/>
          </w:tcPr>
          <w:p w14:paraId="76219E1A" w14:textId="77777777" w:rsidR="00D22CE3" w:rsidRPr="00F10391" w:rsidRDefault="00D22CE3" w:rsidP="00E156D5">
            <w:pPr>
              <w:jc w:val="left"/>
              <w:rPr>
                <w:color w:val="000000"/>
                <w:lang w:eastAsia="en-US"/>
              </w:rPr>
            </w:pPr>
            <w:r w:rsidRPr="00F10391">
              <w:rPr>
                <w:color w:val="000000"/>
                <w:lang w:eastAsia="en-US"/>
              </w:rPr>
              <w:t xml:space="preserve">Needle and syringe programmes </w:t>
            </w:r>
            <w:r w:rsidRPr="00F10391">
              <w:rPr>
                <w:color w:val="000000"/>
                <w:lang w:eastAsia="en-US"/>
              </w:rPr>
              <w:br/>
              <w:t xml:space="preserve">Note: </w:t>
            </w:r>
            <w:r w:rsidRPr="00F10391">
              <w:rPr>
                <w:lang w:eastAsia="en-US"/>
              </w:rPr>
              <w:t>Updated guidance PH18, and used original economic modelling report</w:t>
            </w:r>
          </w:p>
        </w:tc>
        <w:tc>
          <w:tcPr>
            <w:tcW w:w="923" w:type="dxa"/>
            <w:tcBorders>
              <w:top w:val="single" w:sz="4" w:space="0" w:color="auto"/>
              <w:left w:val="single" w:sz="4" w:space="0" w:color="auto"/>
              <w:bottom w:val="single" w:sz="4" w:space="0" w:color="auto"/>
              <w:right w:val="single" w:sz="4" w:space="0" w:color="auto"/>
            </w:tcBorders>
            <w:vAlign w:val="center"/>
            <w:hideMark/>
          </w:tcPr>
          <w:p w14:paraId="02BB3AB8" w14:textId="77777777" w:rsidR="00D22CE3" w:rsidRPr="00F10391" w:rsidRDefault="00D22CE3" w:rsidP="00E156D5">
            <w:pPr>
              <w:jc w:val="left"/>
              <w:rPr>
                <w:lang w:eastAsia="en-US"/>
              </w:rPr>
            </w:pPr>
            <w:r w:rsidRPr="00F10391">
              <w:rPr>
                <w:lang w:eastAsia="en-US"/>
              </w:rPr>
              <w:t>Mar-14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84E47" w14:textId="77777777" w:rsidR="00D22CE3" w:rsidRPr="00F10391" w:rsidRDefault="00D22CE3" w:rsidP="00E156D5">
            <w:pPr>
              <w:jc w:val="left"/>
              <w:rPr>
                <w:lang w:eastAsia="en-US"/>
              </w:rPr>
            </w:pPr>
            <w:r w:rsidRPr="00F10391">
              <w:rPr>
                <w:lang w:eastAsia="en-US"/>
              </w:rPr>
              <w:t>PHAC</w:t>
            </w:r>
          </w:p>
        </w:tc>
        <w:tc>
          <w:tcPr>
            <w:tcW w:w="0" w:type="auto"/>
            <w:tcBorders>
              <w:top w:val="single" w:sz="4" w:space="0" w:color="auto"/>
              <w:left w:val="single" w:sz="4" w:space="0" w:color="auto"/>
              <w:bottom w:val="single" w:sz="4" w:space="0" w:color="auto"/>
              <w:right w:val="single" w:sz="4" w:space="0" w:color="auto"/>
            </w:tcBorders>
            <w:vAlign w:val="center"/>
            <w:hideMark/>
          </w:tcPr>
          <w:p w14:paraId="166FE4CC"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DA918E9" w14:textId="77777777" w:rsidR="00D22CE3" w:rsidRPr="00F10391" w:rsidRDefault="00D22CE3" w:rsidP="00E156D5">
            <w:pPr>
              <w:jc w:val="left"/>
              <w:rPr>
                <w:lang w:eastAsia="en-US"/>
              </w:rPr>
            </w:pPr>
            <w:r w:rsidRPr="00F10391">
              <w:rPr>
                <w:lang w:eastAsia="en-US"/>
              </w:rPr>
              <w:t>Societal</w:t>
            </w:r>
          </w:p>
        </w:tc>
      </w:tr>
      <w:tr w:rsidR="00D22CE3" w:rsidRPr="00F10391" w14:paraId="2522C179"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5BEDA8A1" w14:textId="77777777" w:rsidR="00D22CE3" w:rsidRPr="00F10391" w:rsidRDefault="00D22CE3" w:rsidP="00E156D5">
            <w:pPr>
              <w:jc w:val="left"/>
              <w:rPr>
                <w:lang w:eastAsia="en-US"/>
              </w:rPr>
            </w:pPr>
            <w:r w:rsidRPr="00F10391">
              <w:rPr>
                <w:lang w:eastAsia="en-US"/>
              </w:rPr>
              <w:t>PH53</w:t>
            </w:r>
          </w:p>
        </w:tc>
        <w:tc>
          <w:tcPr>
            <w:tcW w:w="3504" w:type="dxa"/>
            <w:tcBorders>
              <w:top w:val="single" w:sz="4" w:space="0" w:color="auto"/>
              <w:left w:val="single" w:sz="4" w:space="0" w:color="auto"/>
              <w:bottom w:val="single" w:sz="4" w:space="0" w:color="auto"/>
              <w:right w:val="single" w:sz="4" w:space="0" w:color="auto"/>
            </w:tcBorders>
            <w:vAlign w:val="center"/>
            <w:hideMark/>
          </w:tcPr>
          <w:p w14:paraId="476B19B4" w14:textId="77777777" w:rsidR="00D22CE3" w:rsidRPr="00F10391" w:rsidRDefault="00D22CE3" w:rsidP="00E156D5">
            <w:pPr>
              <w:jc w:val="left"/>
              <w:rPr>
                <w:lang w:eastAsia="en-US"/>
              </w:rPr>
            </w:pPr>
            <w:r w:rsidRPr="00F10391">
              <w:rPr>
                <w:lang w:eastAsia="en-US"/>
              </w:rPr>
              <w:t>Managing overweight and obesity in adults – lifestyle weight management services</w:t>
            </w:r>
          </w:p>
        </w:tc>
        <w:tc>
          <w:tcPr>
            <w:tcW w:w="923" w:type="dxa"/>
            <w:tcBorders>
              <w:top w:val="single" w:sz="4" w:space="0" w:color="auto"/>
              <w:left w:val="single" w:sz="4" w:space="0" w:color="auto"/>
              <w:bottom w:val="single" w:sz="4" w:space="0" w:color="auto"/>
              <w:right w:val="single" w:sz="4" w:space="0" w:color="auto"/>
            </w:tcBorders>
            <w:vAlign w:val="center"/>
            <w:hideMark/>
          </w:tcPr>
          <w:p w14:paraId="72C5F9D6" w14:textId="77777777" w:rsidR="00D22CE3" w:rsidRPr="00F10391" w:rsidRDefault="00D22CE3" w:rsidP="00E156D5">
            <w:pPr>
              <w:jc w:val="left"/>
              <w:rPr>
                <w:lang w:eastAsia="en-US"/>
              </w:rPr>
            </w:pPr>
            <w:r w:rsidRPr="00F10391">
              <w:rPr>
                <w:lang w:eastAsia="en-US"/>
              </w:rPr>
              <w:t>May-14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00E72B7" w14:textId="77777777" w:rsidR="00D22CE3" w:rsidRPr="00F10391" w:rsidRDefault="00D22CE3" w:rsidP="00E156D5">
            <w:pPr>
              <w:jc w:val="left"/>
              <w:rPr>
                <w:lang w:eastAsia="en-US"/>
              </w:rPr>
            </w:pPr>
            <w:r w:rsidRPr="00F10391">
              <w:rPr>
                <w:lang w:eastAsia="en-US"/>
              </w:rPr>
              <w:t>PDG</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3A694" w14:textId="77777777" w:rsidR="00D22CE3" w:rsidRPr="00F10391" w:rsidRDefault="00D22CE3" w:rsidP="00E156D5">
            <w:pPr>
              <w:jc w:val="left"/>
              <w:rPr>
                <w:lang w:eastAsia="en-US"/>
              </w:rPr>
            </w:pPr>
            <w:r w:rsidRPr="00F10391">
              <w:rPr>
                <w:lang w:eastAsia="en-US"/>
              </w:rPr>
              <w:t xml:space="preserve">CUA/CEA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52A5C45" w14:textId="77777777" w:rsidR="00D22CE3" w:rsidRPr="00F10391" w:rsidRDefault="00D22CE3" w:rsidP="00E156D5">
            <w:pPr>
              <w:jc w:val="left"/>
              <w:rPr>
                <w:lang w:eastAsia="en-US"/>
              </w:rPr>
            </w:pPr>
            <w:r w:rsidRPr="00F10391">
              <w:rPr>
                <w:lang w:eastAsia="en-US"/>
              </w:rPr>
              <w:t>NHS &amp; PSS</w:t>
            </w:r>
          </w:p>
        </w:tc>
      </w:tr>
      <w:tr w:rsidR="00D22CE3" w:rsidRPr="00F10391" w14:paraId="461446E9" w14:textId="77777777" w:rsidTr="0063065F">
        <w:trPr>
          <w:trHeight w:val="851"/>
        </w:trPr>
        <w:tc>
          <w:tcPr>
            <w:tcW w:w="0" w:type="auto"/>
            <w:tcBorders>
              <w:top w:val="single" w:sz="4" w:space="0" w:color="auto"/>
              <w:left w:val="single" w:sz="4" w:space="0" w:color="auto"/>
              <w:bottom w:val="single" w:sz="4" w:space="0" w:color="auto"/>
              <w:right w:val="single" w:sz="4" w:space="0" w:color="auto"/>
            </w:tcBorders>
            <w:vAlign w:val="center"/>
            <w:hideMark/>
          </w:tcPr>
          <w:p w14:paraId="416502D8" w14:textId="77777777" w:rsidR="00D22CE3" w:rsidRPr="00F10391" w:rsidRDefault="00D22CE3" w:rsidP="00E156D5">
            <w:pPr>
              <w:jc w:val="left"/>
              <w:rPr>
                <w:lang w:eastAsia="en-US"/>
              </w:rPr>
            </w:pPr>
            <w:r w:rsidRPr="00F10391">
              <w:rPr>
                <w:lang w:eastAsia="en-US"/>
              </w:rPr>
              <w:t>PH54</w:t>
            </w:r>
          </w:p>
        </w:tc>
        <w:tc>
          <w:tcPr>
            <w:tcW w:w="3504" w:type="dxa"/>
            <w:tcBorders>
              <w:top w:val="single" w:sz="4" w:space="0" w:color="auto"/>
              <w:left w:val="single" w:sz="4" w:space="0" w:color="auto"/>
              <w:bottom w:val="single" w:sz="4" w:space="0" w:color="auto"/>
              <w:right w:val="single" w:sz="4" w:space="0" w:color="auto"/>
            </w:tcBorders>
            <w:vAlign w:val="center"/>
            <w:hideMark/>
          </w:tcPr>
          <w:p w14:paraId="5B2AE1AC" w14:textId="77777777" w:rsidR="00D22CE3" w:rsidRPr="00F10391" w:rsidRDefault="00D22CE3" w:rsidP="00E156D5">
            <w:pPr>
              <w:jc w:val="left"/>
              <w:rPr>
                <w:lang w:eastAsia="en-US"/>
              </w:rPr>
            </w:pPr>
            <w:r w:rsidRPr="00F10391">
              <w:rPr>
                <w:lang w:eastAsia="en-US"/>
              </w:rPr>
              <w:t>Exercise referral schemes to promote physical activity</w:t>
            </w:r>
          </w:p>
        </w:tc>
        <w:tc>
          <w:tcPr>
            <w:tcW w:w="923" w:type="dxa"/>
            <w:tcBorders>
              <w:top w:val="single" w:sz="4" w:space="0" w:color="auto"/>
              <w:left w:val="single" w:sz="4" w:space="0" w:color="auto"/>
              <w:bottom w:val="single" w:sz="4" w:space="0" w:color="auto"/>
              <w:right w:val="single" w:sz="4" w:space="0" w:color="auto"/>
            </w:tcBorders>
            <w:vAlign w:val="center"/>
            <w:hideMark/>
          </w:tcPr>
          <w:p w14:paraId="17206F16" w14:textId="77777777" w:rsidR="00D22CE3" w:rsidRPr="00F10391" w:rsidRDefault="00D22CE3" w:rsidP="00E156D5">
            <w:pPr>
              <w:jc w:val="left"/>
              <w:rPr>
                <w:lang w:eastAsia="en-US"/>
              </w:rPr>
            </w:pPr>
            <w:r w:rsidRPr="00F10391">
              <w:rPr>
                <w:lang w:eastAsia="en-US"/>
              </w:rPr>
              <w:t>Sep-14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24C2C" w14:textId="77777777" w:rsidR="00D22CE3" w:rsidRPr="00F10391" w:rsidRDefault="00D22CE3" w:rsidP="00E156D5">
            <w:pPr>
              <w:jc w:val="left"/>
              <w:rPr>
                <w:lang w:eastAsia="en-US"/>
              </w:rPr>
            </w:pPr>
            <w:r w:rsidRPr="00F10391">
              <w:rPr>
                <w:lang w:eastAsia="en-US"/>
              </w:rPr>
              <w:t>PHAC</w:t>
            </w:r>
          </w:p>
        </w:tc>
        <w:tc>
          <w:tcPr>
            <w:tcW w:w="0" w:type="auto"/>
            <w:tcBorders>
              <w:top w:val="single" w:sz="4" w:space="0" w:color="auto"/>
              <w:left w:val="single" w:sz="4" w:space="0" w:color="auto"/>
              <w:bottom w:val="single" w:sz="4" w:space="0" w:color="auto"/>
              <w:right w:val="single" w:sz="4" w:space="0" w:color="auto"/>
            </w:tcBorders>
            <w:vAlign w:val="center"/>
            <w:hideMark/>
          </w:tcPr>
          <w:p w14:paraId="3A412221" w14:textId="77777777" w:rsidR="00D22CE3" w:rsidRPr="00F10391" w:rsidRDefault="00D22CE3" w:rsidP="00E156D5">
            <w:pPr>
              <w:jc w:val="left"/>
              <w:rPr>
                <w:lang w:eastAsia="en-US"/>
              </w:rPr>
            </w:pPr>
            <w:r w:rsidRPr="00F10391">
              <w:rPr>
                <w:lang w:eastAsia="en-US"/>
              </w:rPr>
              <w:t>CUA</w:t>
            </w:r>
          </w:p>
        </w:tc>
        <w:tc>
          <w:tcPr>
            <w:tcW w:w="1640" w:type="dxa"/>
            <w:tcBorders>
              <w:top w:val="single" w:sz="4" w:space="0" w:color="auto"/>
              <w:left w:val="single" w:sz="4" w:space="0" w:color="auto"/>
              <w:bottom w:val="single" w:sz="4" w:space="0" w:color="auto"/>
              <w:right w:val="single" w:sz="4" w:space="0" w:color="auto"/>
            </w:tcBorders>
            <w:vAlign w:val="center"/>
            <w:hideMark/>
          </w:tcPr>
          <w:p w14:paraId="6FC72646" w14:textId="77777777" w:rsidR="00D22CE3" w:rsidRPr="00F10391" w:rsidRDefault="00D22CE3" w:rsidP="00E156D5">
            <w:pPr>
              <w:jc w:val="left"/>
              <w:rPr>
                <w:lang w:eastAsia="en-US"/>
              </w:rPr>
            </w:pPr>
            <w:r w:rsidRPr="00F10391">
              <w:rPr>
                <w:lang w:eastAsia="en-US"/>
              </w:rPr>
              <w:t>NHS &amp; PSS</w:t>
            </w:r>
          </w:p>
        </w:tc>
      </w:tr>
    </w:tbl>
    <w:p w14:paraId="12F13FAD" w14:textId="77777777" w:rsidR="00D22CE3" w:rsidRPr="00F10391" w:rsidRDefault="00D22CE3" w:rsidP="00494A9A"/>
    <w:p w14:paraId="4C2479F5" w14:textId="77777777" w:rsidR="00D22CE3" w:rsidRPr="00F10391" w:rsidRDefault="00D22CE3" w:rsidP="0063065F">
      <w:r w:rsidRPr="00F10391">
        <w:br w:type="page"/>
      </w:r>
    </w:p>
    <w:p w14:paraId="2E6788FE" w14:textId="77777777" w:rsidR="00D22CE3" w:rsidRPr="00F10391" w:rsidRDefault="00D22CE3" w:rsidP="00494A9A">
      <w:r w:rsidRPr="00F10391">
        <w:lastRenderedPageBreak/>
        <w:t xml:space="preserve">Excluding approaches that did not use any economic methodology or used a hypothetical approach, 58 individual economic evaluations were carried out, across 41 topics (including one guidance topic which supplanted an earlier version, while incorporating the earlier economic modelling report as part of this). In total, an NHS and PSS perspective was the most common perspective used, on 28 occasions (though PSS generally appears to have had little or no impact). A public sector approach was used on only 15 occasions, despite this being nominally prescribed by the reference case. A societal approach was used on 11 occasions and an employer perspective 4 times. The 13 topics that did not include a model naturally used no perspective. </w:t>
      </w:r>
    </w:p>
    <w:p w14:paraId="54FF3BB5" w14:textId="77777777" w:rsidR="00D22CE3" w:rsidRPr="00F10391" w:rsidRDefault="00D22CE3" w:rsidP="00494A9A">
      <w:r w:rsidRPr="00F10391">
        <w:t xml:space="preserve">Of the studies that ultimately used CBA or CCA before the 2012 guidance elevated their role, all except one are concerned with the related areas of travel or physical activity. As CBA is widely used in transport planning, this result is not surprising. The remaining study, relating to preventing harmful drinking (PH24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arguably contains both a pseudo-CCA approach – listing a range of likely outcomes of each potential intervention in their natural units – and a “valuation of harms analysis” which bears a striking resemblance to CBA, which is further discussed later. </w:t>
      </w:r>
    </w:p>
    <w:p w14:paraId="5EA27AE0" w14:textId="77777777" w:rsidR="00D22CE3" w:rsidRPr="00F10391" w:rsidRDefault="00D22CE3" w:rsidP="00490B5D">
      <w:r w:rsidRPr="00F10391">
        <w:t>Workplace interventions have in the past used net financial benefit for an employer’s perspective arising from increased productivity and reduced absenteeism (PH5</w:t>
      </w:r>
      <w:r w:rsidRPr="00F10391">
        <w:fldChar w:fldCharType="begin"/>
      </w:r>
      <w:r w:rsidR="00700267">
        <w:instrText xml:space="preserve"> ADDIN EN.CITE &lt;EndNote&gt;&lt;Cite&gt;&lt;Author&gt;NICE&lt;/Author&gt;&lt;Year&gt;2007&lt;/Year&gt;&lt;RecNum&gt;203&lt;/RecNum&gt;&lt;DisplayText&gt;[265]&lt;/DisplayText&gt;&lt;record&gt;&lt;rec-number&gt;203&lt;/rec-number&gt;&lt;foreign-keys&gt;&lt;key app="EN" db-id="sz9092dv2s5fpze9wpgx0zxgv5ar00aezrvf" timestamp="0"&gt;203&lt;/key&gt;&lt;/foreign-keys&gt;&lt;ref-type name="Report"&gt;27&lt;/ref-type&gt;&lt;contributors&gt;&lt;authors&gt;&lt;author&gt;NICE&lt;/author&gt;&lt;/authors&gt;&lt;/contributors&gt;&lt;titles&gt;&lt;title&gt;Workplace interventions to promote smoking cessation&lt;/title&gt;&lt;secondary-title&gt;PH5&lt;/secondary-title&gt;&lt;/titles&gt;&lt;dates&gt;&lt;year&gt;2007&lt;/year&gt;&lt;/dates&gt;&lt;pub-location&gt;London&lt;/pub-location&gt;&lt;publisher&gt;National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[265]</w:t>
      </w:r>
      <w:r w:rsidRPr="00F10391">
        <w:fldChar w:fldCharType="end"/>
      </w:r>
      <w:r w:rsidRPr="00F10391">
        <w:t xml:space="preserve">, PH19 </w:t>
      </w:r>
      <w:r w:rsidRPr="00F10391">
        <w:fldChar w:fldCharType="begin"/>
      </w:r>
      <w:r w:rsidR="00700267">
        <w:instrText xml:space="preserve"> ADDIN EN.CITE &lt;EndNote&gt;&lt;Cite&gt;&lt;Author&gt;NICE&lt;/Author&gt;&lt;Year&gt;2009&lt;/Year&gt;&lt;RecNum&gt;217&lt;/RecNum&gt;&lt;DisplayText&gt;[285]&lt;/DisplayText&gt;&lt;record&gt;&lt;rec-number&gt;217&lt;/rec-number&gt;&lt;foreign-keys&gt;&lt;key app="EN" db-id="sz9092dv2s5fpze9wpgx0zxgv5ar00aezrvf" timestamp="0"&gt;217&lt;/key&gt;&lt;/foreign-keys&gt;&lt;ref-type name="Report"&gt;27&lt;/ref-type&gt;&lt;contributors&gt;&lt;authors&gt;&lt;author&gt;NICE&lt;/author&gt;&lt;/authors&gt;&lt;/contributors&gt;&lt;titles&gt;&lt;title&gt;Managing long-term sickness and incapacity for work&lt;/title&gt;&lt;secondary-title&gt;PH19&lt;/secondary-title&gt;&lt;/titles&gt;&lt;dates&gt;&lt;year&gt;2009&lt;/year&gt;&lt;/dates&gt;&lt;pub-location&gt;London&lt;/pub-location&gt;&lt;publisher&gt;National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[285]</w:t>
      </w:r>
      <w:r w:rsidRPr="00F10391">
        <w:fldChar w:fldCharType="end"/>
      </w:r>
      <w:r w:rsidRPr="00F10391">
        <w:t xml:space="preserve">). CBA and CCA as a rule use societal approaches, further broadening the scope by which to judge interventions, allowing for the inclusion of environmental effects and reduced traffic congestion (PH41 </w:t>
      </w:r>
      <w:r w:rsidRPr="00F10391">
        <w:fldChar w:fldCharType="begin"/>
      </w:r>
      <w:r w:rsidR="00700267">
        <w:instrText xml:space="preserve"> ADDIN EN.CITE &lt;EndNote&gt;&lt;Cite&gt;&lt;Author&gt;NICE&lt;/Author&gt;&lt;Year&gt;2012&lt;/Year&gt;&lt;RecNum&gt;239&lt;/RecNum&gt;&lt;DisplayText&gt;[191]&lt;/DisplayText&gt;&lt;record&gt;&lt;rec-number&gt;239&lt;/rec-number&gt;&lt;foreign-keys&gt;&lt;key app="EN" db-id="sz9092dv2s5fpze9wpgx0zxgv5ar00aezrvf" timestamp="0"&gt;239&lt;/key&gt;&lt;/foreign-keys&gt;&lt;ref-type name="Report"&gt;27&lt;/ref-type&gt;&lt;contributors&gt;&lt;authors&gt;&lt;author&gt;NICE&lt;/author&gt;&lt;/authors&gt;&lt;/contributors&gt;&lt;titles&gt;&lt;title&gt;Walking and cycling: local measures to promote walking and cycling as forms of travel or recreation&lt;/title&gt;&lt;secondary-title&gt;PH41&lt;/secondary-title&gt;&lt;/titles&gt;&lt;dates&gt;&lt;year&gt;2012&lt;/year&gt;&lt;/dates&gt;&lt;pub-location&gt;London&lt;/pub-location&gt;&lt;publisher&gt;National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[191]</w:t>
      </w:r>
      <w:r w:rsidRPr="00F10391">
        <w:fldChar w:fldCharType="end"/>
      </w:r>
      <w:r w:rsidRPr="00F10391">
        <w:t xml:space="preserve">) reduced travel time and increased comfort (PH8 </w:t>
      </w:r>
      <w:r w:rsidRPr="00F10391">
        <w:fldChar w:fldCharType="begin"/>
      </w:r>
      <w:r w:rsidR="00700267">
        <w:instrText xml:space="preserve"> ADDIN EN.CITE &lt;EndNote&gt;&lt;Cite&gt;&lt;Author&gt;NICE&lt;/Author&gt;&lt;Year&gt;2008&lt;/Year&gt;&lt;RecNum&gt;206&lt;/RecNum&gt;&lt;DisplayText&gt;[274]&lt;/DisplayText&gt;&lt;record&gt;&lt;rec-number&gt;206&lt;/rec-number&gt;&lt;foreign-keys&gt;&lt;key app="EN" db-id="sz9092dv2s5fpze9wpgx0zxgv5ar00aezrvf" timestamp="0"&gt;206&lt;/key&gt;&lt;/foreign-keys&gt;&lt;ref-type name="Report"&gt;27&lt;/ref-type&gt;&lt;contributors&gt;&lt;authors&gt;&lt;author&gt;NICE&lt;/author&gt;&lt;/authors&gt;&lt;/contributors&gt;&lt;titles&gt;&lt;title&gt;Physical activity and the environment&lt;/title&gt;&lt;secondary-title&gt;PH8&lt;/secondary-title&gt;&lt;/titles&gt;&lt;dates&gt;&lt;year&gt;2008&lt;/year&gt;&lt;/dates&gt;&lt;pub-location&gt;London&lt;/pub-location&gt;&lt;publisher&gt;National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[274]</w:t>
      </w:r>
      <w:r w:rsidRPr="00F10391">
        <w:fldChar w:fldCharType="end"/>
      </w:r>
      <w:r w:rsidRPr="00F10391">
        <w:t xml:space="preserve">), estimates of impact upon the economy (PH24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and woollier concepts around “human costs” (PH31 </w:t>
      </w:r>
      <w:r w:rsidRPr="00F10391">
        <w:fldChar w:fldCharType="begin"/>
      </w:r>
      <w:r w:rsidR="00700267">
        <w:instrText xml:space="preserve"> ADDIN EN.CITE &lt;EndNote&gt;&lt;Cite&gt;&lt;Author&gt;NICE&lt;/Author&gt;&lt;Year&gt;2010&lt;/Year&gt;&lt;RecNum&gt;229&lt;/RecNum&gt;&lt;DisplayText&gt;[295]&lt;/DisplayText&gt;&lt;record&gt;&lt;rec-number&gt;229&lt;/rec-number&gt;&lt;foreign-keys&gt;&lt;key app="EN" db-id="sz9092dv2s5fpze9wpgx0zxgv5ar00aezrvf" timestamp="0"&gt;229&lt;/key&gt;&lt;/foreign-keys&gt;&lt;ref-type name="Report"&gt;27&lt;/ref-type&gt;&lt;contributors&gt;&lt;authors&gt;&lt;author&gt;NICE&lt;/author&gt;&lt;/authors&gt;&lt;/contributors&gt;&lt;titles&gt;&lt;title&gt;Preventing unintentional road injuries among under-15s&lt;/title&gt;&lt;secondary-title&gt;PH31&lt;/secondary-title&gt;&lt;/titles&gt;&lt;dates&gt;&lt;year&gt;2010&lt;/year&gt;&lt;/dates&gt;&lt;pub-location&gt;London&lt;/pub-location&gt;&lt;publisher&gt;National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[295]</w:t>
      </w:r>
      <w:r w:rsidRPr="00F10391">
        <w:fldChar w:fldCharType="end"/>
      </w:r>
      <w:r w:rsidRPr="00F10391">
        <w:t>).</w:t>
      </w:r>
    </w:p>
    <w:p w14:paraId="1A50C156" w14:textId="2118E6B8" w:rsidR="00D22CE3" w:rsidRPr="00F10391" w:rsidRDefault="00D22CE3" w:rsidP="00490B5D">
      <w:r w:rsidRPr="00F10391">
        <w:t xml:space="preserve">There are a series of </w:t>
      </w:r>
      <w:r w:rsidR="001B7ADD">
        <w:t>judgment</w:t>
      </w:r>
      <w:r w:rsidRPr="00F10391">
        <w:t xml:space="preserve">s to be made regarding what is relevant in cost-effectiveness modelling, though broadly speaking the NICE protocol is to include </w:t>
      </w:r>
      <w:r w:rsidRPr="00F10391">
        <w:rPr>
          <w:i/>
        </w:rPr>
        <w:t>all</w:t>
      </w:r>
      <w:r w:rsidRPr="00F10391">
        <w:t xml:space="preserve"> relevant factors.</w:t>
      </w:r>
    </w:p>
    <w:p w14:paraId="2715D18B" w14:textId="2B0D179C" w:rsidR="00D22CE3" w:rsidRPr="00F10391" w:rsidRDefault="00D22CE3" w:rsidP="006942ED">
      <w:pPr>
        <w:ind w:left="720"/>
      </w:pPr>
      <w:r w:rsidRPr="00F10391">
        <w:t xml:space="preserve">“The inputs to the model will be all those necessary to derive both the QALY and cost differences. The QALY differences include overall survival, the time in several different health states, and the valuation of those states on a ‘utility’ scale. The cost differences include not only the acquisition costs of the product but administrative costs (such as the requirements for hospital admission, the input from nursing or other healthcare staff) as well as additional costs of monitoring the response and the costs of treating adverse effects. These inputs are subject to considerable uncertainty both qualitatively and quantitatively”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Cite&gt;&lt;Author&gt;Rawlins&lt;/Author&gt;&lt;Year&gt;2010&lt;/Year&gt;&lt;RecNum&gt;117&lt;/RecNum&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w:instrText>
      </w:r>
      <w:r w:rsidR="00700267">
        <w:rPr>
          <w:rFonts w:hint="eastAsia"/>
        </w:rPr>
        <w:instrText>ibutors&gt;&lt;titles&gt;&lt;title&gt;Pharmacoeconomics: NICE&amp;apos;s approach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w:instrText>
      </w:r>
      <w:r w:rsidR="00700267">
        <w:instrText>&gt;&lt;/dates&gt;&lt;isbn&gt;1365-2125&lt;/isbn&gt;&lt;urls&gt;&lt;related-urls&gt;&lt;url&gt;http://www.ncbi.nlm.nih.gov/pmc/articles/PMC2949905/pdf/bcp0070-0346.pdf&lt;/url&gt;&lt;/related-urls&gt;&lt;/urls&gt;&lt;/record&gt;&lt;/Cite&gt;&lt;/EndNote&gt;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w:t>
      </w:r>
      <w:r w:rsidR="008533CC">
        <w:t>p.</w:t>
      </w:r>
      <w:r w:rsidRPr="00F10391">
        <w:t>347)</w:t>
      </w:r>
      <w:r w:rsidR="0006231D">
        <w:t>.</w:t>
      </w:r>
    </w:p>
    <w:p w14:paraId="0B14780C" w14:textId="7400041C" w:rsidR="00D22CE3" w:rsidRPr="00F10391" w:rsidRDefault="00D22CE3" w:rsidP="00494A9A">
      <w:r w:rsidRPr="00F10391">
        <w:t xml:space="preserve">Because the assumptions used in building the model may not hold in practice, modellers need to be upfront about potential weaknesses and to employ sensitivity analyses to ensure findings are robust. As previously stated, because of the complex nature of public health interventions, there are unique challenges in applying these approaches to this sector and </w:t>
      </w:r>
      <w:r w:rsidR="001B7ADD">
        <w:t>judgment</w:t>
      </w:r>
      <w:r w:rsidRPr="00F10391">
        <w:t xml:space="preserve"> will naturally play a key role in interpreting the model’s findings. For example, one topic (PH39 </w:t>
      </w:r>
      <w:r w:rsidRPr="00F10391">
        <w:fldChar w:fldCharType="begin"/>
      </w:r>
      <w:r w:rsidR="00700267">
        <w:instrText xml:space="preserve"> ADDIN EN.CITE &lt;EndNote&gt;&lt;Cite&gt;&lt;Author&gt;NICE&lt;/Author&gt;&lt;Year&gt;2012&lt;/Year&gt;&lt;RecNum&gt;237&lt;/RecNum&gt;&lt;DisplayText&gt;[232]&lt;/DisplayText&gt;&lt;record&gt;&lt;rec-number&gt;237&lt;/rec-number&gt;&lt;foreign-keys&gt;&lt;key app="EN" db-id="sz9092dv2s5fpze9wpgx0zxgv5ar00aezrvf" timestamp="0"&gt;237&lt;/key&gt;&lt;/foreign-keys&gt;&lt;ref-type name="Report"&gt;27&lt;/ref-type&gt;&lt;contributors&gt;&lt;authors&gt;&lt;author&gt;NICE&lt;/author&gt;&lt;/authors&gt;&lt;/contributors&gt;&lt;titles&gt;&lt;title&gt;Smokeless tobacco cessation: South Asian communities&lt;/title&gt;&lt;secondary-title&gt;PH39&lt;/secondary-title&gt;&lt;/titles&gt;&lt;dates&gt;&lt;year&gt;2012&lt;/year&gt;&lt;/dates&gt;&lt;pub-location&gt;London&lt;/pub-location&gt;&lt;publisher&gt;National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[232]</w:t>
      </w:r>
      <w:r w:rsidRPr="00F10391">
        <w:fldChar w:fldCharType="end"/>
      </w:r>
      <w:r w:rsidRPr="00F10391">
        <w:t xml:space="preserve"> – </w:t>
      </w:r>
      <w:r w:rsidR="00112B4A">
        <w:t>whose</w:t>
      </w:r>
      <w:r w:rsidR="0051187B">
        <w:t xml:space="preserve"> economic modelling report</w:t>
      </w:r>
      <w:r w:rsidRPr="00F10391">
        <w:t xml:space="preserve"> contained the memorable proviso that “even the uncertainty is uncertain”</w:t>
      </w:r>
      <w:r w:rsidR="0051187B">
        <w:t xml:space="preserve"> (p.8)</w:t>
      </w:r>
      <w:r w:rsidRPr="00F10391">
        <w:t xml:space="preserve">) attempted to use a Markov model to estimate the prevalence and survival rate of various conditions arising from use of smokeless tobacco amongst South Asian communities. Due to a lack of data, particularly on the costs of interventions, the predicted cost-effectiveness of the intervention was felt to be extremely uncertain. As such, </w:t>
      </w:r>
      <w:r w:rsidRPr="00F10391">
        <w:lastRenderedPageBreak/>
        <w:t xml:space="preserve">the authors aimed only to highlight this issue and encourage decision-makers to exercise their </w:t>
      </w:r>
      <w:r w:rsidR="001B7ADD">
        <w:t>judgment</w:t>
      </w:r>
      <w:r w:rsidRPr="00F10391">
        <w:t xml:space="preserve"> in making conclusions from the report’s findings.</w:t>
      </w:r>
    </w:p>
    <w:p w14:paraId="2B4E20D4" w14:textId="0F369437" w:rsidR="00D22CE3" w:rsidRPr="00F10391" w:rsidRDefault="00D22CE3">
      <w:pPr>
        <w:ind w:left="720"/>
      </w:pPr>
      <w:r w:rsidRPr="00F10391">
        <w:t xml:space="preserve">“Naturally, one has to weigh these figures with one’s own assessments of where the base line estimates have been too optimistic or too conservative. The analysis presented here offers a starting point to guide one’s assessment. The data limitations are too severe to offer anything else” </w:t>
      </w:r>
      <w:r w:rsidRPr="00F10391">
        <w:fldChar w:fldCharType="begin"/>
      </w:r>
      <w:r w:rsidR="00700267">
        <w:instrText xml:space="preserve"> ADDIN EN.CITE &lt;EndNote&gt;&lt;Cite&gt;&lt;Author&gt;NICE&lt;/Author&gt;&lt;Year&gt;2012&lt;/Year&gt;&lt;RecNum&gt;237&lt;/RecNum&gt;&lt;DisplayText&gt;[232]&lt;/DisplayText&gt;&lt;record&gt;&lt;rec-number&gt;237&lt;/rec-number&gt;&lt;foreign-keys&gt;&lt;key app="EN" db-id="sz9092dv2s5fpze9wpgx0zxgv5ar00aezrvf" timestamp="0"&gt;237&lt;/key&gt;&lt;/foreign-keys&gt;&lt;ref-type name="Report"&gt;27&lt;/ref-type&gt;&lt;contributors&gt;&lt;authors&gt;&lt;author&gt;NICE&lt;/author&gt;&lt;/authors&gt;&lt;/contributors&gt;&lt;titles&gt;&lt;title&gt;Smokeless tobacco cessation: South Asian communities&lt;/title&gt;&lt;secondary-title&gt;PH39&lt;/secondary-title&gt;&lt;/titles&gt;&lt;dates&gt;&lt;year&gt;2012&lt;/year&gt;&lt;/dates&gt;&lt;pub-location&gt;London&lt;/pub-location&gt;&lt;publisher&gt;National Institute for Health and Care Excellence&lt;/publisher&gt;&lt;urls&gt;&lt;/urls&gt;&lt;/record&gt;&lt;/Cite&gt;&lt;Cite&gt;&lt;Author&gt;NICE&lt;/Author&gt;&lt;Year&gt;2012&lt;/Year&gt;&lt;RecNum&gt;237&lt;/RecNum&gt;&lt;record&gt;&lt;rec-number&gt;237&lt;/rec-number&gt;&lt;foreign-keys&gt;&lt;key app="EN" db-id="sz9092dv2s5fpze9wpgx0zxgv5ar00aezrvf" timestamp="0"&gt;237&lt;/key&gt;&lt;/foreign-keys&gt;&lt;ref-type name="Report"&gt;27&lt;/ref-type&gt;&lt;contributors&gt;&lt;authors&gt;&lt;author&gt;NICE&lt;/author&gt;&lt;/authors&gt;&lt;/contributors&gt;&lt;titles&gt;&lt;title&gt;Smokeless tobacco cessation: South Asian communities&lt;/title&gt;&lt;secondary-title&gt;PH39&lt;/secondary-title&gt;&lt;/titles&gt;&lt;dates&gt;&lt;year&gt;2012&lt;/year&gt;&lt;/dates&gt;&lt;pub-location&gt;London&lt;/pub-location&gt;&lt;publisher&gt;National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[232]</w:t>
      </w:r>
      <w:r w:rsidRPr="00F10391">
        <w:fldChar w:fldCharType="end"/>
      </w:r>
      <w:r w:rsidRPr="00F10391">
        <w:t xml:space="preserve"> (</w:t>
      </w:r>
      <w:r w:rsidR="008533CC">
        <w:t>p.</w:t>
      </w:r>
      <w:r w:rsidRPr="00F10391">
        <w:t>8)</w:t>
      </w:r>
      <w:r w:rsidR="00112B4A">
        <w:t>.</w:t>
      </w:r>
    </w:p>
    <w:p w14:paraId="6F4E2EE4" w14:textId="77777777" w:rsidR="00D22CE3" w:rsidRPr="00F10391" w:rsidRDefault="00D22CE3" w:rsidP="00494A9A">
      <w:r w:rsidRPr="00F10391">
        <w:t xml:space="preserve">In some cases, modelling may not have been used from the start because the evidence was already clear, or otherwise that such an approach would be unlikely to lead to meaningful results. On two other occasions, principles of economic modelling were employed to generate whatever insights were possible, though it was known in advance that full implementation of a model would be unsuitable. </w:t>
      </w:r>
    </w:p>
    <w:p w14:paraId="2569E4C7" w14:textId="77777777" w:rsidR="00D22CE3" w:rsidRPr="00F10391" w:rsidRDefault="00D22CE3" w:rsidP="00494A9A">
      <w:pPr>
        <w:pStyle w:val="ListParagraph"/>
        <w:numPr>
          <w:ilvl w:val="0"/>
          <w:numId w:val="19"/>
        </w:numPr>
      </w:pPr>
      <w:r w:rsidRPr="00F10391">
        <w:t xml:space="preserve">Not only were very few studies available examining the costs and benefits of community engagement programmes (PH9 </w:t>
      </w:r>
      <w:r w:rsidRPr="00F10391">
        <w:fldChar w:fldCharType="begin"/>
      </w:r>
      <w:r w:rsidR="00700267">
        <w:instrText xml:space="preserve"> ADDIN EN.CITE &lt;EndNote&gt;&lt;Cite&gt;&lt;Author&gt;NICE&lt;/Author&gt;&lt;Year&gt;2008&lt;/Year&gt;&lt;RecNum&gt;207&lt;/RecNum&gt;&lt;DisplayText&gt;[221]&lt;/DisplayText&gt;&lt;record&gt;&lt;rec-number&gt;207&lt;/rec-number&gt;&lt;foreign-keys&gt;&lt;key app="EN" db-id="sz9092dv2s5fpze9wpgx0zxgv5ar00aezrvf" timestamp="0"&gt;207&lt;/key&gt;&lt;/foreign-keys&gt;&lt;ref-type name="Report"&gt;27&lt;/ref-type&gt;&lt;contributors&gt;&lt;authors&gt;&lt;author&gt;NICE&lt;/author&gt;&lt;/authors&gt;&lt;/contributors&gt;&lt;titles&gt;&lt;title&gt;Community engagement&lt;/title&gt;&lt;secondary-title&gt;PH9&lt;/secondary-title&gt;&lt;/titles&gt;&lt;dates&gt;&lt;year&gt;2008&lt;/year&gt;&lt;/dates&gt;&lt;pub-location&gt;London&lt;/pub-location&gt;&lt;publisher&gt;National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[221]</w:t>
      </w:r>
      <w:r w:rsidRPr="00F10391">
        <w:fldChar w:fldCharType="end"/>
      </w:r>
      <w:r w:rsidRPr="00F10391">
        <w:t xml:space="preserve">), but defining precisely what constitutes such an intervention was deemed effectively impossible. These difficulties were tied up with issues regarding how to quantify concepts felt to be universal goods, such as democracy, empowerment and social capital. </w:t>
      </w:r>
    </w:p>
    <w:p w14:paraId="6A7A7B2F" w14:textId="77777777" w:rsidR="00D22CE3" w:rsidRPr="00F10391" w:rsidRDefault="00D22CE3" w:rsidP="00490B5D">
      <w:pPr>
        <w:pStyle w:val="ListParagraph"/>
        <w:numPr>
          <w:ilvl w:val="0"/>
          <w:numId w:val="19"/>
        </w:numPr>
      </w:pPr>
      <w:r w:rsidRPr="00F10391">
        <w:t xml:space="preserve">The </w:t>
      </w:r>
      <w:r w:rsidRPr="00F10391">
        <w:rPr>
          <w:i/>
        </w:rPr>
        <w:t>Obesity – working with local communities project</w:t>
      </w:r>
      <w:r w:rsidRPr="00F10391">
        <w:t xml:space="preserve"> (PH42 </w:t>
      </w:r>
      <w:r w:rsidRPr="00F10391">
        <w:fldChar w:fldCharType="begin"/>
      </w:r>
      <w:r w:rsidR="00700267">
        <w:instrText xml:space="preserve"> ADDIN EN.CITE &lt;EndNote&gt;&lt;Cite&gt;&lt;Author&gt;NICE&lt;/Author&gt;&lt;Year&gt;2012&lt;/Year&gt;&lt;RecNum&gt;240&lt;/RecNum&gt;&lt;DisplayText&gt;[192]&lt;/DisplayText&gt;&lt;record&gt;&lt;rec-number&gt;240&lt;/rec-number&gt;&lt;foreign-keys&gt;&lt;key app="EN" db-id="sz9092dv2s5fpze9wpgx0zxgv5ar00aezrvf" timestamp="0"&gt;240&lt;/key&gt;&lt;/foreign-keys&gt;&lt;ref-type name="Report"&gt;27&lt;/ref-type&gt;&lt;contributors&gt;&lt;authors&gt;&lt;author&gt;NICE&lt;/author&gt;&lt;/authors&gt;&lt;/contributors&gt;&lt;titles&gt;&lt;title&gt;Obesity: working with local communities&lt;/title&gt;&lt;secondary-title&gt;PH42&lt;/secondary-title&gt;&lt;/titles&gt;&lt;dates&gt;&lt;year&gt;2012&lt;/year&gt;&lt;/dates&gt;&lt;pub-location&gt;London&lt;/pub-location&gt;&lt;publisher&gt;National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[192]</w:t>
      </w:r>
      <w:r w:rsidRPr="00F10391">
        <w:fldChar w:fldCharType="end"/>
      </w:r>
      <w:r w:rsidRPr="00F10391">
        <w:t>) employed economic modelling to investigate “partnership working to reduce obesity”. This attempted to describe the decision problem from a costs perspective, while maintaining that there exists no worthwhile comparator by which to judge cost-effectiveness and that such benefits would be too difficult to measure even if such a comparator could be found.</w:t>
      </w:r>
    </w:p>
    <w:p w14:paraId="77D4B28E" w14:textId="77777777" w:rsidR="00D22CE3" w:rsidRPr="00F10391" w:rsidRDefault="00D22CE3" w:rsidP="00490B5D">
      <w:r w:rsidRPr="00F10391">
        <w:t xml:space="preserve">While CUA models applied to NHS and PSS settings are generally relatively simple to interpret, other approaches using a broader perspective or differing methodologies require more nuance and careful consideration (and ultimately trade-offs). These topics and the criteria considered as part of the modelling are shown below in Table 5.2. Non-health benefits arising from interventions pose further challenges to decision-makers, and it is not immediately clear how best to incorporate these. The complex negotiations around inter-sectoral effects could occupy several other theses, and are well beyond the scope of this chapter. But it is worth reiterating that choosing to ignore such non-health factors is in itself a decision, and a rather nihilistic one at that. MCDA, as a decision analytical tool for structuring such decisions, could on the face of it play a very useful role in future in balancing such trade-offs if required. </w:t>
      </w:r>
    </w:p>
    <w:p w14:paraId="35D2F4C9" w14:textId="77777777" w:rsidR="00D22CE3" w:rsidRPr="00F10391" w:rsidRDefault="00D22CE3" w:rsidP="0063065F">
      <w:r w:rsidRPr="00F10391">
        <w:br w:type="page"/>
      </w:r>
    </w:p>
    <w:p w14:paraId="79059EF4" w14:textId="1340CE9E" w:rsidR="00D22CE3" w:rsidRPr="00F10391" w:rsidRDefault="00D22CE3" w:rsidP="00494A9A">
      <w:pPr>
        <w:pStyle w:val="Caption"/>
      </w:pPr>
      <w:bookmarkStart w:id="536" w:name="_Toc444180795"/>
      <w:bookmarkStart w:id="537" w:name="_Toc283984220"/>
      <w:bookmarkStart w:id="538" w:name="_Toc476241431"/>
      <w:r w:rsidRPr="00F10391">
        <w:lastRenderedPageBreak/>
        <w:t>Table 5</w:t>
      </w:r>
      <w:r w:rsidR="000E04E1" w:rsidRPr="00F10391">
        <w:t>.</w:t>
      </w:r>
      <w:r w:rsidR="000F1034">
        <w:fldChar w:fldCharType="begin"/>
      </w:r>
      <w:r w:rsidR="000F1034">
        <w:instrText xml:space="preserve"> SEQ Table \* ARABIC \s 1 </w:instrText>
      </w:r>
      <w:r w:rsidR="000F1034">
        <w:fldChar w:fldCharType="separate"/>
      </w:r>
      <w:r w:rsidR="00B37229">
        <w:rPr>
          <w:noProof/>
        </w:rPr>
        <w:t>2</w:t>
      </w:r>
      <w:r w:rsidR="000F1034">
        <w:rPr>
          <w:noProof/>
        </w:rPr>
        <w:fldChar w:fldCharType="end"/>
      </w:r>
      <w:r w:rsidRPr="00F10391">
        <w:t xml:space="preserve"> – Health and non-health criteria considered for approaches that used perspectives outside of NHS and PSS</w:t>
      </w:r>
      <w:bookmarkEnd w:id="536"/>
      <w:bookmarkEnd w:id="537"/>
      <w:bookmarkEnd w:id="538"/>
      <w:r w:rsidRPr="00F10391">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733"/>
        <w:gridCol w:w="1514"/>
        <w:gridCol w:w="1365"/>
        <w:gridCol w:w="1727"/>
        <w:gridCol w:w="1872"/>
      </w:tblGrid>
      <w:tr w:rsidR="00D22CE3" w:rsidRPr="00E156D5" w14:paraId="73515F2F" w14:textId="77777777" w:rsidTr="00D22CE3">
        <w:trPr>
          <w:trHeight w:val="1134"/>
          <w:tblHeader/>
        </w:trPr>
        <w:tc>
          <w:tcPr>
            <w:tcW w:w="859" w:type="dxa"/>
            <w:tcBorders>
              <w:top w:val="single" w:sz="4" w:space="0" w:color="auto"/>
              <w:left w:val="single" w:sz="4" w:space="0" w:color="auto"/>
              <w:bottom w:val="single" w:sz="4" w:space="0" w:color="auto"/>
              <w:right w:val="single" w:sz="4" w:space="0" w:color="auto"/>
            </w:tcBorders>
            <w:hideMark/>
          </w:tcPr>
          <w:p w14:paraId="67AFF1F8" w14:textId="77777777" w:rsidR="00D22CE3" w:rsidRPr="0063065F" w:rsidRDefault="00D22CE3" w:rsidP="00E156D5">
            <w:pPr>
              <w:jc w:val="left"/>
              <w:rPr>
                <w:b/>
                <w:sz w:val="20"/>
                <w:szCs w:val="20"/>
                <w:lang w:eastAsia="en-US"/>
              </w:rPr>
            </w:pPr>
            <w:r w:rsidRPr="0063065F">
              <w:rPr>
                <w:b/>
                <w:sz w:val="20"/>
                <w:szCs w:val="20"/>
                <w:lang w:eastAsia="en-US"/>
              </w:rPr>
              <w:t>ID</w:t>
            </w:r>
          </w:p>
        </w:tc>
        <w:tc>
          <w:tcPr>
            <w:tcW w:w="1733" w:type="dxa"/>
            <w:tcBorders>
              <w:top w:val="single" w:sz="4" w:space="0" w:color="auto"/>
              <w:left w:val="single" w:sz="4" w:space="0" w:color="auto"/>
              <w:bottom w:val="single" w:sz="4" w:space="0" w:color="auto"/>
              <w:right w:val="single" w:sz="4" w:space="0" w:color="auto"/>
            </w:tcBorders>
            <w:hideMark/>
          </w:tcPr>
          <w:p w14:paraId="63E2B6B2" w14:textId="77777777" w:rsidR="00D22CE3" w:rsidRPr="0063065F" w:rsidRDefault="00D22CE3" w:rsidP="00E156D5">
            <w:pPr>
              <w:jc w:val="left"/>
              <w:rPr>
                <w:b/>
                <w:sz w:val="20"/>
                <w:szCs w:val="20"/>
                <w:lang w:eastAsia="en-US"/>
              </w:rPr>
            </w:pPr>
            <w:r w:rsidRPr="0063065F">
              <w:rPr>
                <w:b/>
                <w:sz w:val="20"/>
                <w:szCs w:val="20"/>
                <w:lang w:eastAsia="en-US"/>
              </w:rPr>
              <w:t>Title</w:t>
            </w:r>
          </w:p>
        </w:tc>
        <w:tc>
          <w:tcPr>
            <w:tcW w:w="1514" w:type="dxa"/>
            <w:tcBorders>
              <w:top w:val="single" w:sz="4" w:space="0" w:color="auto"/>
              <w:left w:val="single" w:sz="4" w:space="0" w:color="auto"/>
              <w:bottom w:val="single" w:sz="4" w:space="0" w:color="auto"/>
              <w:right w:val="single" w:sz="4" w:space="0" w:color="auto"/>
            </w:tcBorders>
            <w:hideMark/>
          </w:tcPr>
          <w:p w14:paraId="0B87B152" w14:textId="77777777" w:rsidR="00D22CE3" w:rsidRPr="0063065F" w:rsidRDefault="00D22CE3" w:rsidP="00E156D5">
            <w:pPr>
              <w:jc w:val="left"/>
              <w:rPr>
                <w:b/>
                <w:sz w:val="20"/>
                <w:szCs w:val="20"/>
                <w:lang w:eastAsia="en-US"/>
              </w:rPr>
            </w:pPr>
            <w:r w:rsidRPr="0063065F">
              <w:rPr>
                <w:b/>
                <w:sz w:val="20"/>
                <w:szCs w:val="20"/>
                <w:lang w:eastAsia="en-US"/>
              </w:rPr>
              <w:t>Methodology used</w:t>
            </w:r>
          </w:p>
        </w:tc>
        <w:tc>
          <w:tcPr>
            <w:tcW w:w="1365" w:type="dxa"/>
            <w:tcBorders>
              <w:top w:val="single" w:sz="4" w:space="0" w:color="auto"/>
              <w:left w:val="single" w:sz="4" w:space="0" w:color="auto"/>
              <w:bottom w:val="single" w:sz="4" w:space="0" w:color="auto"/>
              <w:right w:val="single" w:sz="4" w:space="0" w:color="auto"/>
            </w:tcBorders>
            <w:hideMark/>
          </w:tcPr>
          <w:p w14:paraId="6FAA446B" w14:textId="77777777" w:rsidR="00D22CE3" w:rsidRPr="0063065F" w:rsidRDefault="00D22CE3" w:rsidP="00E156D5">
            <w:pPr>
              <w:jc w:val="left"/>
              <w:rPr>
                <w:b/>
                <w:sz w:val="20"/>
                <w:szCs w:val="20"/>
                <w:lang w:eastAsia="en-US"/>
              </w:rPr>
            </w:pPr>
            <w:r w:rsidRPr="0063065F">
              <w:rPr>
                <w:b/>
                <w:sz w:val="20"/>
                <w:szCs w:val="20"/>
                <w:lang w:eastAsia="en-US"/>
              </w:rPr>
              <w:t>Apparent perspective used</w:t>
            </w:r>
          </w:p>
        </w:tc>
        <w:tc>
          <w:tcPr>
            <w:tcW w:w="1727" w:type="dxa"/>
            <w:tcBorders>
              <w:top w:val="single" w:sz="4" w:space="0" w:color="auto"/>
              <w:left w:val="single" w:sz="4" w:space="0" w:color="auto"/>
              <w:bottom w:val="single" w:sz="4" w:space="0" w:color="auto"/>
              <w:right w:val="single" w:sz="4" w:space="0" w:color="auto"/>
            </w:tcBorders>
            <w:hideMark/>
          </w:tcPr>
          <w:p w14:paraId="720FAE76" w14:textId="77777777" w:rsidR="00D22CE3" w:rsidRPr="0063065F" w:rsidRDefault="00D22CE3" w:rsidP="00E156D5">
            <w:pPr>
              <w:jc w:val="left"/>
              <w:rPr>
                <w:b/>
                <w:sz w:val="20"/>
                <w:szCs w:val="20"/>
                <w:lang w:eastAsia="en-US"/>
              </w:rPr>
            </w:pPr>
            <w:r w:rsidRPr="0063065F">
              <w:rPr>
                <w:b/>
                <w:sz w:val="20"/>
                <w:szCs w:val="20"/>
                <w:lang w:eastAsia="en-US"/>
              </w:rPr>
              <w:t>Health criteria</w:t>
            </w:r>
          </w:p>
        </w:tc>
        <w:tc>
          <w:tcPr>
            <w:tcW w:w="1872" w:type="dxa"/>
            <w:tcBorders>
              <w:top w:val="single" w:sz="4" w:space="0" w:color="auto"/>
              <w:left w:val="single" w:sz="4" w:space="0" w:color="auto"/>
              <w:bottom w:val="single" w:sz="4" w:space="0" w:color="auto"/>
              <w:right w:val="single" w:sz="4" w:space="0" w:color="auto"/>
            </w:tcBorders>
            <w:hideMark/>
          </w:tcPr>
          <w:p w14:paraId="5EA4CCCB" w14:textId="77777777" w:rsidR="00D22CE3" w:rsidRPr="0063065F" w:rsidRDefault="00D22CE3" w:rsidP="005D7324">
            <w:pPr>
              <w:jc w:val="left"/>
              <w:rPr>
                <w:b/>
                <w:sz w:val="20"/>
                <w:szCs w:val="20"/>
                <w:lang w:eastAsia="en-US"/>
              </w:rPr>
            </w:pPr>
            <w:r w:rsidRPr="0063065F">
              <w:rPr>
                <w:b/>
                <w:sz w:val="20"/>
                <w:szCs w:val="20"/>
                <w:lang w:eastAsia="en-US"/>
              </w:rPr>
              <w:t>Non-health criteria</w:t>
            </w:r>
          </w:p>
        </w:tc>
      </w:tr>
      <w:tr w:rsidR="00D22CE3" w:rsidRPr="00F10391" w14:paraId="601CB20A"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13BD8D4E" w14:textId="77777777" w:rsidR="00D22CE3" w:rsidRPr="00F10391" w:rsidRDefault="00D22CE3" w:rsidP="00E156D5">
            <w:pPr>
              <w:jc w:val="left"/>
              <w:rPr>
                <w:lang w:eastAsia="en-US"/>
              </w:rPr>
            </w:pPr>
            <w:r w:rsidRPr="00F10391">
              <w:rPr>
                <w:lang w:eastAsia="en-US"/>
              </w:rPr>
              <w:t>PH4</w:t>
            </w:r>
          </w:p>
        </w:tc>
        <w:tc>
          <w:tcPr>
            <w:tcW w:w="1733" w:type="dxa"/>
            <w:tcBorders>
              <w:top w:val="single" w:sz="4" w:space="0" w:color="auto"/>
              <w:left w:val="single" w:sz="4" w:space="0" w:color="auto"/>
              <w:bottom w:val="single" w:sz="4" w:space="0" w:color="auto"/>
              <w:right w:val="single" w:sz="4" w:space="0" w:color="auto"/>
            </w:tcBorders>
            <w:hideMark/>
          </w:tcPr>
          <w:p w14:paraId="69E2AD4B" w14:textId="77777777" w:rsidR="00D22CE3" w:rsidRPr="00F10391" w:rsidRDefault="00D22CE3" w:rsidP="00E156D5">
            <w:pPr>
              <w:jc w:val="left"/>
              <w:rPr>
                <w:lang w:eastAsia="en-US"/>
              </w:rPr>
            </w:pPr>
            <w:r w:rsidRPr="00F10391">
              <w:rPr>
                <w:lang w:eastAsia="en-US"/>
              </w:rPr>
              <w:t>Interventions to reduce substance misuse among vulnerable young people</w:t>
            </w:r>
          </w:p>
        </w:tc>
        <w:tc>
          <w:tcPr>
            <w:tcW w:w="1514" w:type="dxa"/>
            <w:tcBorders>
              <w:top w:val="single" w:sz="4" w:space="0" w:color="auto"/>
              <w:left w:val="single" w:sz="4" w:space="0" w:color="auto"/>
              <w:bottom w:val="single" w:sz="4" w:space="0" w:color="auto"/>
              <w:right w:val="single" w:sz="4" w:space="0" w:color="auto"/>
            </w:tcBorders>
            <w:hideMark/>
          </w:tcPr>
          <w:p w14:paraId="381F0CC9"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1A3A3C23"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auto"/>
              <w:right w:val="single" w:sz="4" w:space="0" w:color="auto"/>
            </w:tcBorders>
            <w:hideMark/>
          </w:tcPr>
          <w:p w14:paraId="4721B845" w14:textId="77777777" w:rsidR="00D22CE3" w:rsidRPr="00F10391" w:rsidRDefault="00D22CE3" w:rsidP="005D7324">
            <w:pPr>
              <w:jc w:val="left"/>
              <w:rPr>
                <w:lang w:eastAsia="en-US"/>
              </w:rPr>
            </w:pPr>
            <w:r w:rsidRPr="00F10391">
              <w:rPr>
                <w:lang w:eastAsia="en-US"/>
              </w:rPr>
              <w:t>Infectious diseases</w:t>
            </w:r>
          </w:p>
          <w:p w14:paraId="73A719B0" w14:textId="77777777" w:rsidR="00D22CE3" w:rsidRPr="00F10391" w:rsidRDefault="00D22CE3" w:rsidP="005D7324">
            <w:pPr>
              <w:jc w:val="left"/>
              <w:rPr>
                <w:lang w:eastAsia="en-US"/>
              </w:rPr>
            </w:pPr>
            <w:r w:rsidRPr="00F10391">
              <w:rPr>
                <w:lang w:eastAsia="en-US"/>
              </w:rPr>
              <w:t>*HIV</w:t>
            </w:r>
          </w:p>
          <w:p w14:paraId="6C9160FB" w14:textId="77777777" w:rsidR="00D22CE3" w:rsidRPr="00F10391" w:rsidRDefault="00D22CE3" w:rsidP="005D7324">
            <w:pPr>
              <w:jc w:val="left"/>
              <w:rPr>
                <w:lang w:eastAsia="en-US"/>
              </w:rPr>
            </w:pPr>
            <w:r w:rsidRPr="00F10391">
              <w:rPr>
                <w:lang w:eastAsia="en-US"/>
              </w:rPr>
              <w:t>*Hepatitis B</w:t>
            </w:r>
          </w:p>
          <w:p w14:paraId="20427AB1" w14:textId="77777777" w:rsidR="00D22CE3" w:rsidRPr="00F10391" w:rsidRDefault="00D22CE3" w:rsidP="005D7324">
            <w:pPr>
              <w:jc w:val="left"/>
              <w:rPr>
                <w:lang w:eastAsia="en-US"/>
              </w:rPr>
            </w:pPr>
            <w:r w:rsidRPr="00F10391">
              <w:rPr>
                <w:lang w:eastAsia="en-US"/>
              </w:rPr>
              <w:t>*Hepatitis C</w:t>
            </w:r>
          </w:p>
          <w:p w14:paraId="3169955E" w14:textId="77777777" w:rsidR="00D22CE3" w:rsidRPr="00F10391" w:rsidRDefault="00D22CE3" w:rsidP="005D7324">
            <w:pPr>
              <w:jc w:val="left"/>
              <w:rPr>
                <w:lang w:eastAsia="en-US"/>
              </w:rPr>
            </w:pPr>
            <w:r w:rsidRPr="00F10391">
              <w:rPr>
                <w:lang w:eastAsia="en-US"/>
              </w:rPr>
              <w:t>Other health costs</w:t>
            </w:r>
          </w:p>
          <w:p w14:paraId="3A941269" w14:textId="77777777" w:rsidR="00D22CE3" w:rsidRPr="00F10391" w:rsidRDefault="00D22CE3" w:rsidP="005D7324">
            <w:pPr>
              <w:jc w:val="left"/>
              <w:rPr>
                <w:lang w:eastAsia="en-US"/>
              </w:rPr>
            </w:pPr>
            <w:r w:rsidRPr="00F10391">
              <w:rPr>
                <w:lang w:eastAsia="en-US"/>
              </w:rPr>
              <w:t>*Overdose</w:t>
            </w:r>
          </w:p>
          <w:p w14:paraId="5D932920" w14:textId="77777777" w:rsidR="00D22CE3" w:rsidRPr="00F10391" w:rsidRDefault="00D22CE3" w:rsidP="005D7324">
            <w:pPr>
              <w:jc w:val="left"/>
              <w:rPr>
                <w:lang w:eastAsia="en-US"/>
              </w:rPr>
            </w:pPr>
            <w:r w:rsidRPr="00F10391">
              <w:rPr>
                <w:lang w:eastAsia="en-US"/>
              </w:rPr>
              <w:t>*Depression</w:t>
            </w:r>
          </w:p>
        </w:tc>
        <w:tc>
          <w:tcPr>
            <w:tcW w:w="1872" w:type="dxa"/>
            <w:tcBorders>
              <w:top w:val="single" w:sz="4" w:space="0" w:color="auto"/>
              <w:left w:val="single" w:sz="4" w:space="0" w:color="auto"/>
              <w:bottom w:val="single" w:sz="4" w:space="0" w:color="auto"/>
              <w:right w:val="single" w:sz="4" w:space="0" w:color="auto"/>
            </w:tcBorders>
            <w:hideMark/>
          </w:tcPr>
          <w:p w14:paraId="719D8870" w14:textId="77777777" w:rsidR="00D22CE3" w:rsidRPr="00F10391" w:rsidRDefault="00D22CE3" w:rsidP="005D7324">
            <w:pPr>
              <w:jc w:val="left"/>
              <w:rPr>
                <w:lang w:eastAsia="en-US"/>
              </w:rPr>
            </w:pPr>
            <w:r w:rsidRPr="00F10391">
              <w:rPr>
                <w:lang w:eastAsia="en-US"/>
              </w:rPr>
              <w:t>Criminal justice costs</w:t>
            </w:r>
          </w:p>
          <w:p w14:paraId="43882C65" w14:textId="77777777" w:rsidR="00D22CE3" w:rsidRPr="00F10391" w:rsidRDefault="00D22CE3" w:rsidP="005D7324">
            <w:pPr>
              <w:jc w:val="left"/>
              <w:rPr>
                <w:lang w:eastAsia="en-US"/>
              </w:rPr>
            </w:pPr>
            <w:r w:rsidRPr="00F10391">
              <w:rPr>
                <w:lang w:eastAsia="en-US"/>
              </w:rPr>
              <w:t>*Arrest</w:t>
            </w:r>
          </w:p>
          <w:p w14:paraId="5A1BF455" w14:textId="77777777" w:rsidR="00D22CE3" w:rsidRPr="00F10391" w:rsidRDefault="00D22CE3" w:rsidP="005D7324">
            <w:pPr>
              <w:jc w:val="left"/>
              <w:rPr>
                <w:lang w:eastAsia="en-US"/>
              </w:rPr>
            </w:pPr>
            <w:r w:rsidRPr="00F10391">
              <w:rPr>
                <w:lang w:eastAsia="en-US"/>
              </w:rPr>
              <w:t>*Custody</w:t>
            </w:r>
          </w:p>
          <w:p w14:paraId="7D795251" w14:textId="77777777" w:rsidR="00D22CE3" w:rsidRPr="00F10391" w:rsidRDefault="00D22CE3" w:rsidP="005D7324">
            <w:pPr>
              <w:jc w:val="left"/>
              <w:rPr>
                <w:lang w:eastAsia="en-US"/>
              </w:rPr>
            </w:pPr>
            <w:r w:rsidRPr="00F10391">
              <w:rPr>
                <w:lang w:eastAsia="en-US"/>
              </w:rPr>
              <w:t>*Court</w:t>
            </w:r>
          </w:p>
          <w:p w14:paraId="3257EDC7" w14:textId="77777777" w:rsidR="00D22CE3" w:rsidRPr="00F10391" w:rsidRDefault="00D22CE3" w:rsidP="005D7324">
            <w:pPr>
              <w:jc w:val="left"/>
            </w:pPr>
            <w:r w:rsidRPr="00F10391">
              <w:rPr>
                <w:lang w:eastAsia="en-US"/>
              </w:rPr>
              <w:t>*Prison</w:t>
            </w:r>
          </w:p>
          <w:p w14:paraId="7249CAF9" w14:textId="77777777" w:rsidR="00D22CE3" w:rsidRPr="00F10391" w:rsidRDefault="00D22CE3" w:rsidP="005D7324">
            <w:pPr>
              <w:jc w:val="left"/>
              <w:rPr>
                <w:lang w:eastAsia="en-US"/>
              </w:rPr>
            </w:pPr>
            <w:r w:rsidRPr="00F10391">
              <w:rPr>
                <w:lang w:eastAsia="en-US"/>
              </w:rPr>
              <w:t>Drug treatment</w:t>
            </w:r>
          </w:p>
          <w:p w14:paraId="13FCB0F0" w14:textId="77777777" w:rsidR="00D22CE3" w:rsidRPr="00F10391" w:rsidRDefault="00D22CE3" w:rsidP="005D7324">
            <w:pPr>
              <w:jc w:val="left"/>
              <w:rPr>
                <w:lang w:eastAsia="en-US"/>
              </w:rPr>
            </w:pPr>
            <w:r w:rsidRPr="00F10391">
              <w:rPr>
                <w:lang w:eastAsia="en-US"/>
              </w:rPr>
              <w:t>Unemployment</w:t>
            </w:r>
          </w:p>
        </w:tc>
      </w:tr>
      <w:tr w:rsidR="00D22CE3" w:rsidRPr="00F10391" w14:paraId="1A1E135D"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47E71514" w14:textId="77777777" w:rsidR="00D22CE3" w:rsidRPr="00F10391" w:rsidRDefault="00D22CE3" w:rsidP="00E156D5">
            <w:pPr>
              <w:jc w:val="left"/>
              <w:rPr>
                <w:lang w:eastAsia="en-US"/>
              </w:rPr>
            </w:pPr>
            <w:r w:rsidRPr="00F10391">
              <w:rPr>
                <w:lang w:eastAsia="en-US"/>
              </w:rPr>
              <w:t>PH5</w:t>
            </w:r>
          </w:p>
        </w:tc>
        <w:tc>
          <w:tcPr>
            <w:tcW w:w="1733" w:type="dxa"/>
            <w:tcBorders>
              <w:top w:val="single" w:sz="4" w:space="0" w:color="auto"/>
              <w:left w:val="single" w:sz="4" w:space="0" w:color="auto"/>
              <w:bottom w:val="single" w:sz="4" w:space="0" w:color="auto"/>
              <w:right w:val="single" w:sz="4" w:space="0" w:color="auto"/>
            </w:tcBorders>
            <w:hideMark/>
          </w:tcPr>
          <w:p w14:paraId="07208C3E" w14:textId="77777777" w:rsidR="00D22CE3" w:rsidRPr="00F10391" w:rsidRDefault="00D22CE3" w:rsidP="00E156D5">
            <w:pPr>
              <w:jc w:val="left"/>
              <w:rPr>
                <w:lang w:eastAsia="en-US"/>
              </w:rPr>
            </w:pPr>
            <w:r w:rsidRPr="00F10391">
              <w:rPr>
                <w:lang w:eastAsia="en-US"/>
              </w:rPr>
              <w:t>Workplace interventions to promote smoking cessation</w:t>
            </w:r>
          </w:p>
        </w:tc>
        <w:tc>
          <w:tcPr>
            <w:tcW w:w="1514" w:type="dxa"/>
            <w:tcBorders>
              <w:top w:val="single" w:sz="4" w:space="0" w:color="auto"/>
              <w:left w:val="single" w:sz="4" w:space="0" w:color="auto"/>
              <w:bottom w:val="single" w:sz="4" w:space="0" w:color="auto"/>
              <w:right w:val="single" w:sz="4" w:space="0" w:color="auto"/>
            </w:tcBorders>
            <w:hideMark/>
          </w:tcPr>
          <w:p w14:paraId="06B0D030" w14:textId="77777777" w:rsidR="00D22CE3" w:rsidRPr="00F10391" w:rsidRDefault="00D22CE3" w:rsidP="00E156D5">
            <w:pPr>
              <w:jc w:val="left"/>
              <w:rPr>
                <w:lang w:eastAsia="en-US"/>
              </w:rPr>
            </w:pPr>
            <w:r w:rsidRPr="00F10391">
              <w:rPr>
                <w:lang w:eastAsia="en-US"/>
              </w:rPr>
              <w:t xml:space="preserve">Net financial benefit </w:t>
            </w:r>
          </w:p>
        </w:tc>
        <w:tc>
          <w:tcPr>
            <w:tcW w:w="1365" w:type="dxa"/>
            <w:tcBorders>
              <w:top w:val="single" w:sz="4" w:space="0" w:color="auto"/>
              <w:left w:val="single" w:sz="4" w:space="0" w:color="auto"/>
              <w:bottom w:val="single" w:sz="4" w:space="0" w:color="auto"/>
              <w:right w:val="single" w:sz="4" w:space="0" w:color="auto"/>
            </w:tcBorders>
            <w:hideMark/>
          </w:tcPr>
          <w:p w14:paraId="482F749D" w14:textId="77777777" w:rsidR="00D22CE3" w:rsidRPr="00F10391" w:rsidRDefault="00D22CE3" w:rsidP="005D7324">
            <w:pPr>
              <w:jc w:val="left"/>
              <w:rPr>
                <w:lang w:eastAsia="en-US"/>
              </w:rPr>
            </w:pPr>
            <w:r w:rsidRPr="00F10391">
              <w:rPr>
                <w:lang w:eastAsia="en-US"/>
              </w:rPr>
              <w:t>Employer</w:t>
            </w:r>
          </w:p>
        </w:tc>
        <w:tc>
          <w:tcPr>
            <w:tcW w:w="1727" w:type="dxa"/>
            <w:tcBorders>
              <w:top w:val="single" w:sz="4" w:space="0" w:color="auto"/>
              <w:left w:val="single" w:sz="4" w:space="0" w:color="auto"/>
              <w:bottom w:val="single" w:sz="4" w:space="0" w:color="auto"/>
              <w:right w:val="single" w:sz="4" w:space="0" w:color="auto"/>
            </w:tcBorders>
            <w:hideMark/>
          </w:tcPr>
          <w:p w14:paraId="5F998732" w14:textId="77777777" w:rsidR="00D22CE3" w:rsidRPr="00F10391" w:rsidRDefault="00D22CE3" w:rsidP="005D7324">
            <w:pPr>
              <w:jc w:val="left"/>
              <w:rPr>
                <w:lang w:eastAsia="en-US"/>
              </w:rPr>
            </w:pPr>
            <w:r w:rsidRPr="00F10391">
              <w:rPr>
                <w:lang w:eastAsia="en-US"/>
              </w:rPr>
              <w:t>NA</w:t>
            </w:r>
          </w:p>
        </w:tc>
        <w:tc>
          <w:tcPr>
            <w:tcW w:w="1872" w:type="dxa"/>
            <w:tcBorders>
              <w:top w:val="single" w:sz="4" w:space="0" w:color="auto"/>
              <w:left w:val="single" w:sz="4" w:space="0" w:color="auto"/>
              <w:bottom w:val="single" w:sz="4" w:space="0" w:color="auto"/>
              <w:right w:val="single" w:sz="4" w:space="0" w:color="auto"/>
            </w:tcBorders>
            <w:hideMark/>
          </w:tcPr>
          <w:p w14:paraId="1FE4730A" w14:textId="77777777" w:rsidR="00D22CE3" w:rsidRPr="00F10391" w:rsidRDefault="00D22CE3" w:rsidP="005D7324">
            <w:pPr>
              <w:jc w:val="left"/>
              <w:rPr>
                <w:lang w:eastAsia="en-US"/>
              </w:rPr>
            </w:pPr>
            <w:r w:rsidRPr="00F10391">
              <w:rPr>
                <w:lang w:eastAsia="en-US"/>
              </w:rPr>
              <w:t>Productivity/ hours lost from absenteeism</w:t>
            </w:r>
          </w:p>
        </w:tc>
      </w:tr>
      <w:tr w:rsidR="00D22CE3" w:rsidRPr="00F10391" w14:paraId="67728B6E"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0ED98A44" w14:textId="77777777" w:rsidR="00D22CE3" w:rsidRPr="00F10391" w:rsidRDefault="00D22CE3" w:rsidP="00E156D5">
            <w:pPr>
              <w:jc w:val="left"/>
              <w:rPr>
                <w:lang w:eastAsia="en-US"/>
              </w:rPr>
            </w:pPr>
            <w:r w:rsidRPr="00F10391">
              <w:rPr>
                <w:lang w:eastAsia="en-US"/>
              </w:rPr>
              <w:t>PH7</w:t>
            </w:r>
          </w:p>
        </w:tc>
        <w:tc>
          <w:tcPr>
            <w:tcW w:w="1733" w:type="dxa"/>
            <w:tcBorders>
              <w:top w:val="single" w:sz="4" w:space="0" w:color="auto"/>
              <w:left w:val="single" w:sz="4" w:space="0" w:color="auto"/>
              <w:bottom w:val="single" w:sz="4" w:space="0" w:color="auto"/>
              <w:right w:val="single" w:sz="4" w:space="0" w:color="auto"/>
            </w:tcBorders>
            <w:hideMark/>
          </w:tcPr>
          <w:p w14:paraId="4A99FE03" w14:textId="77777777" w:rsidR="00D22CE3" w:rsidRPr="00F10391" w:rsidRDefault="00D22CE3" w:rsidP="00E156D5">
            <w:pPr>
              <w:jc w:val="left"/>
              <w:rPr>
                <w:lang w:eastAsia="en-US"/>
              </w:rPr>
            </w:pPr>
            <w:r w:rsidRPr="00F10391">
              <w:rPr>
                <w:lang w:eastAsia="en-US"/>
              </w:rPr>
              <w:t>School-based interventions on alcohol</w:t>
            </w:r>
          </w:p>
        </w:tc>
        <w:tc>
          <w:tcPr>
            <w:tcW w:w="1514" w:type="dxa"/>
            <w:tcBorders>
              <w:top w:val="single" w:sz="4" w:space="0" w:color="auto"/>
              <w:left w:val="single" w:sz="4" w:space="0" w:color="auto"/>
              <w:bottom w:val="single" w:sz="4" w:space="0" w:color="auto"/>
              <w:right w:val="single" w:sz="4" w:space="0" w:color="auto"/>
            </w:tcBorders>
            <w:hideMark/>
          </w:tcPr>
          <w:p w14:paraId="10B2927C" w14:textId="77777777" w:rsidR="00D22CE3" w:rsidRPr="00F10391" w:rsidRDefault="00D22CE3" w:rsidP="00E156D5">
            <w:pPr>
              <w:jc w:val="left"/>
              <w:rPr>
                <w:lang w:eastAsia="en-US"/>
              </w:rPr>
            </w:pPr>
            <w:r w:rsidRPr="00F10391">
              <w:rPr>
                <w:lang w:eastAsia="en-US"/>
              </w:rPr>
              <w:t xml:space="preserve">CUA </w:t>
            </w:r>
          </w:p>
        </w:tc>
        <w:tc>
          <w:tcPr>
            <w:tcW w:w="1365" w:type="dxa"/>
            <w:tcBorders>
              <w:top w:val="single" w:sz="4" w:space="0" w:color="auto"/>
              <w:left w:val="single" w:sz="4" w:space="0" w:color="auto"/>
              <w:bottom w:val="single" w:sz="4" w:space="0" w:color="auto"/>
              <w:right w:val="single" w:sz="4" w:space="0" w:color="auto"/>
            </w:tcBorders>
            <w:hideMark/>
          </w:tcPr>
          <w:p w14:paraId="2DAA46E9"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6A6A6"/>
              <w:left w:val="single" w:sz="4" w:space="0" w:color="auto"/>
              <w:bottom w:val="single" w:sz="4" w:space="0" w:color="auto"/>
              <w:right w:val="single" w:sz="4" w:space="0" w:color="auto"/>
            </w:tcBorders>
            <w:hideMark/>
          </w:tcPr>
          <w:p w14:paraId="786F2465" w14:textId="77777777" w:rsidR="00D22CE3" w:rsidRPr="00F10391" w:rsidRDefault="00D22CE3" w:rsidP="005D7324">
            <w:pPr>
              <w:jc w:val="left"/>
              <w:rPr>
                <w:lang w:eastAsia="en-US"/>
              </w:rPr>
            </w:pPr>
            <w:r w:rsidRPr="00F10391">
              <w:rPr>
                <w:lang w:eastAsia="en-US"/>
              </w:rPr>
              <w:t>Accidents or injuries</w:t>
            </w:r>
          </w:p>
          <w:p w14:paraId="5AD42908" w14:textId="77777777" w:rsidR="00D22CE3" w:rsidRPr="00F10391" w:rsidRDefault="00D22CE3" w:rsidP="005D7324">
            <w:pPr>
              <w:jc w:val="left"/>
              <w:rPr>
                <w:lang w:eastAsia="en-US"/>
              </w:rPr>
            </w:pPr>
            <w:r w:rsidRPr="00F10391">
              <w:rPr>
                <w:lang w:eastAsia="en-US"/>
              </w:rPr>
              <w:t>*Admission to Accident and Emergency</w:t>
            </w:r>
          </w:p>
        </w:tc>
        <w:tc>
          <w:tcPr>
            <w:tcW w:w="1872" w:type="dxa"/>
            <w:tcBorders>
              <w:top w:val="single" w:sz="4" w:space="0" w:color="A6A6A6"/>
              <w:left w:val="single" w:sz="4" w:space="0" w:color="auto"/>
              <w:bottom w:val="single" w:sz="4" w:space="0" w:color="auto"/>
              <w:right w:val="single" w:sz="4" w:space="0" w:color="auto"/>
            </w:tcBorders>
          </w:tcPr>
          <w:p w14:paraId="1836F8F1" w14:textId="77777777" w:rsidR="00D22CE3" w:rsidRPr="00F10391" w:rsidRDefault="00D22CE3" w:rsidP="005D7324">
            <w:pPr>
              <w:jc w:val="left"/>
              <w:rPr>
                <w:lang w:eastAsia="en-US"/>
              </w:rPr>
            </w:pPr>
            <w:r w:rsidRPr="00F10391">
              <w:rPr>
                <w:lang w:eastAsia="en-US"/>
              </w:rPr>
              <w:t>Criminal justice</w:t>
            </w:r>
          </w:p>
          <w:p w14:paraId="0FF8F1A6" w14:textId="77777777" w:rsidR="00D22CE3" w:rsidRPr="00F10391" w:rsidRDefault="00D22CE3" w:rsidP="005D7324">
            <w:pPr>
              <w:jc w:val="left"/>
              <w:rPr>
                <w:lang w:eastAsia="en-US"/>
              </w:rPr>
            </w:pPr>
            <w:r w:rsidRPr="00F10391">
              <w:rPr>
                <w:lang w:eastAsia="en-US"/>
              </w:rPr>
              <w:t>*Violent offences</w:t>
            </w:r>
          </w:p>
          <w:p w14:paraId="5C5B1457" w14:textId="77777777" w:rsidR="00D22CE3" w:rsidRPr="00F10391" w:rsidRDefault="00D22CE3" w:rsidP="005D7324">
            <w:pPr>
              <w:jc w:val="left"/>
              <w:rPr>
                <w:lang w:eastAsia="en-US"/>
              </w:rPr>
            </w:pPr>
            <w:r w:rsidRPr="00F10391">
              <w:rPr>
                <w:lang w:eastAsia="en-US"/>
              </w:rPr>
              <w:t>*Property offences</w:t>
            </w:r>
          </w:p>
          <w:p w14:paraId="2D283FCC" w14:textId="77777777" w:rsidR="00D22CE3" w:rsidRPr="00F10391" w:rsidRDefault="00D22CE3" w:rsidP="005D7324">
            <w:pPr>
              <w:jc w:val="left"/>
              <w:rPr>
                <w:lang w:eastAsia="en-US"/>
              </w:rPr>
            </w:pPr>
          </w:p>
          <w:p w14:paraId="7C24480D" w14:textId="77777777" w:rsidR="00D22CE3" w:rsidRPr="00F10391" w:rsidRDefault="00D22CE3" w:rsidP="005D7324">
            <w:pPr>
              <w:jc w:val="left"/>
              <w:rPr>
                <w:lang w:eastAsia="en-US"/>
              </w:rPr>
            </w:pPr>
            <w:r w:rsidRPr="00F10391">
              <w:rPr>
                <w:lang w:eastAsia="en-US"/>
              </w:rPr>
              <w:t>Educational outcomes</w:t>
            </w:r>
          </w:p>
          <w:p w14:paraId="16ED1DDA" w14:textId="77777777" w:rsidR="00D22CE3" w:rsidRPr="00F10391" w:rsidRDefault="00D22CE3" w:rsidP="005D7324">
            <w:pPr>
              <w:jc w:val="left"/>
              <w:rPr>
                <w:lang w:eastAsia="en-US"/>
              </w:rPr>
            </w:pPr>
            <w:r w:rsidRPr="00F10391">
              <w:rPr>
                <w:lang w:eastAsia="en-US"/>
              </w:rPr>
              <w:t>*15-16 year olds performing poorly due to alcohol</w:t>
            </w:r>
          </w:p>
          <w:p w14:paraId="219EE2E1" w14:textId="77777777" w:rsidR="00D22CE3" w:rsidRPr="00F10391" w:rsidRDefault="00D22CE3" w:rsidP="005D7324">
            <w:pPr>
              <w:jc w:val="left"/>
              <w:rPr>
                <w:lang w:eastAsia="en-US"/>
              </w:rPr>
            </w:pPr>
            <w:r w:rsidRPr="00F10391">
              <w:rPr>
                <w:lang w:eastAsia="en-US"/>
              </w:rPr>
              <w:t>*Number of students with high levels of truancy</w:t>
            </w:r>
          </w:p>
        </w:tc>
      </w:tr>
      <w:tr w:rsidR="00D22CE3" w:rsidRPr="00F10391" w14:paraId="1312E0E5"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305BF5EB" w14:textId="77777777" w:rsidR="00D22CE3" w:rsidRPr="00F10391" w:rsidRDefault="00D22CE3" w:rsidP="00E156D5">
            <w:pPr>
              <w:jc w:val="left"/>
              <w:rPr>
                <w:lang w:eastAsia="en-US"/>
              </w:rPr>
            </w:pPr>
            <w:r w:rsidRPr="00F10391">
              <w:rPr>
                <w:lang w:eastAsia="en-US"/>
              </w:rPr>
              <w:lastRenderedPageBreak/>
              <w:t>PH8</w:t>
            </w:r>
          </w:p>
        </w:tc>
        <w:tc>
          <w:tcPr>
            <w:tcW w:w="1733" w:type="dxa"/>
            <w:tcBorders>
              <w:top w:val="single" w:sz="4" w:space="0" w:color="auto"/>
              <w:left w:val="single" w:sz="4" w:space="0" w:color="auto"/>
              <w:bottom w:val="single" w:sz="4" w:space="0" w:color="auto"/>
              <w:right w:val="single" w:sz="4" w:space="0" w:color="auto"/>
            </w:tcBorders>
            <w:hideMark/>
          </w:tcPr>
          <w:p w14:paraId="52F614FB" w14:textId="77777777" w:rsidR="00D22CE3" w:rsidRPr="00F10391" w:rsidRDefault="00D22CE3" w:rsidP="00E156D5">
            <w:pPr>
              <w:jc w:val="left"/>
              <w:rPr>
                <w:lang w:eastAsia="en-US"/>
              </w:rPr>
            </w:pPr>
            <w:r w:rsidRPr="00F10391">
              <w:rPr>
                <w:lang w:eastAsia="en-US"/>
              </w:rPr>
              <w:t>Physical activity and the environment</w:t>
            </w:r>
          </w:p>
        </w:tc>
        <w:tc>
          <w:tcPr>
            <w:tcW w:w="1514" w:type="dxa"/>
            <w:tcBorders>
              <w:top w:val="single" w:sz="4" w:space="0" w:color="A6A6A6"/>
              <w:left w:val="single" w:sz="4" w:space="0" w:color="auto"/>
              <w:bottom w:val="single" w:sz="4" w:space="0" w:color="auto"/>
              <w:right w:val="single" w:sz="4" w:space="0" w:color="auto"/>
            </w:tcBorders>
          </w:tcPr>
          <w:p w14:paraId="458FCE81" w14:textId="77777777" w:rsidR="00D22CE3" w:rsidRPr="00F10391" w:rsidRDefault="00D22CE3" w:rsidP="005D7324">
            <w:pPr>
              <w:jc w:val="left"/>
              <w:rPr>
                <w:lang w:eastAsia="en-US"/>
              </w:rPr>
            </w:pPr>
            <w:r w:rsidRPr="00F10391">
              <w:rPr>
                <w:lang w:eastAsia="en-US"/>
              </w:rPr>
              <w:t>CBA</w:t>
            </w:r>
          </w:p>
          <w:p w14:paraId="38F2053A" w14:textId="77777777" w:rsidR="00D22CE3" w:rsidRPr="00F10391" w:rsidRDefault="00D22CE3" w:rsidP="005D7324">
            <w:pPr>
              <w:jc w:val="left"/>
              <w:rPr>
                <w:lang w:eastAsia="en-US"/>
              </w:rPr>
            </w:pPr>
          </w:p>
          <w:p w14:paraId="37BF5E28" w14:textId="77777777" w:rsidR="00D22CE3" w:rsidRPr="00F10391" w:rsidRDefault="00D22CE3" w:rsidP="005D7324">
            <w:pPr>
              <w:jc w:val="left"/>
              <w:rPr>
                <w:lang w:eastAsia="en-US"/>
              </w:rPr>
            </w:pPr>
          </w:p>
        </w:tc>
        <w:tc>
          <w:tcPr>
            <w:tcW w:w="1365" w:type="dxa"/>
            <w:tcBorders>
              <w:top w:val="single" w:sz="4" w:space="0" w:color="A6A6A6"/>
              <w:left w:val="single" w:sz="4" w:space="0" w:color="auto"/>
              <w:bottom w:val="single" w:sz="4" w:space="0" w:color="auto"/>
              <w:right w:val="single" w:sz="4" w:space="0" w:color="auto"/>
            </w:tcBorders>
          </w:tcPr>
          <w:p w14:paraId="438C0770" w14:textId="77777777" w:rsidR="00D22CE3" w:rsidRPr="00F10391" w:rsidRDefault="00D22CE3" w:rsidP="005D7324">
            <w:pPr>
              <w:jc w:val="left"/>
              <w:rPr>
                <w:lang w:eastAsia="en-US"/>
              </w:rPr>
            </w:pPr>
            <w:r w:rsidRPr="00F10391">
              <w:rPr>
                <w:lang w:eastAsia="en-US"/>
              </w:rPr>
              <w:t>Societal</w:t>
            </w:r>
          </w:p>
          <w:p w14:paraId="6E062488" w14:textId="77777777" w:rsidR="00D22CE3" w:rsidRPr="00F10391" w:rsidRDefault="00D22CE3" w:rsidP="005D7324">
            <w:pPr>
              <w:jc w:val="left"/>
              <w:rPr>
                <w:lang w:eastAsia="en-US"/>
              </w:rPr>
            </w:pPr>
          </w:p>
          <w:p w14:paraId="7CB4753B" w14:textId="77777777" w:rsidR="00D22CE3" w:rsidRPr="00F10391" w:rsidRDefault="00D22CE3" w:rsidP="005D7324">
            <w:pPr>
              <w:jc w:val="left"/>
              <w:rPr>
                <w:lang w:eastAsia="en-US"/>
              </w:rPr>
            </w:pPr>
          </w:p>
        </w:tc>
        <w:tc>
          <w:tcPr>
            <w:tcW w:w="1727" w:type="dxa"/>
            <w:tcBorders>
              <w:top w:val="single" w:sz="4" w:space="0" w:color="A6A6A6"/>
              <w:left w:val="single" w:sz="4" w:space="0" w:color="auto"/>
              <w:bottom w:val="single" w:sz="4" w:space="0" w:color="auto"/>
              <w:right w:val="single" w:sz="4" w:space="0" w:color="auto"/>
            </w:tcBorders>
            <w:hideMark/>
          </w:tcPr>
          <w:p w14:paraId="32025424" w14:textId="77777777" w:rsidR="00D22CE3" w:rsidRPr="00F10391" w:rsidRDefault="00D22CE3" w:rsidP="005D7324">
            <w:pPr>
              <w:jc w:val="left"/>
              <w:rPr>
                <w:lang w:eastAsia="en-US"/>
              </w:rPr>
            </w:pPr>
            <w:r w:rsidRPr="00F10391">
              <w:rPr>
                <w:lang w:eastAsia="en-US"/>
              </w:rPr>
              <w:t>“Health benefit”</w:t>
            </w:r>
          </w:p>
          <w:p w14:paraId="1E62BEB9" w14:textId="77777777" w:rsidR="00D22CE3" w:rsidRPr="00F10391" w:rsidRDefault="00D22CE3" w:rsidP="005D7324">
            <w:pPr>
              <w:jc w:val="left"/>
              <w:rPr>
                <w:lang w:eastAsia="en-US"/>
              </w:rPr>
            </w:pPr>
            <w:r w:rsidRPr="00F10391">
              <w:rPr>
                <w:lang w:eastAsia="en-US"/>
              </w:rPr>
              <w:t>(derived from a variety of studies and assumptions and tested with sensitivity analyses)</w:t>
            </w:r>
          </w:p>
        </w:tc>
        <w:tc>
          <w:tcPr>
            <w:tcW w:w="1872" w:type="dxa"/>
            <w:tcBorders>
              <w:top w:val="single" w:sz="4" w:space="0" w:color="A6A6A6"/>
              <w:left w:val="single" w:sz="4" w:space="0" w:color="auto"/>
              <w:bottom w:val="single" w:sz="4" w:space="0" w:color="auto"/>
              <w:right w:val="single" w:sz="4" w:space="0" w:color="auto"/>
            </w:tcBorders>
            <w:hideMark/>
          </w:tcPr>
          <w:p w14:paraId="4D3B8A49" w14:textId="77777777" w:rsidR="00D22CE3" w:rsidRPr="00F10391" w:rsidRDefault="00D22CE3" w:rsidP="005D7324">
            <w:pPr>
              <w:jc w:val="left"/>
              <w:rPr>
                <w:lang w:eastAsia="en-US"/>
              </w:rPr>
            </w:pPr>
            <w:r w:rsidRPr="00F10391">
              <w:rPr>
                <w:lang w:eastAsia="en-US"/>
              </w:rPr>
              <w:t>Comfort and insecurity</w:t>
            </w:r>
          </w:p>
          <w:p w14:paraId="0034EC83" w14:textId="77777777" w:rsidR="00D22CE3" w:rsidRPr="00F10391" w:rsidRDefault="00D22CE3" w:rsidP="005D7324">
            <w:pPr>
              <w:jc w:val="left"/>
              <w:rPr>
                <w:lang w:eastAsia="en-US"/>
              </w:rPr>
            </w:pPr>
            <w:r w:rsidRPr="00F10391">
              <w:rPr>
                <w:lang w:eastAsia="en-US"/>
              </w:rPr>
              <w:t>Travel time</w:t>
            </w:r>
          </w:p>
          <w:p w14:paraId="096216D7" w14:textId="77777777" w:rsidR="00D22CE3" w:rsidRPr="00F10391" w:rsidRDefault="00D22CE3" w:rsidP="005D7324">
            <w:pPr>
              <w:jc w:val="left"/>
              <w:rPr>
                <w:lang w:eastAsia="en-US"/>
              </w:rPr>
            </w:pPr>
            <w:r w:rsidRPr="00F10391">
              <w:rPr>
                <w:lang w:eastAsia="en-US"/>
              </w:rPr>
              <w:t>Short term absenteeism</w:t>
            </w:r>
          </w:p>
        </w:tc>
      </w:tr>
      <w:tr w:rsidR="00D22CE3" w:rsidRPr="00F10391" w14:paraId="11803904"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564A682E" w14:textId="77777777" w:rsidR="00D22CE3" w:rsidRPr="00F10391" w:rsidRDefault="00D22CE3" w:rsidP="00E156D5">
            <w:pPr>
              <w:jc w:val="left"/>
              <w:rPr>
                <w:lang w:eastAsia="en-US"/>
              </w:rPr>
            </w:pPr>
            <w:r w:rsidRPr="00F10391">
              <w:rPr>
                <w:lang w:eastAsia="en-US"/>
              </w:rPr>
              <w:t>PH12</w:t>
            </w:r>
          </w:p>
        </w:tc>
        <w:tc>
          <w:tcPr>
            <w:tcW w:w="1733" w:type="dxa"/>
            <w:tcBorders>
              <w:top w:val="single" w:sz="4" w:space="0" w:color="auto"/>
              <w:left w:val="single" w:sz="4" w:space="0" w:color="auto"/>
              <w:bottom w:val="single" w:sz="4" w:space="0" w:color="auto"/>
              <w:right w:val="single" w:sz="4" w:space="0" w:color="auto"/>
            </w:tcBorders>
            <w:hideMark/>
          </w:tcPr>
          <w:p w14:paraId="7F8B83BD" w14:textId="77777777" w:rsidR="00D22CE3" w:rsidRPr="00F10391" w:rsidRDefault="00D22CE3" w:rsidP="00E156D5">
            <w:pPr>
              <w:jc w:val="left"/>
              <w:rPr>
                <w:lang w:eastAsia="en-US"/>
              </w:rPr>
            </w:pPr>
            <w:r w:rsidRPr="00F10391">
              <w:rPr>
                <w:lang w:eastAsia="en-US"/>
              </w:rPr>
              <w:t>Social and emotional wellbeing in primary education</w:t>
            </w:r>
          </w:p>
        </w:tc>
        <w:tc>
          <w:tcPr>
            <w:tcW w:w="1514" w:type="dxa"/>
            <w:tcBorders>
              <w:top w:val="single" w:sz="4" w:space="0" w:color="A6A6A6"/>
              <w:left w:val="single" w:sz="4" w:space="0" w:color="auto"/>
              <w:bottom w:val="single" w:sz="4" w:space="0" w:color="auto"/>
              <w:right w:val="single" w:sz="4" w:space="0" w:color="auto"/>
            </w:tcBorders>
            <w:hideMark/>
          </w:tcPr>
          <w:p w14:paraId="2649D5B5" w14:textId="77777777" w:rsidR="00D22CE3" w:rsidRPr="00F10391" w:rsidRDefault="00D22CE3" w:rsidP="00E156D5">
            <w:pPr>
              <w:jc w:val="left"/>
              <w:rPr>
                <w:lang w:eastAsia="en-US"/>
              </w:rPr>
            </w:pPr>
            <w:r w:rsidRPr="00F10391">
              <w:rPr>
                <w:lang w:eastAsia="en-US"/>
              </w:rPr>
              <w:t>CUA (broader)</w:t>
            </w:r>
          </w:p>
        </w:tc>
        <w:tc>
          <w:tcPr>
            <w:tcW w:w="1365" w:type="dxa"/>
            <w:tcBorders>
              <w:top w:val="single" w:sz="4" w:space="0" w:color="A6A6A6"/>
              <w:left w:val="single" w:sz="4" w:space="0" w:color="auto"/>
              <w:bottom w:val="single" w:sz="4" w:space="0" w:color="auto"/>
              <w:right w:val="single" w:sz="4" w:space="0" w:color="auto"/>
            </w:tcBorders>
            <w:hideMark/>
          </w:tcPr>
          <w:p w14:paraId="799857E4"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6A6A6"/>
              <w:left w:val="single" w:sz="4" w:space="0" w:color="auto"/>
              <w:bottom w:val="single" w:sz="4" w:space="0" w:color="auto"/>
              <w:right w:val="single" w:sz="4" w:space="0" w:color="auto"/>
            </w:tcBorders>
            <w:hideMark/>
          </w:tcPr>
          <w:p w14:paraId="6470CF8B" w14:textId="77777777" w:rsidR="00D22CE3" w:rsidRPr="00F10391" w:rsidRDefault="00D22CE3" w:rsidP="005D7324">
            <w:pPr>
              <w:jc w:val="left"/>
              <w:rPr>
                <w:lang w:eastAsia="en-US"/>
              </w:rPr>
            </w:pPr>
            <w:r w:rsidRPr="00F10391">
              <w:rPr>
                <w:lang w:eastAsia="en-US"/>
              </w:rPr>
              <w:t>Emotional wellbeing</w:t>
            </w:r>
          </w:p>
        </w:tc>
        <w:tc>
          <w:tcPr>
            <w:tcW w:w="1872" w:type="dxa"/>
            <w:tcBorders>
              <w:top w:val="single" w:sz="4" w:space="0" w:color="A6A6A6"/>
              <w:left w:val="single" w:sz="4" w:space="0" w:color="auto"/>
              <w:bottom w:val="single" w:sz="4" w:space="0" w:color="auto"/>
              <w:right w:val="single" w:sz="4" w:space="0" w:color="auto"/>
            </w:tcBorders>
            <w:hideMark/>
          </w:tcPr>
          <w:p w14:paraId="56D7024D" w14:textId="77777777" w:rsidR="00D22CE3" w:rsidRPr="00F10391" w:rsidRDefault="00D22CE3" w:rsidP="005D7324">
            <w:pPr>
              <w:jc w:val="left"/>
              <w:rPr>
                <w:lang w:eastAsia="en-US"/>
              </w:rPr>
            </w:pPr>
            <w:r w:rsidRPr="00F10391">
              <w:rPr>
                <w:lang w:eastAsia="en-US"/>
              </w:rPr>
              <w:t>Educational performance</w:t>
            </w:r>
          </w:p>
        </w:tc>
      </w:tr>
      <w:tr w:rsidR="00D22CE3" w:rsidRPr="00F10391" w14:paraId="79E2E26C"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7F17F749" w14:textId="77777777" w:rsidR="00D22CE3" w:rsidRPr="00F10391" w:rsidRDefault="00D22CE3" w:rsidP="00E156D5">
            <w:pPr>
              <w:jc w:val="left"/>
              <w:rPr>
                <w:color w:val="000000"/>
                <w:lang w:eastAsia="en-US"/>
              </w:rPr>
            </w:pPr>
            <w:r w:rsidRPr="00F10391">
              <w:rPr>
                <w:lang w:eastAsia="en-US"/>
              </w:rPr>
              <w:t>PH13</w:t>
            </w:r>
          </w:p>
        </w:tc>
        <w:tc>
          <w:tcPr>
            <w:tcW w:w="1733" w:type="dxa"/>
            <w:tcBorders>
              <w:top w:val="single" w:sz="4" w:space="0" w:color="auto"/>
              <w:left w:val="single" w:sz="4" w:space="0" w:color="auto"/>
              <w:bottom w:val="single" w:sz="4" w:space="0" w:color="auto"/>
              <w:right w:val="single" w:sz="4" w:space="0" w:color="auto"/>
            </w:tcBorders>
            <w:hideMark/>
          </w:tcPr>
          <w:p w14:paraId="5576AB7F" w14:textId="77777777" w:rsidR="00D22CE3" w:rsidRPr="00F10391" w:rsidRDefault="00D22CE3" w:rsidP="00E156D5">
            <w:pPr>
              <w:jc w:val="left"/>
              <w:rPr>
                <w:lang w:eastAsia="en-US"/>
              </w:rPr>
            </w:pPr>
            <w:r w:rsidRPr="00F10391">
              <w:rPr>
                <w:lang w:eastAsia="en-US"/>
              </w:rPr>
              <w:t>Promoting physical activity in the workplace</w:t>
            </w:r>
          </w:p>
        </w:tc>
        <w:tc>
          <w:tcPr>
            <w:tcW w:w="1514" w:type="dxa"/>
            <w:tcBorders>
              <w:top w:val="single" w:sz="4" w:space="0" w:color="A6A6A6"/>
              <w:left w:val="single" w:sz="4" w:space="0" w:color="auto"/>
              <w:bottom w:val="single" w:sz="4" w:space="0" w:color="auto"/>
              <w:right w:val="single" w:sz="4" w:space="0" w:color="auto"/>
            </w:tcBorders>
            <w:hideMark/>
          </w:tcPr>
          <w:p w14:paraId="449E0A44" w14:textId="77777777" w:rsidR="00D22CE3" w:rsidRPr="00F10391" w:rsidRDefault="00D22CE3" w:rsidP="00E156D5">
            <w:pPr>
              <w:jc w:val="left"/>
              <w:rPr>
                <w:lang w:eastAsia="en-US"/>
              </w:rPr>
            </w:pPr>
            <w:r w:rsidRPr="00F10391">
              <w:rPr>
                <w:lang w:eastAsia="en-US"/>
              </w:rPr>
              <w:t>Net financial benefit</w:t>
            </w:r>
          </w:p>
        </w:tc>
        <w:tc>
          <w:tcPr>
            <w:tcW w:w="1365" w:type="dxa"/>
            <w:tcBorders>
              <w:top w:val="single" w:sz="4" w:space="0" w:color="A6A6A6"/>
              <w:left w:val="single" w:sz="4" w:space="0" w:color="auto"/>
              <w:bottom w:val="single" w:sz="4" w:space="0" w:color="auto"/>
              <w:right w:val="single" w:sz="4" w:space="0" w:color="auto"/>
            </w:tcBorders>
            <w:hideMark/>
          </w:tcPr>
          <w:p w14:paraId="7DFCB874" w14:textId="77777777" w:rsidR="00D22CE3" w:rsidRPr="00F10391" w:rsidRDefault="00D22CE3" w:rsidP="005D7324">
            <w:pPr>
              <w:jc w:val="left"/>
              <w:rPr>
                <w:lang w:eastAsia="en-US"/>
              </w:rPr>
            </w:pPr>
            <w:r w:rsidRPr="00F10391">
              <w:rPr>
                <w:lang w:eastAsia="en-US"/>
              </w:rPr>
              <w:t>Employer</w:t>
            </w:r>
          </w:p>
        </w:tc>
        <w:tc>
          <w:tcPr>
            <w:tcW w:w="1727" w:type="dxa"/>
            <w:tcBorders>
              <w:top w:val="single" w:sz="4" w:space="0" w:color="A6A6A6"/>
              <w:left w:val="single" w:sz="4" w:space="0" w:color="auto"/>
              <w:bottom w:val="single" w:sz="4" w:space="0" w:color="auto"/>
              <w:right w:val="single" w:sz="4" w:space="0" w:color="auto"/>
            </w:tcBorders>
            <w:hideMark/>
          </w:tcPr>
          <w:p w14:paraId="633D2D9A" w14:textId="77777777" w:rsidR="00D22CE3" w:rsidRPr="00F10391" w:rsidRDefault="00D22CE3" w:rsidP="005D7324">
            <w:pPr>
              <w:jc w:val="left"/>
              <w:rPr>
                <w:lang w:eastAsia="en-US"/>
              </w:rPr>
            </w:pPr>
            <w:r w:rsidRPr="00F10391">
              <w:rPr>
                <w:lang w:eastAsia="en-US"/>
              </w:rPr>
              <w:t>NA</w:t>
            </w:r>
          </w:p>
        </w:tc>
        <w:tc>
          <w:tcPr>
            <w:tcW w:w="1872" w:type="dxa"/>
            <w:tcBorders>
              <w:top w:val="single" w:sz="4" w:space="0" w:color="A6A6A6"/>
              <w:left w:val="single" w:sz="4" w:space="0" w:color="auto"/>
              <w:bottom w:val="single" w:sz="4" w:space="0" w:color="auto"/>
              <w:right w:val="single" w:sz="4" w:space="0" w:color="auto"/>
            </w:tcBorders>
            <w:hideMark/>
          </w:tcPr>
          <w:p w14:paraId="3D0B69B4" w14:textId="77777777" w:rsidR="00D22CE3" w:rsidRPr="00F10391" w:rsidRDefault="00D22CE3" w:rsidP="005D7324">
            <w:pPr>
              <w:jc w:val="left"/>
              <w:rPr>
                <w:lang w:eastAsia="en-US"/>
              </w:rPr>
            </w:pPr>
            <w:r w:rsidRPr="00F10391">
              <w:rPr>
                <w:lang w:eastAsia="en-US"/>
              </w:rPr>
              <w:t>Absenteeism</w:t>
            </w:r>
          </w:p>
        </w:tc>
      </w:tr>
      <w:tr w:rsidR="00D22CE3" w:rsidRPr="00F10391" w14:paraId="6A3D7187"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101546BE" w14:textId="77777777" w:rsidR="00D22CE3" w:rsidRPr="00F10391" w:rsidRDefault="00D22CE3" w:rsidP="00E156D5">
            <w:pPr>
              <w:jc w:val="left"/>
              <w:rPr>
                <w:lang w:eastAsia="en-US"/>
              </w:rPr>
            </w:pPr>
            <w:r w:rsidRPr="00F10391">
              <w:rPr>
                <w:lang w:eastAsia="en-US"/>
              </w:rPr>
              <w:t>PH18</w:t>
            </w:r>
          </w:p>
        </w:tc>
        <w:tc>
          <w:tcPr>
            <w:tcW w:w="1733" w:type="dxa"/>
            <w:tcBorders>
              <w:top w:val="single" w:sz="4" w:space="0" w:color="auto"/>
              <w:left w:val="single" w:sz="4" w:space="0" w:color="auto"/>
              <w:bottom w:val="single" w:sz="4" w:space="0" w:color="auto"/>
              <w:right w:val="single" w:sz="4" w:space="0" w:color="auto"/>
            </w:tcBorders>
            <w:hideMark/>
          </w:tcPr>
          <w:p w14:paraId="1B47A418" w14:textId="77777777" w:rsidR="00D22CE3" w:rsidRPr="00F10391" w:rsidRDefault="00D22CE3" w:rsidP="00E156D5">
            <w:pPr>
              <w:jc w:val="left"/>
              <w:rPr>
                <w:lang w:eastAsia="en-US"/>
              </w:rPr>
            </w:pPr>
            <w:r w:rsidRPr="00F10391">
              <w:rPr>
                <w:lang w:eastAsia="en-US"/>
              </w:rPr>
              <w:t xml:space="preserve">Needle and syringe programmes </w:t>
            </w:r>
          </w:p>
        </w:tc>
        <w:tc>
          <w:tcPr>
            <w:tcW w:w="1514" w:type="dxa"/>
            <w:tcBorders>
              <w:top w:val="single" w:sz="4" w:space="0" w:color="auto"/>
              <w:left w:val="single" w:sz="4" w:space="0" w:color="auto"/>
              <w:bottom w:val="single" w:sz="4" w:space="0" w:color="auto"/>
              <w:right w:val="single" w:sz="4" w:space="0" w:color="auto"/>
            </w:tcBorders>
            <w:hideMark/>
          </w:tcPr>
          <w:p w14:paraId="266EE19F"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06D24D62"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uto"/>
              <w:left w:val="single" w:sz="4" w:space="0" w:color="auto"/>
              <w:bottom w:val="single" w:sz="4" w:space="0" w:color="auto"/>
              <w:right w:val="single" w:sz="4" w:space="0" w:color="auto"/>
            </w:tcBorders>
            <w:hideMark/>
          </w:tcPr>
          <w:p w14:paraId="4CEF5A0E" w14:textId="77777777" w:rsidR="00D22CE3" w:rsidRPr="00F10391" w:rsidRDefault="00D22CE3" w:rsidP="005D7324">
            <w:pPr>
              <w:jc w:val="left"/>
              <w:rPr>
                <w:lang w:eastAsia="en-US"/>
              </w:rPr>
            </w:pPr>
            <w:r w:rsidRPr="00F10391">
              <w:rPr>
                <w:lang w:eastAsia="en-US"/>
              </w:rPr>
              <w:t>NHS costs</w:t>
            </w:r>
          </w:p>
        </w:tc>
        <w:tc>
          <w:tcPr>
            <w:tcW w:w="1872" w:type="dxa"/>
            <w:tcBorders>
              <w:top w:val="single" w:sz="4" w:space="0" w:color="auto"/>
              <w:left w:val="single" w:sz="4" w:space="0" w:color="auto"/>
              <w:bottom w:val="single" w:sz="4" w:space="0" w:color="auto"/>
              <w:right w:val="single" w:sz="4" w:space="0" w:color="auto"/>
            </w:tcBorders>
            <w:hideMark/>
          </w:tcPr>
          <w:p w14:paraId="155EA06F" w14:textId="77777777" w:rsidR="00D22CE3" w:rsidRPr="00F10391" w:rsidRDefault="00D22CE3" w:rsidP="005D7324">
            <w:pPr>
              <w:jc w:val="left"/>
              <w:rPr>
                <w:lang w:eastAsia="en-US"/>
              </w:rPr>
            </w:pPr>
            <w:r w:rsidRPr="00F10391">
              <w:rPr>
                <w:lang w:eastAsia="en-US"/>
              </w:rPr>
              <w:t>Intravenous drug user-associated crime</w:t>
            </w:r>
          </w:p>
        </w:tc>
      </w:tr>
      <w:tr w:rsidR="00D22CE3" w:rsidRPr="00F10391" w14:paraId="10A9A98D"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52393284" w14:textId="77777777" w:rsidR="00D22CE3" w:rsidRPr="00F10391" w:rsidRDefault="00D22CE3" w:rsidP="00E156D5">
            <w:pPr>
              <w:jc w:val="left"/>
              <w:rPr>
                <w:color w:val="000000"/>
                <w:lang w:eastAsia="en-US"/>
              </w:rPr>
            </w:pPr>
            <w:r w:rsidRPr="00F10391">
              <w:rPr>
                <w:lang w:eastAsia="en-US"/>
              </w:rPr>
              <w:t>PH19</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7753D00F" w14:textId="77777777" w:rsidR="00D22CE3" w:rsidRPr="00F10391" w:rsidRDefault="00D22CE3" w:rsidP="00E156D5">
            <w:pPr>
              <w:jc w:val="left"/>
              <w:rPr>
                <w:lang w:eastAsia="en-US"/>
              </w:rPr>
            </w:pPr>
            <w:r w:rsidRPr="00F10391">
              <w:rPr>
                <w:lang w:eastAsia="en-US"/>
              </w:rPr>
              <w:t>Management of long-term sickness and incapacity for work</w:t>
            </w:r>
          </w:p>
        </w:tc>
        <w:tc>
          <w:tcPr>
            <w:tcW w:w="1514" w:type="dxa"/>
            <w:tcBorders>
              <w:top w:val="single" w:sz="4" w:space="0" w:color="A6A6A6"/>
              <w:left w:val="single" w:sz="4" w:space="0" w:color="auto"/>
              <w:bottom w:val="single" w:sz="4" w:space="0" w:color="A6A6A6"/>
              <w:right w:val="single" w:sz="4" w:space="0" w:color="auto"/>
            </w:tcBorders>
            <w:hideMark/>
          </w:tcPr>
          <w:p w14:paraId="6561D50B"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6A6A6"/>
              <w:left w:val="single" w:sz="4" w:space="0" w:color="auto"/>
              <w:bottom w:val="single" w:sz="4" w:space="0" w:color="A6A6A6"/>
              <w:right w:val="single" w:sz="4" w:space="0" w:color="auto"/>
            </w:tcBorders>
            <w:hideMark/>
          </w:tcPr>
          <w:p w14:paraId="7537021A"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6A6A6"/>
              <w:right w:val="single" w:sz="4" w:space="0" w:color="auto"/>
            </w:tcBorders>
            <w:hideMark/>
          </w:tcPr>
          <w:p w14:paraId="5A5889FE" w14:textId="77777777" w:rsidR="00D22CE3" w:rsidRPr="00F10391" w:rsidRDefault="00D22CE3" w:rsidP="005D7324">
            <w:pPr>
              <w:jc w:val="left"/>
              <w:rPr>
                <w:lang w:eastAsia="en-US"/>
              </w:rPr>
            </w:pPr>
            <w:r w:rsidRPr="00F10391">
              <w:rPr>
                <w:lang w:eastAsia="en-US"/>
              </w:rPr>
              <w:t xml:space="preserve">Quality of life while on /off sick leave, derived from previous SF-6D BHPS data </w:t>
            </w:r>
          </w:p>
        </w:tc>
        <w:tc>
          <w:tcPr>
            <w:tcW w:w="1872" w:type="dxa"/>
            <w:tcBorders>
              <w:top w:val="single" w:sz="4" w:space="0" w:color="A6A6A6"/>
              <w:left w:val="single" w:sz="4" w:space="0" w:color="auto"/>
              <w:bottom w:val="single" w:sz="4" w:space="0" w:color="A6A6A6"/>
              <w:right w:val="single" w:sz="4" w:space="0" w:color="auto"/>
            </w:tcBorders>
            <w:hideMark/>
          </w:tcPr>
          <w:p w14:paraId="11B2BA81" w14:textId="77777777" w:rsidR="00D22CE3" w:rsidRPr="00F10391" w:rsidRDefault="00D22CE3" w:rsidP="005D7324">
            <w:pPr>
              <w:jc w:val="left"/>
              <w:rPr>
                <w:lang w:eastAsia="en-US"/>
              </w:rPr>
            </w:pPr>
            <w:r w:rsidRPr="00F10391">
              <w:rPr>
                <w:lang w:eastAsia="en-US"/>
              </w:rPr>
              <w:t>Transfer costs for first six months (such as statutory sick pay, incapacity benefit)</w:t>
            </w:r>
          </w:p>
        </w:tc>
      </w:tr>
      <w:tr w:rsidR="00D22CE3" w:rsidRPr="00F10391" w14:paraId="57B646F2"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57DA5306"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DAFEDFC"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1149D077"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6A6A6"/>
              <w:left w:val="single" w:sz="4" w:space="0" w:color="auto"/>
              <w:bottom w:val="single" w:sz="4" w:space="0" w:color="auto"/>
              <w:right w:val="single" w:sz="4" w:space="0" w:color="auto"/>
            </w:tcBorders>
            <w:hideMark/>
          </w:tcPr>
          <w:p w14:paraId="57CF18B5" w14:textId="77777777" w:rsidR="00D22CE3" w:rsidRPr="00F10391" w:rsidRDefault="00D22CE3" w:rsidP="00E156D5">
            <w:pPr>
              <w:jc w:val="left"/>
              <w:rPr>
                <w:lang w:eastAsia="en-US"/>
              </w:rPr>
            </w:pPr>
            <w:r w:rsidRPr="00F10391">
              <w:rPr>
                <w:lang w:eastAsia="en-US"/>
              </w:rPr>
              <w:t>Employer</w:t>
            </w:r>
          </w:p>
        </w:tc>
        <w:tc>
          <w:tcPr>
            <w:tcW w:w="1727" w:type="dxa"/>
            <w:tcBorders>
              <w:top w:val="single" w:sz="4" w:space="0" w:color="A6A6A6"/>
              <w:left w:val="single" w:sz="4" w:space="0" w:color="auto"/>
              <w:bottom w:val="single" w:sz="4" w:space="0" w:color="auto"/>
              <w:right w:val="single" w:sz="4" w:space="0" w:color="auto"/>
            </w:tcBorders>
            <w:hideMark/>
          </w:tcPr>
          <w:p w14:paraId="3EF3A96D" w14:textId="77777777" w:rsidR="00D22CE3" w:rsidRPr="00F10391" w:rsidRDefault="00D22CE3" w:rsidP="005D7324">
            <w:pPr>
              <w:jc w:val="left"/>
              <w:rPr>
                <w:lang w:eastAsia="en-US"/>
              </w:rPr>
            </w:pPr>
            <w:r w:rsidRPr="00F10391">
              <w:rPr>
                <w:lang w:eastAsia="en-US"/>
              </w:rPr>
              <w:t>NA</w:t>
            </w:r>
          </w:p>
        </w:tc>
        <w:tc>
          <w:tcPr>
            <w:tcW w:w="1872" w:type="dxa"/>
            <w:tcBorders>
              <w:top w:val="single" w:sz="4" w:space="0" w:color="A6A6A6"/>
              <w:left w:val="single" w:sz="4" w:space="0" w:color="auto"/>
              <w:bottom w:val="single" w:sz="4" w:space="0" w:color="auto"/>
              <w:right w:val="single" w:sz="4" w:space="0" w:color="auto"/>
            </w:tcBorders>
            <w:hideMark/>
          </w:tcPr>
          <w:p w14:paraId="24B793FD" w14:textId="77777777" w:rsidR="00D22CE3" w:rsidRPr="00F10391" w:rsidRDefault="00D22CE3" w:rsidP="005D7324">
            <w:pPr>
              <w:jc w:val="left"/>
              <w:rPr>
                <w:lang w:eastAsia="en-US"/>
              </w:rPr>
            </w:pPr>
            <w:r w:rsidRPr="00F10391">
              <w:rPr>
                <w:lang w:eastAsia="en-US"/>
              </w:rPr>
              <w:t>“Incremental cost per day of sick leave avoided”</w:t>
            </w:r>
          </w:p>
          <w:p w14:paraId="31B51F23" w14:textId="77777777" w:rsidR="00D22CE3" w:rsidRPr="00F10391" w:rsidRDefault="00D22CE3" w:rsidP="005D7324">
            <w:pPr>
              <w:jc w:val="left"/>
              <w:rPr>
                <w:lang w:eastAsia="en-US"/>
              </w:rPr>
            </w:pPr>
            <w:r w:rsidRPr="00F10391">
              <w:rPr>
                <w:lang w:eastAsia="en-US"/>
              </w:rPr>
              <w:t>Cost of intervention</w:t>
            </w:r>
          </w:p>
          <w:p w14:paraId="0C784D79" w14:textId="77777777" w:rsidR="00D22CE3" w:rsidRPr="00F10391" w:rsidRDefault="00D22CE3" w:rsidP="005D7324">
            <w:pPr>
              <w:jc w:val="left"/>
              <w:rPr>
                <w:lang w:eastAsia="en-US"/>
              </w:rPr>
            </w:pPr>
            <w:r w:rsidRPr="00F10391">
              <w:rPr>
                <w:lang w:eastAsia="en-US"/>
              </w:rPr>
              <w:t>Official sick pay</w:t>
            </w:r>
          </w:p>
          <w:p w14:paraId="7E40C091" w14:textId="77777777" w:rsidR="00D22CE3" w:rsidRPr="00F10391" w:rsidRDefault="00D22CE3" w:rsidP="005D7324">
            <w:pPr>
              <w:jc w:val="left"/>
              <w:rPr>
                <w:lang w:eastAsia="en-US"/>
              </w:rPr>
            </w:pPr>
            <w:r w:rsidRPr="00F10391">
              <w:rPr>
                <w:lang w:eastAsia="en-US"/>
              </w:rPr>
              <w:t xml:space="preserve">Production loss </w:t>
            </w:r>
          </w:p>
          <w:p w14:paraId="152881ED" w14:textId="77777777" w:rsidR="00D22CE3" w:rsidRPr="00F10391" w:rsidRDefault="00D22CE3" w:rsidP="005D7324">
            <w:pPr>
              <w:jc w:val="left"/>
              <w:rPr>
                <w:lang w:eastAsia="en-US"/>
              </w:rPr>
            </w:pPr>
            <w:r w:rsidRPr="00F10391">
              <w:rPr>
                <w:lang w:eastAsia="en-US"/>
              </w:rPr>
              <w:t>National insurance</w:t>
            </w:r>
          </w:p>
          <w:p w14:paraId="4E0D0F54" w14:textId="77777777" w:rsidR="00D22CE3" w:rsidRPr="00F10391" w:rsidRDefault="00D22CE3" w:rsidP="005D7324">
            <w:pPr>
              <w:jc w:val="left"/>
              <w:rPr>
                <w:lang w:eastAsia="en-US"/>
              </w:rPr>
            </w:pPr>
            <w:r w:rsidRPr="00F10391">
              <w:rPr>
                <w:lang w:eastAsia="en-US"/>
              </w:rPr>
              <w:lastRenderedPageBreak/>
              <w:t>Recruitment of new staff</w:t>
            </w:r>
          </w:p>
          <w:p w14:paraId="6611E620" w14:textId="77777777" w:rsidR="00D22CE3" w:rsidRPr="00F10391" w:rsidRDefault="00D22CE3" w:rsidP="005D7324">
            <w:pPr>
              <w:jc w:val="left"/>
              <w:rPr>
                <w:lang w:eastAsia="en-US"/>
              </w:rPr>
            </w:pPr>
            <w:r w:rsidRPr="00F10391">
              <w:rPr>
                <w:lang w:eastAsia="en-US"/>
              </w:rPr>
              <w:t>Wage of new staff</w:t>
            </w:r>
          </w:p>
        </w:tc>
      </w:tr>
      <w:tr w:rsidR="00D22CE3" w:rsidRPr="00F10391" w14:paraId="53303F0A"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06CC8C48" w14:textId="77777777" w:rsidR="00D22CE3" w:rsidRPr="00F10391" w:rsidRDefault="00D22CE3" w:rsidP="00E156D5">
            <w:pPr>
              <w:jc w:val="left"/>
              <w:rPr>
                <w:lang w:eastAsia="en-US"/>
              </w:rPr>
            </w:pPr>
            <w:r w:rsidRPr="00F10391">
              <w:rPr>
                <w:lang w:eastAsia="en-US"/>
              </w:rPr>
              <w:lastRenderedPageBreak/>
              <w:t>PH20</w:t>
            </w:r>
          </w:p>
        </w:tc>
        <w:tc>
          <w:tcPr>
            <w:tcW w:w="1733" w:type="dxa"/>
            <w:tcBorders>
              <w:top w:val="single" w:sz="4" w:space="0" w:color="auto"/>
              <w:left w:val="single" w:sz="4" w:space="0" w:color="auto"/>
              <w:bottom w:val="single" w:sz="4" w:space="0" w:color="auto"/>
              <w:right w:val="single" w:sz="4" w:space="0" w:color="auto"/>
            </w:tcBorders>
            <w:hideMark/>
          </w:tcPr>
          <w:p w14:paraId="702E5BE1" w14:textId="77777777" w:rsidR="00D22CE3" w:rsidRPr="00F10391" w:rsidRDefault="00D22CE3" w:rsidP="00E156D5">
            <w:pPr>
              <w:jc w:val="left"/>
              <w:rPr>
                <w:lang w:eastAsia="en-US"/>
              </w:rPr>
            </w:pPr>
            <w:r w:rsidRPr="00F10391">
              <w:rPr>
                <w:lang w:eastAsia="en-US"/>
              </w:rPr>
              <w:t>Social and emotional wellbeing in secondary education</w:t>
            </w:r>
          </w:p>
        </w:tc>
        <w:tc>
          <w:tcPr>
            <w:tcW w:w="1514" w:type="dxa"/>
            <w:tcBorders>
              <w:top w:val="single" w:sz="4" w:space="0" w:color="auto"/>
              <w:left w:val="single" w:sz="4" w:space="0" w:color="auto"/>
              <w:bottom w:val="single" w:sz="4" w:space="0" w:color="auto"/>
              <w:right w:val="single" w:sz="4" w:space="0" w:color="auto"/>
            </w:tcBorders>
            <w:hideMark/>
          </w:tcPr>
          <w:p w14:paraId="3D87A9A5"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1883EFCB"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auto"/>
              <w:right w:val="single" w:sz="4" w:space="0" w:color="auto"/>
            </w:tcBorders>
          </w:tcPr>
          <w:p w14:paraId="1892F1DA" w14:textId="77777777" w:rsidR="00D22CE3" w:rsidRPr="00F10391" w:rsidRDefault="00D22CE3" w:rsidP="005D7324">
            <w:pPr>
              <w:jc w:val="left"/>
              <w:rPr>
                <w:lang w:eastAsia="en-US"/>
              </w:rPr>
            </w:pPr>
            <w:r w:rsidRPr="00F10391">
              <w:rPr>
                <w:lang w:eastAsia="en-US"/>
              </w:rPr>
              <w:t>Adult related mortality due to reduced educational attainment and income due to bullying</w:t>
            </w:r>
          </w:p>
          <w:p w14:paraId="5854E706" w14:textId="77777777" w:rsidR="00D22CE3" w:rsidRPr="00F10391" w:rsidRDefault="00D22CE3" w:rsidP="005D7324">
            <w:pPr>
              <w:jc w:val="left"/>
              <w:rPr>
                <w:lang w:eastAsia="en-US"/>
              </w:rPr>
            </w:pPr>
          </w:p>
          <w:p w14:paraId="4C2FBF2D" w14:textId="77777777" w:rsidR="00D22CE3" w:rsidRPr="00F10391" w:rsidRDefault="00D22CE3" w:rsidP="005D7324">
            <w:pPr>
              <w:jc w:val="left"/>
              <w:rPr>
                <w:lang w:eastAsia="en-US"/>
              </w:rPr>
            </w:pPr>
            <w:r w:rsidRPr="00F10391">
              <w:rPr>
                <w:lang w:eastAsia="en-US"/>
              </w:rPr>
              <w:t>Adult quality of life related to prior abuse</w:t>
            </w:r>
          </w:p>
        </w:tc>
        <w:tc>
          <w:tcPr>
            <w:tcW w:w="1872" w:type="dxa"/>
            <w:tcBorders>
              <w:top w:val="single" w:sz="4" w:space="0" w:color="auto"/>
              <w:left w:val="single" w:sz="4" w:space="0" w:color="auto"/>
              <w:bottom w:val="single" w:sz="4" w:space="0" w:color="auto"/>
              <w:right w:val="single" w:sz="4" w:space="0" w:color="auto"/>
            </w:tcBorders>
            <w:hideMark/>
          </w:tcPr>
          <w:p w14:paraId="5EC5EDB3" w14:textId="77777777" w:rsidR="00D22CE3" w:rsidRPr="00F10391" w:rsidRDefault="00D22CE3" w:rsidP="005D7324">
            <w:pPr>
              <w:jc w:val="left"/>
              <w:rPr>
                <w:lang w:eastAsia="en-US"/>
              </w:rPr>
            </w:pPr>
            <w:r w:rsidRPr="00F10391">
              <w:rPr>
                <w:lang w:eastAsia="en-US"/>
              </w:rPr>
              <w:t>Educational outcomes</w:t>
            </w:r>
          </w:p>
          <w:p w14:paraId="6A3CC963" w14:textId="77777777" w:rsidR="00D22CE3" w:rsidRPr="00F10391" w:rsidRDefault="00D22CE3" w:rsidP="005D7324">
            <w:pPr>
              <w:jc w:val="left"/>
              <w:rPr>
                <w:lang w:eastAsia="en-US"/>
              </w:rPr>
            </w:pPr>
            <w:r w:rsidRPr="00F10391">
              <w:rPr>
                <w:lang w:eastAsia="en-US"/>
              </w:rPr>
              <w:t>Educational salaries</w:t>
            </w:r>
          </w:p>
          <w:p w14:paraId="3906C13E" w14:textId="77777777" w:rsidR="00D22CE3" w:rsidRPr="00F10391" w:rsidRDefault="00D22CE3" w:rsidP="005D7324">
            <w:pPr>
              <w:jc w:val="left"/>
              <w:rPr>
                <w:lang w:eastAsia="en-US"/>
              </w:rPr>
            </w:pPr>
            <w:r w:rsidRPr="00F10391">
              <w:rPr>
                <w:lang w:eastAsia="en-US"/>
              </w:rPr>
              <w:t xml:space="preserve">Future wages </w:t>
            </w:r>
          </w:p>
        </w:tc>
      </w:tr>
      <w:tr w:rsidR="00D22CE3" w:rsidRPr="00F10391" w14:paraId="46B7D517"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7CEF4276" w14:textId="77777777" w:rsidR="00D22CE3" w:rsidRPr="00F10391" w:rsidRDefault="00D22CE3" w:rsidP="00E156D5">
            <w:pPr>
              <w:jc w:val="left"/>
              <w:rPr>
                <w:lang w:eastAsia="en-US"/>
              </w:rPr>
            </w:pPr>
            <w:r w:rsidRPr="00F10391">
              <w:rPr>
                <w:lang w:eastAsia="en-US"/>
              </w:rPr>
              <w:t>PH24</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01D5B549" w14:textId="77777777" w:rsidR="00D22CE3" w:rsidRPr="00F10391" w:rsidRDefault="00D22CE3" w:rsidP="00E156D5">
            <w:pPr>
              <w:jc w:val="left"/>
              <w:rPr>
                <w:lang w:eastAsia="en-US"/>
              </w:rPr>
            </w:pPr>
            <w:r w:rsidRPr="00F10391">
              <w:rPr>
                <w:lang w:eastAsia="en-US"/>
              </w:rPr>
              <w:t xml:space="preserve">Alcohol-use disorders – preventing harmful drinking </w:t>
            </w:r>
          </w:p>
        </w:tc>
        <w:tc>
          <w:tcPr>
            <w:tcW w:w="1514" w:type="dxa"/>
            <w:tcBorders>
              <w:top w:val="single" w:sz="4" w:space="0" w:color="auto"/>
              <w:left w:val="single" w:sz="4" w:space="0" w:color="auto"/>
              <w:bottom w:val="single" w:sz="4" w:space="0" w:color="A6A6A6"/>
              <w:right w:val="single" w:sz="4" w:space="0" w:color="auto"/>
            </w:tcBorders>
            <w:hideMark/>
          </w:tcPr>
          <w:p w14:paraId="7E987447"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6A6A6"/>
              <w:right w:val="single" w:sz="4" w:space="0" w:color="auto"/>
            </w:tcBorders>
          </w:tcPr>
          <w:p w14:paraId="39B1C1EE" w14:textId="77777777" w:rsidR="00D22CE3" w:rsidRPr="00F10391" w:rsidRDefault="00D22CE3" w:rsidP="005D7324">
            <w:pPr>
              <w:jc w:val="left"/>
              <w:rPr>
                <w:lang w:eastAsia="en-US"/>
              </w:rPr>
            </w:pPr>
            <w:r w:rsidRPr="00F10391">
              <w:rPr>
                <w:lang w:eastAsia="en-US"/>
              </w:rPr>
              <w:t>NHS &amp; PSS for screening and brief interventions</w:t>
            </w:r>
          </w:p>
          <w:p w14:paraId="736994DC" w14:textId="77777777" w:rsidR="00D22CE3" w:rsidRPr="00F10391" w:rsidRDefault="00D22CE3" w:rsidP="005D7324">
            <w:pPr>
              <w:jc w:val="left"/>
              <w:rPr>
                <w:lang w:eastAsia="en-US"/>
              </w:rPr>
            </w:pPr>
          </w:p>
          <w:p w14:paraId="3480AE1D" w14:textId="77777777" w:rsidR="00D22CE3" w:rsidRPr="00F10391" w:rsidRDefault="00D22CE3" w:rsidP="005D7324">
            <w:pPr>
              <w:jc w:val="left"/>
              <w:rPr>
                <w:lang w:eastAsia="en-US"/>
              </w:rPr>
            </w:pPr>
            <w:r w:rsidRPr="00F10391">
              <w:rPr>
                <w:lang w:eastAsia="en-US"/>
              </w:rPr>
              <w:t>Public sector for others</w:t>
            </w:r>
          </w:p>
        </w:tc>
        <w:tc>
          <w:tcPr>
            <w:tcW w:w="1727" w:type="dxa"/>
            <w:tcBorders>
              <w:top w:val="single" w:sz="4" w:space="0" w:color="auto"/>
              <w:left w:val="single" w:sz="4" w:space="0" w:color="auto"/>
              <w:bottom w:val="single" w:sz="4" w:space="0" w:color="A6A6A6"/>
              <w:right w:val="single" w:sz="4" w:space="0" w:color="auto"/>
            </w:tcBorders>
            <w:hideMark/>
          </w:tcPr>
          <w:p w14:paraId="47A4617B" w14:textId="77777777" w:rsidR="00D22CE3" w:rsidRPr="00F10391" w:rsidRDefault="00D22CE3" w:rsidP="005D7324">
            <w:pPr>
              <w:jc w:val="left"/>
              <w:rPr>
                <w:lang w:eastAsia="en-US"/>
              </w:rPr>
            </w:pPr>
            <w:r w:rsidRPr="00F10391">
              <w:rPr>
                <w:lang w:eastAsia="en-US"/>
              </w:rPr>
              <w:t>Total 47 conditions, sub categorised by:</w:t>
            </w:r>
          </w:p>
          <w:p w14:paraId="083C8873" w14:textId="77777777" w:rsidR="00D22CE3" w:rsidRPr="00F10391" w:rsidRDefault="00D22CE3" w:rsidP="005D7324">
            <w:pPr>
              <w:jc w:val="left"/>
              <w:rPr>
                <w:lang w:eastAsia="en-US"/>
              </w:rPr>
            </w:pPr>
            <w:r w:rsidRPr="00F10391">
              <w:rPr>
                <w:lang w:eastAsia="en-US"/>
              </w:rPr>
              <w:t>*Acute</w:t>
            </w:r>
          </w:p>
          <w:p w14:paraId="154B5250" w14:textId="77777777" w:rsidR="00D22CE3" w:rsidRPr="00F10391" w:rsidRDefault="00D22CE3" w:rsidP="005D7324">
            <w:pPr>
              <w:jc w:val="left"/>
              <w:rPr>
                <w:lang w:eastAsia="en-US"/>
              </w:rPr>
            </w:pPr>
            <w:r w:rsidRPr="00F10391">
              <w:rPr>
                <w:lang w:eastAsia="en-US"/>
              </w:rPr>
              <w:t>*Chronic</w:t>
            </w:r>
          </w:p>
        </w:tc>
        <w:tc>
          <w:tcPr>
            <w:tcW w:w="1872" w:type="dxa"/>
            <w:tcBorders>
              <w:top w:val="single" w:sz="4" w:space="0" w:color="auto"/>
              <w:left w:val="single" w:sz="4" w:space="0" w:color="auto"/>
              <w:bottom w:val="single" w:sz="4" w:space="0" w:color="A6A6A6"/>
              <w:right w:val="single" w:sz="4" w:space="0" w:color="auto"/>
            </w:tcBorders>
          </w:tcPr>
          <w:p w14:paraId="05A172D3" w14:textId="77777777" w:rsidR="00D22CE3" w:rsidRPr="00F10391" w:rsidRDefault="00D22CE3" w:rsidP="005D7324">
            <w:pPr>
              <w:jc w:val="left"/>
              <w:rPr>
                <w:lang w:eastAsia="en-US"/>
              </w:rPr>
            </w:pPr>
            <w:r w:rsidRPr="00F10391">
              <w:rPr>
                <w:lang w:eastAsia="en-US"/>
              </w:rPr>
              <w:t>Crime (20 total crimes, subcategorised by)</w:t>
            </w:r>
          </w:p>
          <w:p w14:paraId="1DBEBF21" w14:textId="77777777" w:rsidR="00D22CE3" w:rsidRPr="00F10391" w:rsidRDefault="00D22CE3" w:rsidP="005D7324">
            <w:pPr>
              <w:jc w:val="left"/>
              <w:rPr>
                <w:lang w:eastAsia="en-US"/>
              </w:rPr>
            </w:pPr>
            <w:r w:rsidRPr="00F10391">
              <w:rPr>
                <w:lang w:eastAsia="en-US"/>
              </w:rPr>
              <w:t>*Violence</w:t>
            </w:r>
          </w:p>
          <w:p w14:paraId="39B70A7D" w14:textId="77777777" w:rsidR="00D22CE3" w:rsidRPr="00F10391" w:rsidRDefault="00D22CE3" w:rsidP="005D7324">
            <w:pPr>
              <w:jc w:val="left"/>
              <w:rPr>
                <w:lang w:eastAsia="en-US"/>
              </w:rPr>
            </w:pPr>
            <w:r w:rsidRPr="00F10391">
              <w:rPr>
                <w:lang w:eastAsia="en-US"/>
              </w:rPr>
              <w:t>*Criminal damage</w:t>
            </w:r>
          </w:p>
          <w:p w14:paraId="3E1A2B69" w14:textId="77777777" w:rsidR="00D22CE3" w:rsidRPr="00F10391" w:rsidRDefault="00D22CE3" w:rsidP="005D7324">
            <w:pPr>
              <w:jc w:val="left"/>
              <w:rPr>
                <w:lang w:eastAsia="en-US"/>
              </w:rPr>
            </w:pPr>
            <w:r w:rsidRPr="00F10391">
              <w:rPr>
                <w:lang w:eastAsia="en-US"/>
              </w:rPr>
              <w:t>*Robbery</w:t>
            </w:r>
          </w:p>
          <w:p w14:paraId="0D00385C" w14:textId="77777777" w:rsidR="00D22CE3" w:rsidRPr="00F10391" w:rsidRDefault="00D22CE3" w:rsidP="005D7324">
            <w:pPr>
              <w:jc w:val="left"/>
              <w:rPr>
                <w:lang w:eastAsia="en-US"/>
              </w:rPr>
            </w:pPr>
            <w:r w:rsidRPr="00F10391">
              <w:rPr>
                <w:lang w:eastAsia="en-US"/>
              </w:rPr>
              <w:t>*Other</w:t>
            </w:r>
          </w:p>
          <w:p w14:paraId="5C7ED366" w14:textId="77777777" w:rsidR="00D22CE3" w:rsidRPr="00F10391" w:rsidRDefault="00D22CE3" w:rsidP="005D7324">
            <w:pPr>
              <w:jc w:val="left"/>
              <w:rPr>
                <w:lang w:eastAsia="en-US"/>
              </w:rPr>
            </w:pPr>
          </w:p>
          <w:p w14:paraId="0880CFD1" w14:textId="77777777" w:rsidR="00D22CE3" w:rsidRPr="00F10391" w:rsidRDefault="00D22CE3" w:rsidP="005D7324">
            <w:pPr>
              <w:jc w:val="left"/>
              <w:rPr>
                <w:lang w:eastAsia="en-US"/>
              </w:rPr>
            </w:pPr>
            <w:r w:rsidRPr="00F10391">
              <w:rPr>
                <w:lang w:eastAsia="en-US"/>
              </w:rPr>
              <w:t>Workplace</w:t>
            </w:r>
          </w:p>
          <w:p w14:paraId="50B13DA5" w14:textId="77777777" w:rsidR="00D22CE3" w:rsidRPr="00F10391" w:rsidRDefault="00D22CE3" w:rsidP="005D7324">
            <w:pPr>
              <w:jc w:val="left"/>
              <w:rPr>
                <w:lang w:eastAsia="en-US"/>
              </w:rPr>
            </w:pPr>
            <w:r w:rsidRPr="00F10391">
              <w:rPr>
                <w:lang w:eastAsia="en-US"/>
              </w:rPr>
              <w:t>*Days of absence</w:t>
            </w:r>
          </w:p>
          <w:p w14:paraId="3A96D00A" w14:textId="77777777" w:rsidR="00D22CE3" w:rsidRPr="00F10391" w:rsidRDefault="00D22CE3" w:rsidP="005D7324">
            <w:pPr>
              <w:jc w:val="left"/>
              <w:rPr>
                <w:lang w:eastAsia="en-US"/>
              </w:rPr>
            </w:pPr>
            <w:r w:rsidRPr="00F10391">
              <w:rPr>
                <w:lang w:eastAsia="en-US"/>
              </w:rPr>
              <w:t>*Unemployment</w:t>
            </w:r>
          </w:p>
        </w:tc>
      </w:tr>
      <w:tr w:rsidR="00D22CE3" w:rsidRPr="00F10391" w14:paraId="0C806AB1"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1576BBCF"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070FAF9F"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6A6A6"/>
              <w:right w:val="single" w:sz="4" w:space="0" w:color="auto"/>
            </w:tcBorders>
            <w:hideMark/>
          </w:tcPr>
          <w:p w14:paraId="7FD11BCF" w14:textId="77777777" w:rsidR="00D22CE3" w:rsidRPr="00F10391" w:rsidRDefault="00D22CE3" w:rsidP="00E156D5">
            <w:pPr>
              <w:jc w:val="left"/>
              <w:rPr>
                <w:lang w:eastAsia="en-US"/>
              </w:rPr>
            </w:pPr>
            <w:r w:rsidRPr="00F10391">
              <w:rPr>
                <w:lang w:eastAsia="en-US"/>
              </w:rPr>
              <w:t>CBA (or Net Financial benefit?)</w:t>
            </w:r>
          </w:p>
          <w:p w14:paraId="1424C51F" w14:textId="77777777" w:rsidR="00D22CE3" w:rsidRPr="00F10391" w:rsidRDefault="00D22CE3" w:rsidP="00E156D5">
            <w:pPr>
              <w:jc w:val="left"/>
              <w:rPr>
                <w:lang w:eastAsia="en-US"/>
              </w:rPr>
            </w:pPr>
            <w:r w:rsidRPr="00F10391">
              <w:rPr>
                <w:lang w:eastAsia="en-US"/>
              </w:rPr>
              <w:lastRenderedPageBreak/>
              <w:t>“Valuation of harms analysis”</w:t>
            </w:r>
          </w:p>
        </w:tc>
        <w:tc>
          <w:tcPr>
            <w:tcW w:w="1365" w:type="dxa"/>
            <w:tcBorders>
              <w:top w:val="single" w:sz="4" w:space="0" w:color="A6A6A6"/>
              <w:left w:val="single" w:sz="4" w:space="0" w:color="auto"/>
              <w:bottom w:val="single" w:sz="4" w:space="0" w:color="A6A6A6"/>
              <w:right w:val="single" w:sz="4" w:space="0" w:color="auto"/>
            </w:tcBorders>
            <w:hideMark/>
          </w:tcPr>
          <w:p w14:paraId="61AADF8C" w14:textId="77777777" w:rsidR="00D22CE3" w:rsidRPr="00F10391" w:rsidRDefault="00D22CE3" w:rsidP="005D7324">
            <w:pPr>
              <w:jc w:val="left"/>
              <w:rPr>
                <w:lang w:eastAsia="en-US"/>
              </w:rPr>
            </w:pPr>
            <w:r w:rsidRPr="00F10391">
              <w:rPr>
                <w:lang w:eastAsia="en-US"/>
              </w:rPr>
              <w:lastRenderedPageBreak/>
              <w:t>Societal</w:t>
            </w:r>
          </w:p>
        </w:tc>
        <w:tc>
          <w:tcPr>
            <w:tcW w:w="1727" w:type="dxa"/>
            <w:tcBorders>
              <w:top w:val="single" w:sz="4" w:space="0" w:color="A6A6A6"/>
              <w:left w:val="single" w:sz="4" w:space="0" w:color="auto"/>
              <w:bottom w:val="single" w:sz="4" w:space="0" w:color="A6A6A6"/>
              <w:right w:val="single" w:sz="4" w:space="0" w:color="auto"/>
            </w:tcBorders>
          </w:tcPr>
          <w:p w14:paraId="734EDAEB" w14:textId="77777777" w:rsidR="00D22CE3" w:rsidRPr="00F10391" w:rsidRDefault="00D22CE3" w:rsidP="005D7324">
            <w:pPr>
              <w:jc w:val="left"/>
              <w:rPr>
                <w:lang w:eastAsia="en-US"/>
              </w:rPr>
            </w:pPr>
            <w:r w:rsidRPr="00F10391">
              <w:rPr>
                <w:lang w:eastAsia="en-US"/>
              </w:rPr>
              <w:t xml:space="preserve">Costs to healthcare services </w:t>
            </w:r>
          </w:p>
          <w:p w14:paraId="33315A24" w14:textId="77777777" w:rsidR="00D22CE3" w:rsidRPr="00F10391" w:rsidRDefault="00D22CE3" w:rsidP="005D7324">
            <w:pPr>
              <w:jc w:val="left"/>
              <w:rPr>
                <w:lang w:eastAsia="en-US"/>
              </w:rPr>
            </w:pPr>
          </w:p>
          <w:p w14:paraId="075BD8CB" w14:textId="77777777" w:rsidR="00D22CE3" w:rsidRPr="00F10391" w:rsidRDefault="00D22CE3" w:rsidP="005D7324">
            <w:pPr>
              <w:jc w:val="left"/>
              <w:rPr>
                <w:lang w:eastAsia="en-US"/>
              </w:rPr>
            </w:pPr>
            <w:r w:rsidRPr="00F10391">
              <w:rPr>
                <w:lang w:eastAsia="en-US"/>
              </w:rPr>
              <w:t xml:space="preserve">A financial value of the health gain (per QALY) </w:t>
            </w:r>
          </w:p>
        </w:tc>
        <w:tc>
          <w:tcPr>
            <w:tcW w:w="1872" w:type="dxa"/>
            <w:tcBorders>
              <w:top w:val="single" w:sz="4" w:space="0" w:color="A6A6A6"/>
              <w:left w:val="single" w:sz="4" w:space="0" w:color="auto"/>
              <w:bottom w:val="single" w:sz="4" w:space="0" w:color="A6A6A6"/>
              <w:right w:val="single" w:sz="4" w:space="0" w:color="auto"/>
            </w:tcBorders>
            <w:hideMark/>
          </w:tcPr>
          <w:p w14:paraId="6998A2AF" w14:textId="77777777" w:rsidR="00D22CE3" w:rsidRPr="00F10391" w:rsidRDefault="00D22CE3" w:rsidP="005D7324">
            <w:pPr>
              <w:jc w:val="left"/>
              <w:rPr>
                <w:lang w:eastAsia="en-US"/>
              </w:rPr>
            </w:pPr>
            <w:r w:rsidRPr="00F10391">
              <w:rPr>
                <w:lang w:eastAsia="en-US"/>
              </w:rPr>
              <w:lastRenderedPageBreak/>
              <w:t xml:space="preserve">Costs to the criminal justice system </w:t>
            </w:r>
          </w:p>
          <w:p w14:paraId="1FA60398" w14:textId="77777777" w:rsidR="00D22CE3" w:rsidRPr="00F10391" w:rsidRDefault="00D22CE3" w:rsidP="005D7324">
            <w:pPr>
              <w:jc w:val="left"/>
              <w:rPr>
                <w:lang w:eastAsia="en-US"/>
              </w:rPr>
            </w:pPr>
            <w:r w:rsidRPr="00F10391">
              <w:rPr>
                <w:lang w:eastAsia="en-US"/>
              </w:rPr>
              <w:lastRenderedPageBreak/>
              <w:t xml:space="preserve">Costs of days of absence </w:t>
            </w:r>
          </w:p>
          <w:p w14:paraId="3EE4A6E6" w14:textId="77777777" w:rsidR="00D22CE3" w:rsidRPr="00F10391" w:rsidRDefault="00D22CE3" w:rsidP="005D7324">
            <w:pPr>
              <w:jc w:val="left"/>
              <w:rPr>
                <w:lang w:eastAsia="en-US"/>
              </w:rPr>
            </w:pPr>
            <w:r w:rsidRPr="00F10391">
              <w:rPr>
                <w:lang w:eastAsia="en-US"/>
              </w:rPr>
              <w:t xml:space="preserve">Costs of lost productivity due to employment absence </w:t>
            </w:r>
          </w:p>
          <w:p w14:paraId="64E3A6BC" w14:textId="77777777" w:rsidR="00D22CE3" w:rsidRPr="00F10391" w:rsidRDefault="00D22CE3" w:rsidP="005D7324">
            <w:pPr>
              <w:jc w:val="left"/>
              <w:rPr>
                <w:lang w:eastAsia="en-US"/>
              </w:rPr>
            </w:pPr>
            <w:r w:rsidRPr="00F10391">
              <w:rPr>
                <w:lang w:eastAsia="en-US"/>
              </w:rPr>
              <w:t>A financial value for the crime impacts on quality of life (per QALY) for the crime victims.</w:t>
            </w:r>
          </w:p>
        </w:tc>
      </w:tr>
      <w:tr w:rsidR="00D22CE3" w:rsidRPr="00F10391" w14:paraId="690A3E87"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3589CD76"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029BF473"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33FD8551" w14:textId="77777777" w:rsidR="00D22CE3" w:rsidRPr="00F10391" w:rsidRDefault="00D22CE3" w:rsidP="00E156D5">
            <w:pPr>
              <w:jc w:val="left"/>
              <w:rPr>
                <w:lang w:eastAsia="en-US"/>
              </w:rPr>
            </w:pPr>
            <w:r w:rsidRPr="00F10391">
              <w:rPr>
                <w:lang w:eastAsia="en-US"/>
              </w:rPr>
              <w:t>Pseudo CCA</w:t>
            </w:r>
          </w:p>
        </w:tc>
        <w:tc>
          <w:tcPr>
            <w:tcW w:w="1365" w:type="dxa"/>
            <w:tcBorders>
              <w:top w:val="single" w:sz="4" w:space="0" w:color="A6A6A6"/>
              <w:left w:val="single" w:sz="4" w:space="0" w:color="auto"/>
              <w:bottom w:val="single" w:sz="4" w:space="0" w:color="auto"/>
              <w:right w:val="single" w:sz="4" w:space="0" w:color="auto"/>
            </w:tcBorders>
            <w:hideMark/>
          </w:tcPr>
          <w:p w14:paraId="1FF04E58" w14:textId="77777777" w:rsidR="00D22CE3" w:rsidRPr="00F10391" w:rsidRDefault="00D22CE3" w:rsidP="00E156D5">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tcPr>
          <w:p w14:paraId="60FA4F3F" w14:textId="77777777" w:rsidR="00D22CE3" w:rsidRPr="00F10391" w:rsidRDefault="00D22CE3" w:rsidP="005D7324">
            <w:pPr>
              <w:jc w:val="left"/>
              <w:rPr>
                <w:lang w:eastAsia="en-US"/>
              </w:rPr>
            </w:pPr>
            <w:r w:rsidRPr="00F10391">
              <w:rPr>
                <w:lang w:eastAsia="en-US"/>
              </w:rPr>
              <w:t>Deaths per annum (pa)</w:t>
            </w:r>
          </w:p>
          <w:p w14:paraId="7DBF1673" w14:textId="77777777" w:rsidR="00D22CE3" w:rsidRPr="00F10391" w:rsidRDefault="00D22CE3" w:rsidP="005D7324">
            <w:pPr>
              <w:jc w:val="left"/>
              <w:rPr>
                <w:lang w:eastAsia="en-US"/>
              </w:rPr>
            </w:pPr>
          </w:p>
          <w:p w14:paraId="26CD2F91" w14:textId="77777777" w:rsidR="00D22CE3" w:rsidRPr="00F10391" w:rsidRDefault="00D22CE3" w:rsidP="005D7324">
            <w:pPr>
              <w:jc w:val="left"/>
              <w:rPr>
                <w:lang w:eastAsia="en-US"/>
              </w:rPr>
            </w:pPr>
            <w:r w:rsidRPr="00F10391">
              <w:rPr>
                <w:lang w:eastAsia="en-US"/>
              </w:rPr>
              <w:t>Hospital admissions pa</w:t>
            </w:r>
          </w:p>
          <w:p w14:paraId="28A695D5" w14:textId="77777777" w:rsidR="00D22CE3" w:rsidRPr="00F10391" w:rsidRDefault="00D22CE3" w:rsidP="005D7324">
            <w:pPr>
              <w:jc w:val="left"/>
              <w:rPr>
                <w:lang w:eastAsia="en-US"/>
              </w:rPr>
            </w:pPr>
            <w:r w:rsidRPr="00F10391">
              <w:rPr>
                <w:lang w:eastAsia="en-US"/>
              </w:rPr>
              <w:t>Hospital costs pa</w:t>
            </w:r>
          </w:p>
          <w:p w14:paraId="19CEE326" w14:textId="77777777" w:rsidR="00D22CE3" w:rsidRPr="00F10391" w:rsidRDefault="00D22CE3" w:rsidP="005D7324">
            <w:pPr>
              <w:jc w:val="left"/>
              <w:rPr>
                <w:lang w:eastAsia="en-US"/>
              </w:rPr>
            </w:pPr>
          </w:p>
          <w:p w14:paraId="30ECE952" w14:textId="77777777" w:rsidR="00D22CE3" w:rsidRPr="00F10391" w:rsidRDefault="00D22CE3" w:rsidP="005D7324">
            <w:pPr>
              <w:jc w:val="left"/>
              <w:rPr>
                <w:lang w:eastAsia="en-US"/>
              </w:rPr>
            </w:pPr>
            <w:r w:rsidRPr="00F10391">
              <w:rPr>
                <w:lang w:eastAsia="en-US"/>
              </w:rPr>
              <w:t xml:space="preserve">% change in consumption </w:t>
            </w:r>
          </w:p>
        </w:tc>
        <w:tc>
          <w:tcPr>
            <w:tcW w:w="1872" w:type="dxa"/>
            <w:tcBorders>
              <w:top w:val="single" w:sz="4" w:space="0" w:color="A6A6A6"/>
              <w:left w:val="single" w:sz="4" w:space="0" w:color="auto"/>
              <w:bottom w:val="single" w:sz="4" w:space="0" w:color="auto"/>
              <w:right w:val="single" w:sz="4" w:space="0" w:color="auto"/>
            </w:tcBorders>
            <w:hideMark/>
          </w:tcPr>
          <w:p w14:paraId="0BBFB154" w14:textId="77777777" w:rsidR="00D22CE3" w:rsidRPr="00F10391" w:rsidRDefault="00D22CE3" w:rsidP="005D7324">
            <w:pPr>
              <w:jc w:val="left"/>
              <w:rPr>
                <w:lang w:eastAsia="en-US"/>
              </w:rPr>
            </w:pPr>
            <w:r w:rsidRPr="00F10391">
              <w:rPr>
                <w:lang w:eastAsia="en-US"/>
              </w:rPr>
              <w:t>Criminal justice</w:t>
            </w:r>
          </w:p>
          <w:p w14:paraId="5402A261" w14:textId="77777777" w:rsidR="00D22CE3" w:rsidRPr="00F10391" w:rsidRDefault="00D22CE3" w:rsidP="005D7324">
            <w:pPr>
              <w:jc w:val="left"/>
              <w:rPr>
                <w:lang w:eastAsia="en-US"/>
              </w:rPr>
            </w:pPr>
            <w:r w:rsidRPr="00F10391">
              <w:rPr>
                <w:lang w:eastAsia="en-US"/>
              </w:rPr>
              <w:t xml:space="preserve">*Total crimes pa </w:t>
            </w:r>
          </w:p>
          <w:p w14:paraId="041C4C4B" w14:textId="77777777" w:rsidR="00D22CE3" w:rsidRPr="00F10391" w:rsidRDefault="00D22CE3" w:rsidP="005D7324">
            <w:pPr>
              <w:jc w:val="left"/>
              <w:rPr>
                <w:lang w:eastAsia="en-US"/>
              </w:rPr>
            </w:pPr>
            <w:r w:rsidRPr="00F10391">
              <w:rPr>
                <w:lang w:eastAsia="en-US"/>
              </w:rPr>
              <w:t>*Quality of life associated with crime victimhood</w:t>
            </w:r>
          </w:p>
          <w:p w14:paraId="4CA77FAF" w14:textId="77777777" w:rsidR="00D22CE3" w:rsidRPr="00F10391" w:rsidRDefault="00D22CE3" w:rsidP="005D7324">
            <w:pPr>
              <w:jc w:val="left"/>
              <w:rPr>
                <w:lang w:eastAsia="en-US"/>
              </w:rPr>
            </w:pPr>
            <w:r w:rsidRPr="00F10391">
              <w:rPr>
                <w:lang w:eastAsia="en-US"/>
              </w:rPr>
              <w:t>*Direct crime costs</w:t>
            </w:r>
          </w:p>
          <w:p w14:paraId="50DA3D62" w14:textId="77777777" w:rsidR="00D22CE3" w:rsidRPr="00F10391" w:rsidRDefault="00D22CE3" w:rsidP="005D7324">
            <w:pPr>
              <w:jc w:val="left"/>
              <w:rPr>
                <w:lang w:eastAsia="en-US"/>
              </w:rPr>
            </w:pPr>
            <w:r w:rsidRPr="00F10391">
              <w:rPr>
                <w:lang w:eastAsia="en-US"/>
              </w:rPr>
              <w:t>Workplace</w:t>
            </w:r>
          </w:p>
          <w:p w14:paraId="5F71A627" w14:textId="77777777" w:rsidR="00D22CE3" w:rsidRPr="00F10391" w:rsidRDefault="00D22CE3" w:rsidP="005D7324">
            <w:pPr>
              <w:jc w:val="left"/>
              <w:rPr>
                <w:lang w:eastAsia="en-US"/>
              </w:rPr>
            </w:pPr>
            <w:r w:rsidRPr="00F10391">
              <w:rPr>
                <w:lang w:eastAsia="en-US"/>
              </w:rPr>
              <w:t>*Total work absences, days pa</w:t>
            </w:r>
          </w:p>
          <w:p w14:paraId="25FFFFEF" w14:textId="77777777" w:rsidR="00D22CE3" w:rsidRPr="00F10391" w:rsidRDefault="00D22CE3" w:rsidP="005D7324">
            <w:pPr>
              <w:jc w:val="left"/>
              <w:rPr>
                <w:lang w:eastAsia="en-US"/>
              </w:rPr>
            </w:pPr>
            <w:r w:rsidRPr="00F10391">
              <w:rPr>
                <w:lang w:eastAsia="en-US"/>
              </w:rPr>
              <w:t>Unemployment in persons pa</w:t>
            </w:r>
          </w:p>
        </w:tc>
      </w:tr>
      <w:tr w:rsidR="00D22CE3" w:rsidRPr="00F10391" w14:paraId="1637B4C6"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490D9E8E" w14:textId="77777777" w:rsidR="00D22CE3" w:rsidRPr="00F10391" w:rsidRDefault="00D22CE3" w:rsidP="00E156D5">
            <w:pPr>
              <w:jc w:val="left"/>
              <w:rPr>
                <w:lang w:eastAsia="en-US"/>
              </w:rPr>
            </w:pPr>
            <w:r w:rsidRPr="00F10391">
              <w:rPr>
                <w:lang w:eastAsia="en-US"/>
              </w:rPr>
              <w:t>PH28</w:t>
            </w:r>
          </w:p>
        </w:tc>
        <w:tc>
          <w:tcPr>
            <w:tcW w:w="1733" w:type="dxa"/>
            <w:tcBorders>
              <w:top w:val="single" w:sz="4" w:space="0" w:color="auto"/>
              <w:left w:val="single" w:sz="4" w:space="0" w:color="auto"/>
              <w:bottom w:val="single" w:sz="4" w:space="0" w:color="auto"/>
              <w:right w:val="single" w:sz="4" w:space="0" w:color="auto"/>
            </w:tcBorders>
            <w:hideMark/>
          </w:tcPr>
          <w:p w14:paraId="2A887B70" w14:textId="77777777" w:rsidR="00D22CE3" w:rsidRPr="00F10391" w:rsidRDefault="00D22CE3" w:rsidP="00E156D5">
            <w:pPr>
              <w:jc w:val="left"/>
              <w:rPr>
                <w:lang w:eastAsia="en-US"/>
              </w:rPr>
            </w:pPr>
            <w:r w:rsidRPr="00F10391">
              <w:rPr>
                <w:lang w:eastAsia="en-US"/>
              </w:rPr>
              <w:t>Looked-after children and young people</w:t>
            </w:r>
          </w:p>
        </w:tc>
        <w:tc>
          <w:tcPr>
            <w:tcW w:w="1514" w:type="dxa"/>
            <w:tcBorders>
              <w:top w:val="single" w:sz="4" w:space="0" w:color="auto"/>
              <w:left w:val="single" w:sz="4" w:space="0" w:color="auto"/>
              <w:bottom w:val="single" w:sz="4" w:space="0" w:color="auto"/>
              <w:right w:val="single" w:sz="4" w:space="0" w:color="auto"/>
            </w:tcBorders>
            <w:hideMark/>
          </w:tcPr>
          <w:p w14:paraId="50F446F6"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46532BF3"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6A6A6"/>
              <w:left w:val="single" w:sz="4" w:space="0" w:color="auto"/>
              <w:bottom w:val="single" w:sz="4" w:space="0" w:color="auto"/>
              <w:right w:val="single" w:sz="4" w:space="0" w:color="auto"/>
            </w:tcBorders>
            <w:hideMark/>
          </w:tcPr>
          <w:p w14:paraId="7FC9E848" w14:textId="77777777" w:rsidR="00D22CE3" w:rsidRPr="00F10391" w:rsidRDefault="00D22CE3" w:rsidP="005D7324">
            <w:pPr>
              <w:jc w:val="left"/>
              <w:rPr>
                <w:lang w:eastAsia="en-US"/>
              </w:rPr>
            </w:pPr>
            <w:r w:rsidRPr="00F10391">
              <w:rPr>
                <w:lang w:eastAsia="en-US"/>
              </w:rPr>
              <w:t>Physical health</w:t>
            </w:r>
          </w:p>
          <w:p w14:paraId="7FE11EA5" w14:textId="77777777" w:rsidR="00D22CE3" w:rsidRPr="00F10391" w:rsidRDefault="00D22CE3" w:rsidP="005D7324">
            <w:pPr>
              <w:jc w:val="left"/>
              <w:rPr>
                <w:lang w:eastAsia="en-US"/>
              </w:rPr>
            </w:pPr>
            <w:r w:rsidRPr="00F10391">
              <w:rPr>
                <w:lang w:eastAsia="en-US"/>
              </w:rPr>
              <w:t>Mental health</w:t>
            </w:r>
          </w:p>
          <w:p w14:paraId="7A618FF5" w14:textId="77777777" w:rsidR="00D22CE3" w:rsidRPr="00F10391" w:rsidRDefault="00D22CE3" w:rsidP="005D7324">
            <w:pPr>
              <w:jc w:val="left"/>
              <w:rPr>
                <w:lang w:eastAsia="en-US"/>
              </w:rPr>
            </w:pPr>
            <w:r w:rsidRPr="00F10391">
              <w:rPr>
                <w:lang w:eastAsia="en-US"/>
              </w:rPr>
              <w:t>Sexual health</w:t>
            </w:r>
          </w:p>
        </w:tc>
        <w:tc>
          <w:tcPr>
            <w:tcW w:w="1872" w:type="dxa"/>
            <w:tcBorders>
              <w:top w:val="single" w:sz="4" w:space="0" w:color="A6A6A6"/>
              <w:left w:val="single" w:sz="4" w:space="0" w:color="auto"/>
              <w:bottom w:val="single" w:sz="4" w:space="0" w:color="auto"/>
              <w:right w:val="single" w:sz="4" w:space="0" w:color="auto"/>
            </w:tcBorders>
            <w:hideMark/>
          </w:tcPr>
          <w:p w14:paraId="0BDC9920" w14:textId="77777777" w:rsidR="00D22CE3" w:rsidRPr="00F10391" w:rsidRDefault="00D22CE3" w:rsidP="005D7324">
            <w:pPr>
              <w:jc w:val="left"/>
              <w:rPr>
                <w:lang w:eastAsia="en-US"/>
              </w:rPr>
            </w:pPr>
            <w:r w:rsidRPr="00F10391">
              <w:rPr>
                <w:lang w:eastAsia="en-US"/>
              </w:rPr>
              <w:t>Housing</w:t>
            </w:r>
          </w:p>
          <w:p w14:paraId="28EB227D" w14:textId="77777777" w:rsidR="00D22CE3" w:rsidRPr="00F10391" w:rsidRDefault="00D22CE3" w:rsidP="005D7324">
            <w:pPr>
              <w:jc w:val="left"/>
              <w:rPr>
                <w:lang w:eastAsia="en-US"/>
              </w:rPr>
            </w:pPr>
            <w:r w:rsidRPr="00F10391">
              <w:rPr>
                <w:lang w:eastAsia="en-US"/>
              </w:rPr>
              <w:t>Alcohol/drug misuse</w:t>
            </w:r>
          </w:p>
          <w:p w14:paraId="5F96E249" w14:textId="77777777" w:rsidR="00D22CE3" w:rsidRPr="00F10391" w:rsidRDefault="00D22CE3" w:rsidP="005D7324">
            <w:pPr>
              <w:jc w:val="left"/>
              <w:rPr>
                <w:lang w:eastAsia="en-US"/>
              </w:rPr>
            </w:pPr>
            <w:r w:rsidRPr="00F10391">
              <w:rPr>
                <w:lang w:eastAsia="en-US"/>
              </w:rPr>
              <w:t>Employment</w:t>
            </w:r>
          </w:p>
          <w:p w14:paraId="3A73F24C" w14:textId="77777777" w:rsidR="00D22CE3" w:rsidRPr="00F10391" w:rsidRDefault="00D22CE3" w:rsidP="005D7324">
            <w:pPr>
              <w:jc w:val="left"/>
              <w:rPr>
                <w:lang w:eastAsia="en-US"/>
              </w:rPr>
            </w:pPr>
            <w:r w:rsidRPr="00F10391">
              <w:rPr>
                <w:lang w:eastAsia="en-US"/>
              </w:rPr>
              <w:t>Educational attainment</w:t>
            </w:r>
          </w:p>
          <w:p w14:paraId="0D23170B" w14:textId="77777777" w:rsidR="00D22CE3" w:rsidRPr="00F10391" w:rsidRDefault="00D22CE3" w:rsidP="005D7324">
            <w:pPr>
              <w:jc w:val="left"/>
              <w:rPr>
                <w:lang w:eastAsia="en-US"/>
              </w:rPr>
            </w:pPr>
            <w:r w:rsidRPr="00F10391">
              <w:rPr>
                <w:lang w:eastAsia="en-US"/>
              </w:rPr>
              <w:lastRenderedPageBreak/>
              <w:t>Criminal/offending behaviour</w:t>
            </w:r>
          </w:p>
        </w:tc>
      </w:tr>
      <w:tr w:rsidR="00D22CE3" w:rsidRPr="00F10391" w14:paraId="2F18209B"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721ED71C" w14:textId="77777777" w:rsidR="00D22CE3" w:rsidRPr="00F10391" w:rsidRDefault="00D22CE3" w:rsidP="00E156D5">
            <w:pPr>
              <w:jc w:val="left"/>
              <w:rPr>
                <w:lang w:eastAsia="en-US"/>
              </w:rPr>
            </w:pPr>
            <w:r w:rsidRPr="00F10391">
              <w:rPr>
                <w:lang w:eastAsia="en-US"/>
              </w:rPr>
              <w:lastRenderedPageBreak/>
              <w:t>PH29</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242F3C71" w14:textId="77777777" w:rsidR="00D22CE3" w:rsidRPr="00F10391" w:rsidRDefault="00D22CE3" w:rsidP="00E156D5">
            <w:pPr>
              <w:jc w:val="left"/>
              <w:rPr>
                <w:lang w:eastAsia="en-US"/>
              </w:rPr>
            </w:pPr>
            <w:r w:rsidRPr="00F10391">
              <w:rPr>
                <w:lang w:eastAsia="en-US"/>
              </w:rPr>
              <w:t xml:space="preserve">Strategies to prevent unintentional injuries among under-15s </w:t>
            </w:r>
          </w:p>
        </w:tc>
        <w:tc>
          <w:tcPr>
            <w:tcW w:w="1514" w:type="dxa"/>
            <w:tcBorders>
              <w:top w:val="single" w:sz="4" w:space="0" w:color="auto"/>
              <w:left w:val="single" w:sz="4" w:space="0" w:color="auto"/>
              <w:bottom w:val="single" w:sz="4" w:space="0" w:color="A6A6A6"/>
              <w:right w:val="single" w:sz="4" w:space="0" w:color="auto"/>
            </w:tcBorders>
            <w:hideMark/>
          </w:tcPr>
          <w:p w14:paraId="432E8AD9" w14:textId="77777777" w:rsidR="00D22CE3" w:rsidRPr="00F10391" w:rsidRDefault="00D22CE3" w:rsidP="005D7324">
            <w:pPr>
              <w:jc w:val="left"/>
              <w:rPr>
                <w:lang w:eastAsia="en-US"/>
              </w:rPr>
            </w:pPr>
            <w:r w:rsidRPr="00F10391">
              <w:rPr>
                <w:lang w:eastAsia="en-US"/>
              </w:rPr>
              <w:t>Generic model with 2 examples</w:t>
            </w:r>
          </w:p>
          <w:p w14:paraId="6B9191D4" w14:textId="77777777" w:rsidR="00D22CE3" w:rsidRPr="00F10391" w:rsidRDefault="00D22CE3" w:rsidP="005D7324">
            <w:pPr>
              <w:jc w:val="left"/>
              <w:rPr>
                <w:lang w:eastAsia="en-US"/>
              </w:rPr>
            </w:pPr>
            <w:r w:rsidRPr="00F10391">
              <w:rPr>
                <w:lang w:eastAsia="en-US"/>
              </w:rPr>
              <w:t>CUA / CBA</w:t>
            </w:r>
          </w:p>
          <w:p w14:paraId="4A945A8A" w14:textId="77777777" w:rsidR="00D22CE3" w:rsidRPr="00F10391" w:rsidRDefault="00D22CE3" w:rsidP="005D7324">
            <w:pPr>
              <w:jc w:val="left"/>
              <w:rPr>
                <w:lang w:eastAsia="en-US"/>
              </w:rPr>
            </w:pPr>
            <w:r w:rsidRPr="00F10391">
              <w:rPr>
                <w:lang w:eastAsia="en-US"/>
              </w:rPr>
              <w:t>(20 mph zones in residential areas)</w:t>
            </w:r>
          </w:p>
        </w:tc>
        <w:tc>
          <w:tcPr>
            <w:tcW w:w="1365" w:type="dxa"/>
            <w:tcBorders>
              <w:top w:val="single" w:sz="4" w:space="0" w:color="auto"/>
              <w:left w:val="single" w:sz="4" w:space="0" w:color="auto"/>
              <w:bottom w:val="single" w:sz="4" w:space="0" w:color="A6A6A6"/>
              <w:right w:val="single" w:sz="4" w:space="0" w:color="auto"/>
            </w:tcBorders>
            <w:hideMark/>
          </w:tcPr>
          <w:p w14:paraId="386248F5"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C4BC96" w:themeColor="background2" w:themeShade="BF"/>
              <w:right w:val="single" w:sz="4" w:space="0" w:color="auto"/>
            </w:tcBorders>
          </w:tcPr>
          <w:p w14:paraId="2D95BD44" w14:textId="77777777" w:rsidR="00D22CE3" w:rsidRPr="00F10391" w:rsidRDefault="00D22CE3" w:rsidP="005D7324">
            <w:pPr>
              <w:jc w:val="left"/>
              <w:rPr>
                <w:lang w:eastAsia="en-US"/>
              </w:rPr>
            </w:pPr>
            <w:r w:rsidRPr="00F10391">
              <w:rPr>
                <w:lang w:eastAsia="en-US"/>
              </w:rPr>
              <w:t>Injuries from accidents</w:t>
            </w:r>
          </w:p>
          <w:p w14:paraId="648AA082" w14:textId="77777777" w:rsidR="00D22CE3" w:rsidRPr="00F10391" w:rsidRDefault="00D22CE3" w:rsidP="005D7324">
            <w:pPr>
              <w:jc w:val="left"/>
              <w:rPr>
                <w:lang w:eastAsia="en-US"/>
              </w:rPr>
            </w:pPr>
          </w:p>
        </w:tc>
        <w:tc>
          <w:tcPr>
            <w:tcW w:w="1872" w:type="dxa"/>
            <w:tcBorders>
              <w:top w:val="single" w:sz="4" w:space="0" w:color="auto"/>
              <w:left w:val="single" w:sz="4" w:space="0" w:color="auto"/>
              <w:bottom w:val="single" w:sz="4" w:space="0" w:color="C4BC96" w:themeColor="background2" w:themeShade="BF"/>
              <w:right w:val="single" w:sz="4" w:space="0" w:color="auto"/>
            </w:tcBorders>
            <w:hideMark/>
          </w:tcPr>
          <w:p w14:paraId="353C8E05" w14:textId="77777777" w:rsidR="00D22CE3" w:rsidRPr="00F10391" w:rsidRDefault="00D22CE3" w:rsidP="005D7324">
            <w:pPr>
              <w:jc w:val="left"/>
              <w:rPr>
                <w:lang w:eastAsia="en-US"/>
              </w:rPr>
            </w:pPr>
            <w:r w:rsidRPr="00F10391">
              <w:rPr>
                <w:lang w:eastAsia="en-US"/>
              </w:rPr>
              <w:t>Costs of drafting and passing relevant legislation</w:t>
            </w:r>
          </w:p>
          <w:p w14:paraId="6F2113C8" w14:textId="77777777" w:rsidR="00D22CE3" w:rsidRPr="00F10391" w:rsidRDefault="00D22CE3" w:rsidP="005D7324">
            <w:pPr>
              <w:jc w:val="left"/>
              <w:rPr>
                <w:lang w:eastAsia="en-US"/>
              </w:rPr>
            </w:pPr>
            <w:r w:rsidRPr="00F10391">
              <w:rPr>
                <w:lang w:eastAsia="en-US"/>
              </w:rPr>
              <w:t>Costs of monitoring if local authorities have implemented zones</w:t>
            </w:r>
          </w:p>
          <w:p w14:paraId="6300C1CF" w14:textId="77777777" w:rsidR="00D22CE3" w:rsidRPr="00F10391" w:rsidRDefault="00D22CE3" w:rsidP="005D7324">
            <w:pPr>
              <w:jc w:val="left"/>
              <w:rPr>
                <w:lang w:eastAsia="en-US"/>
              </w:rPr>
            </w:pPr>
            <w:r w:rsidRPr="00F10391">
              <w:rPr>
                <w:lang w:eastAsia="en-US"/>
              </w:rPr>
              <w:t>Police costs saved</w:t>
            </w:r>
          </w:p>
        </w:tc>
      </w:tr>
      <w:tr w:rsidR="00D22CE3" w:rsidRPr="00F10391" w14:paraId="5E852F9E"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4BA79E31"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786CAD5E"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7C43DABE" w14:textId="77777777" w:rsidR="00D22CE3" w:rsidRPr="00F10391" w:rsidRDefault="00D22CE3" w:rsidP="00E156D5">
            <w:pPr>
              <w:jc w:val="left"/>
              <w:rPr>
                <w:lang w:eastAsia="en-US"/>
              </w:rPr>
            </w:pPr>
            <w:r w:rsidRPr="00F10391">
              <w:rPr>
                <w:lang w:eastAsia="en-US"/>
              </w:rPr>
              <w:t>CUA</w:t>
            </w:r>
          </w:p>
          <w:p w14:paraId="522BA4EE" w14:textId="77777777" w:rsidR="00D22CE3" w:rsidRPr="00F10391" w:rsidRDefault="00D22CE3" w:rsidP="00E156D5">
            <w:pPr>
              <w:jc w:val="left"/>
              <w:rPr>
                <w:lang w:eastAsia="en-US"/>
              </w:rPr>
            </w:pPr>
            <w:r w:rsidRPr="00F10391">
              <w:rPr>
                <w:lang w:eastAsia="en-US"/>
              </w:rPr>
              <w:t>(Thermostatic mixing valves in social housing where some residents are &lt;5years)</w:t>
            </w:r>
          </w:p>
        </w:tc>
        <w:tc>
          <w:tcPr>
            <w:tcW w:w="1365" w:type="dxa"/>
            <w:tcBorders>
              <w:top w:val="single" w:sz="4" w:space="0" w:color="A6A6A6"/>
              <w:left w:val="single" w:sz="4" w:space="0" w:color="auto"/>
              <w:bottom w:val="single" w:sz="4" w:space="0" w:color="auto"/>
              <w:right w:val="single" w:sz="4" w:space="0" w:color="auto"/>
            </w:tcBorders>
            <w:hideMark/>
          </w:tcPr>
          <w:p w14:paraId="6F632CAE"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C4BC96" w:themeColor="background2" w:themeShade="BF"/>
              <w:left w:val="single" w:sz="4" w:space="0" w:color="auto"/>
              <w:bottom w:val="single" w:sz="4" w:space="0" w:color="A6A6A6"/>
              <w:right w:val="single" w:sz="4" w:space="0" w:color="auto"/>
            </w:tcBorders>
            <w:hideMark/>
          </w:tcPr>
          <w:p w14:paraId="4AB5F078" w14:textId="77777777" w:rsidR="00D22CE3" w:rsidRPr="00F10391" w:rsidRDefault="00D22CE3" w:rsidP="005D7324">
            <w:pPr>
              <w:jc w:val="left"/>
              <w:rPr>
                <w:lang w:eastAsia="en-US"/>
              </w:rPr>
            </w:pPr>
            <w:r w:rsidRPr="00F10391">
              <w:rPr>
                <w:lang w:eastAsia="en-US"/>
              </w:rPr>
              <w:t>Utility costs of scalding</w:t>
            </w:r>
          </w:p>
        </w:tc>
        <w:tc>
          <w:tcPr>
            <w:tcW w:w="1872" w:type="dxa"/>
            <w:tcBorders>
              <w:top w:val="single" w:sz="4" w:space="0" w:color="C4BC96" w:themeColor="background2" w:themeShade="BF"/>
              <w:left w:val="single" w:sz="4" w:space="0" w:color="auto"/>
              <w:bottom w:val="single" w:sz="4" w:space="0" w:color="A6A6A6"/>
              <w:right w:val="single" w:sz="4" w:space="0" w:color="auto"/>
            </w:tcBorders>
            <w:hideMark/>
          </w:tcPr>
          <w:p w14:paraId="40D6FCBE" w14:textId="77777777" w:rsidR="00D22CE3" w:rsidRPr="00F10391" w:rsidRDefault="00D22CE3" w:rsidP="005D7324">
            <w:pPr>
              <w:jc w:val="left"/>
              <w:rPr>
                <w:lang w:eastAsia="en-US"/>
              </w:rPr>
            </w:pPr>
            <w:r w:rsidRPr="00F10391">
              <w:rPr>
                <w:lang w:eastAsia="en-US"/>
              </w:rPr>
              <w:t>Costs of drafting and passing relevant legislation</w:t>
            </w:r>
          </w:p>
          <w:p w14:paraId="12AAD400" w14:textId="77777777" w:rsidR="00D22CE3" w:rsidRPr="00F10391" w:rsidRDefault="00D22CE3" w:rsidP="005D7324">
            <w:pPr>
              <w:jc w:val="left"/>
              <w:rPr>
                <w:lang w:eastAsia="en-US"/>
              </w:rPr>
            </w:pPr>
            <w:r w:rsidRPr="00F10391">
              <w:rPr>
                <w:lang w:eastAsia="en-US"/>
              </w:rPr>
              <w:t>Monitoring and installation costs to relevant:</w:t>
            </w:r>
          </w:p>
          <w:p w14:paraId="3E93C8B6" w14:textId="77777777" w:rsidR="00D22CE3" w:rsidRPr="00F10391" w:rsidRDefault="00D22CE3" w:rsidP="005D7324">
            <w:pPr>
              <w:jc w:val="left"/>
              <w:rPr>
                <w:lang w:eastAsia="en-US"/>
              </w:rPr>
            </w:pPr>
            <w:r w:rsidRPr="00F10391">
              <w:rPr>
                <w:lang w:eastAsia="en-US"/>
              </w:rPr>
              <w:t>*local authorities</w:t>
            </w:r>
          </w:p>
          <w:p w14:paraId="4687B73F" w14:textId="77777777" w:rsidR="00D22CE3" w:rsidRPr="00F10391" w:rsidRDefault="00D22CE3" w:rsidP="005D7324">
            <w:pPr>
              <w:jc w:val="left"/>
              <w:rPr>
                <w:lang w:eastAsia="en-US"/>
              </w:rPr>
            </w:pPr>
            <w:r w:rsidRPr="00F10391">
              <w:rPr>
                <w:lang w:eastAsia="en-US"/>
              </w:rPr>
              <w:t>*housing associations</w:t>
            </w:r>
          </w:p>
          <w:p w14:paraId="5F8DD084" w14:textId="77777777" w:rsidR="00D22CE3" w:rsidRPr="00F10391" w:rsidRDefault="00D22CE3" w:rsidP="005D7324">
            <w:pPr>
              <w:jc w:val="left"/>
              <w:rPr>
                <w:lang w:eastAsia="en-US"/>
              </w:rPr>
            </w:pPr>
            <w:r w:rsidRPr="00F10391">
              <w:rPr>
                <w:lang w:eastAsia="en-US"/>
              </w:rPr>
              <w:t>*social landlords</w:t>
            </w:r>
          </w:p>
        </w:tc>
      </w:tr>
      <w:tr w:rsidR="00D22CE3" w:rsidRPr="00F10391" w14:paraId="13F0D9B9"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3680AE2B" w14:textId="77777777" w:rsidR="00D22CE3" w:rsidRPr="00F10391" w:rsidRDefault="00D22CE3" w:rsidP="00E156D5">
            <w:pPr>
              <w:jc w:val="left"/>
              <w:rPr>
                <w:lang w:eastAsia="en-US"/>
              </w:rPr>
            </w:pPr>
            <w:r w:rsidRPr="00F10391">
              <w:rPr>
                <w:lang w:eastAsia="en-US"/>
              </w:rPr>
              <w:t>PH31</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01A6856F" w14:textId="77777777" w:rsidR="00D22CE3" w:rsidRPr="00F10391" w:rsidRDefault="00D22CE3" w:rsidP="00E156D5">
            <w:pPr>
              <w:jc w:val="left"/>
              <w:rPr>
                <w:lang w:eastAsia="en-US"/>
              </w:rPr>
            </w:pPr>
            <w:r w:rsidRPr="00F10391">
              <w:rPr>
                <w:lang w:eastAsia="en-US"/>
              </w:rPr>
              <w:t xml:space="preserve">Preventing unintentional road injuries among under-15s: road design </w:t>
            </w:r>
          </w:p>
        </w:tc>
        <w:tc>
          <w:tcPr>
            <w:tcW w:w="1514" w:type="dxa"/>
            <w:tcBorders>
              <w:top w:val="single" w:sz="4" w:space="0" w:color="auto"/>
              <w:left w:val="single" w:sz="4" w:space="0" w:color="auto"/>
              <w:bottom w:val="single" w:sz="4" w:space="0" w:color="A6A6A6"/>
              <w:right w:val="single" w:sz="4" w:space="0" w:color="auto"/>
            </w:tcBorders>
          </w:tcPr>
          <w:p w14:paraId="6C59B6AF" w14:textId="77777777" w:rsidR="00D22CE3" w:rsidRPr="00F10391" w:rsidRDefault="00D22CE3" w:rsidP="005D7324">
            <w:pPr>
              <w:jc w:val="left"/>
              <w:rPr>
                <w:lang w:eastAsia="en-US"/>
              </w:rPr>
            </w:pPr>
            <w:r w:rsidRPr="00F10391">
              <w:rPr>
                <w:lang w:eastAsia="en-US"/>
              </w:rPr>
              <w:t>CUA</w:t>
            </w:r>
          </w:p>
          <w:p w14:paraId="48C23CBA" w14:textId="77777777" w:rsidR="00D22CE3" w:rsidRPr="00F10391" w:rsidRDefault="00D22CE3" w:rsidP="005D7324">
            <w:pPr>
              <w:jc w:val="left"/>
              <w:rPr>
                <w:lang w:eastAsia="en-US"/>
              </w:rPr>
            </w:pPr>
          </w:p>
          <w:p w14:paraId="5EA09930" w14:textId="77777777" w:rsidR="00D22CE3" w:rsidRPr="00F10391" w:rsidRDefault="00D22CE3" w:rsidP="005D7324">
            <w:pPr>
              <w:jc w:val="left"/>
              <w:rPr>
                <w:lang w:eastAsia="en-US"/>
              </w:rPr>
            </w:pPr>
          </w:p>
        </w:tc>
        <w:tc>
          <w:tcPr>
            <w:tcW w:w="1365" w:type="dxa"/>
            <w:tcBorders>
              <w:top w:val="single" w:sz="4" w:space="0" w:color="auto"/>
              <w:left w:val="single" w:sz="4" w:space="0" w:color="auto"/>
              <w:bottom w:val="single" w:sz="4" w:space="0" w:color="A6A6A6"/>
              <w:right w:val="single" w:sz="4" w:space="0" w:color="auto"/>
            </w:tcBorders>
            <w:hideMark/>
          </w:tcPr>
          <w:p w14:paraId="5221BCAC"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A6A6A6"/>
              <w:right w:val="single" w:sz="4" w:space="0" w:color="auto"/>
            </w:tcBorders>
            <w:hideMark/>
          </w:tcPr>
          <w:p w14:paraId="73500473" w14:textId="77777777" w:rsidR="00D22CE3" w:rsidRPr="00F10391" w:rsidRDefault="00D22CE3" w:rsidP="005D7324">
            <w:pPr>
              <w:jc w:val="left"/>
              <w:rPr>
                <w:lang w:eastAsia="en-US"/>
              </w:rPr>
            </w:pPr>
            <w:r w:rsidRPr="00F10391">
              <w:rPr>
                <w:lang w:eastAsia="en-US"/>
              </w:rPr>
              <w:t>Fatal accidents *QALYs lost related to age of victim</w:t>
            </w:r>
          </w:p>
          <w:p w14:paraId="5FC7942E" w14:textId="77777777" w:rsidR="00D22CE3" w:rsidRPr="00F10391" w:rsidRDefault="00D22CE3" w:rsidP="005D7324">
            <w:pPr>
              <w:jc w:val="left"/>
              <w:rPr>
                <w:lang w:eastAsia="en-US"/>
              </w:rPr>
            </w:pPr>
            <w:r w:rsidRPr="00F10391">
              <w:rPr>
                <w:lang w:eastAsia="en-US"/>
              </w:rPr>
              <w:t xml:space="preserve">Non-fatal accidents *based on age and severity and duration of injury </w:t>
            </w:r>
          </w:p>
        </w:tc>
        <w:tc>
          <w:tcPr>
            <w:tcW w:w="1872" w:type="dxa"/>
            <w:tcBorders>
              <w:top w:val="single" w:sz="4" w:space="0" w:color="auto"/>
              <w:left w:val="single" w:sz="4" w:space="0" w:color="auto"/>
              <w:bottom w:val="single" w:sz="4" w:space="0" w:color="A6A6A6"/>
              <w:right w:val="single" w:sz="4" w:space="0" w:color="auto"/>
            </w:tcBorders>
            <w:hideMark/>
          </w:tcPr>
          <w:p w14:paraId="068C91D7" w14:textId="77777777" w:rsidR="00D22CE3" w:rsidRPr="00F10391" w:rsidRDefault="00D22CE3" w:rsidP="005D7324">
            <w:pPr>
              <w:jc w:val="left"/>
              <w:rPr>
                <w:lang w:eastAsia="en-US"/>
              </w:rPr>
            </w:pPr>
            <w:r w:rsidRPr="00F10391">
              <w:rPr>
                <w:lang w:eastAsia="en-US"/>
              </w:rPr>
              <w:t>Police</w:t>
            </w:r>
          </w:p>
          <w:p w14:paraId="59C39283" w14:textId="77777777" w:rsidR="00D22CE3" w:rsidRPr="00F10391" w:rsidRDefault="00D22CE3" w:rsidP="005D7324">
            <w:pPr>
              <w:jc w:val="left"/>
              <w:rPr>
                <w:lang w:eastAsia="en-US"/>
              </w:rPr>
            </w:pPr>
            <w:r w:rsidRPr="00F10391">
              <w:rPr>
                <w:lang w:eastAsia="en-US"/>
              </w:rPr>
              <w:t>Local authority for building and maintaining intervention</w:t>
            </w:r>
          </w:p>
          <w:p w14:paraId="3ED88847" w14:textId="77777777" w:rsidR="00D22CE3" w:rsidRPr="00F10391" w:rsidRDefault="00D22CE3" w:rsidP="005D7324">
            <w:pPr>
              <w:jc w:val="left"/>
              <w:rPr>
                <w:lang w:eastAsia="en-US"/>
              </w:rPr>
            </w:pPr>
            <w:r w:rsidRPr="00F10391">
              <w:rPr>
                <w:lang w:eastAsia="en-US"/>
              </w:rPr>
              <w:t>Department for Transport</w:t>
            </w:r>
          </w:p>
        </w:tc>
      </w:tr>
      <w:tr w:rsidR="00D22CE3" w:rsidRPr="00F10391" w14:paraId="7A346F36"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19DD3E17"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7A3AE74"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3D687786" w14:textId="77777777" w:rsidR="00D22CE3" w:rsidRPr="00F10391" w:rsidRDefault="00D22CE3" w:rsidP="00E156D5">
            <w:pPr>
              <w:jc w:val="left"/>
              <w:rPr>
                <w:lang w:eastAsia="en-US"/>
              </w:rPr>
            </w:pPr>
            <w:r w:rsidRPr="00F10391">
              <w:rPr>
                <w:lang w:eastAsia="en-US"/>
              </w:rPr>
              <w:t>CBA</w:t>
            </w:r>
          </w:p>
        </w:tc>
        <w:tc>
          <w:tcPr>
            <w:tcW w:w="1365" w:type="dxa"/>
            <w:tcBorders>
              <w:top w:val="single" w:sz="4" w:space="0" w:color="A6A6A6"/>
              <w:left w:val="single" w:sz="4" w:space="0" w:color="auto"/>
              <w:bottom w:val="single" w:sz="4" w:space="0" w:color="auto"/>
              <w:right w:val="single" w:sz="4" w:space="0" w:color="auto"/>
            </w:tcBorders>
            <w:hideMark/>
          </w:tcPr>
          <w:p w14:paraId="6BBE3248" w14:textId="77777777" w:rsidR="00D22CE3" w:rsidRPr="00F10391" w:rsidRDefault="00D22CE3" w:rsidP="00E156D5">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hideMark/>
          </w:tcPr>
          <w:p w14:paraId="7A9BF5DB" w14:textId="77777777" w:rsidR="00D22CE3" w:rsidRPr="00F10391" w:rsidRDefault="00D22CE3" w:rsidP="005D7324">
            <w:pPr>
              <w:jc w:val="left"/>
              <w:rPr>
                <w:lang w:eastAsia="en-US"/>
              </w:rPr>
            </w:pPr>
            <w:r w:rsidRPr="00F10391">
              <w:rPr>
                <w:lang w:eastAsia="en-US"/>
              </w:rPr>
              <w:t>Medical costs (utilities not included)</w:t>
            </w:r>
          </w:p>
        </w:tc>
        <w:tc>
          <w:tcPr>
            <w:tcW w:w="1872" w:type="dxa"/>
            <w:tcBorders>
              <w:top w:val="single" w:sz="4" w:space="0" w:color="A6A6A6"/>
              <w:left w:val="single" w:sz="4" w:space="0" w:color="auto"/>
              <w:bottom w:val="single" w:sz="4" w:space="0" w:color="auto"/>
              <w:right w:val="single" w:sz="4" w:space="0" w:color="auto"/>
            </w:tcBorders>
            <w:hideMark/>
          </w:tcPr>
          <w:p w14:paraId="4C33BC95" w14:textId="77777777" w:rsidR="00D22CE3" w:rsidRPr="00F10391" w:rsidRDefault="00D22CE3" w:rsidP="005D7324">
            <w:pPr>
              <w:jc w:val="left"/>
              <w:rPr>
                <w:lang w:eastAsia="en-US"/>
              </w:rPr>
            </w:pPr>
            <w:r w:rsidRPr="00F10391">
              <w:rPr>
                <w:lang w:eastAsia="en-US"/>
              </w:rPr>
              <w:t>Human cost (pain, grief and suffering)</w:t>
            </w:r>
          </w:p>
          <w:p w14:paraId="77D67ADD" w14:textId="77777777" w:rsidR="00D22CE3" w:rsidRPr="00F10391" w:rsidRDefault="00D22CE3" w:rsidP="005D7324">
            <w:pPr>
              <w:jc w:val="left"/>
              <w:rPr>
                <w:lang w:eastAsia="en-US"/>
              </w:rPr>
            </w:pPr>
            <w:r w:rsidRPr="00F10391">
              <w:rPr>
                <w:lang w:eastAsia="en-US"/>
              </w:rPr>
              <w:t>Lost output</w:t>
            </w:r>
          </w:p>
        </w:tc>
      </w:tr>
      <w:tr w:rsidR="00D22CE3" w:rsidRPr="00F10391" w14:paraId="19773BE2"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489B5F6E" w14:textId="77777777" w:rsidR="00D22CE3" w:rsidRPr="00F10391" w:rsidRDefault="00D22CE3" w:rsidP="00E156D5">
            <w:pPr>
              <w:jc w:val="left"/>
              <w:rPr>
                <w:lang w:eastAsia="en-US"/>
              </w:rPr>
            </w:pPr>
            <w:r w:rsidRPr="00F10391">
              <w:rPr>
                <w:lang w:eastAsia="en-US"/>
              </w:rPr>
              <w:t>PH32</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0BA8DFB2" w14:textId="77777777" w:rsidR="00D22CE3" w:rsidRPr="00F10391" w:rsidRDefault="00D22CE3" w:rsidP="00E156D5">
            <w:pPr>
              <w:jc w:val="left"/>
              <w:rPr>
                <w:lang w:eastAsia="en-US"/>
              </w:rPr>
            </w:pPr>
            <w:r w:rsidRPr="00F10391">
              <w:rPr>
                <w:lang w:eastAsia="en-US"/>
              </w:rPr>
              <w:t>Skin cancer prevention: information, resources and environmental changes</w:t>
            </w:r>
          </w:p>
        </w:tc>
        <w:tc>
          <w:tcPr>
            <w:tcW w:w="1514" w:type="dxa"/>
            <w:tcBorders>
              <w:top w:val="single" w:sz="4" w:space="0" w:color="auto"/>
              <w:left w:val="single" w:sz="4" w:space="0" w:color="auto"/>
              <w:bottom w:val="single" w:sz="4" w:space="0" w:color="A6A6A6"/>
              <w:right w:val="single" w:sz="4" w:space="0" w:color="auto"/>
            </w:tcBorders>
            <w:hideMark/>
          </w:tcPr>
          <w:p w14:paraId="689A763F"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6A6A6"/>
              <w:right w:val="single" w:sz="4" w:space="0" w:color="auto"/>
            </w:tcBorders>
          </w:tcPr>
          <w:p w14:paraId="08B72CC7" w14:textId="77777777" w:rsidR="00D22CE3" w:rsidRPr="00F10391" w:rsidRDefault="00D22CE3" w:rsidP="005D7324">
            <w:pPr>
              <w:jc w:val="left"/>
              <w:rPr>
                <w:lang w:eastAsia="en-US"/>
              </w:rPr>
            </w:pPr>
            <w:r w:rsidRPr="00F10391">
              <w:rPr>
                <w:lang w:eastAsia="en-US"/>
              </w:rPr>
              <w:t>Public sector</w:t>
            </w:r>
          </w:p>
          <w:p w14:paraId="763D7241" w14:textId="77777777" w:rsidR="00D22CE3" w:rsidRPr="00F10391" w:rsidRDefault="00D22CE3" w:rsidP="005D7324">
            <w:pPr>
              <w:jc w:val="left"/>
              <w:rPr>
                <w:lang w:eastAsia="en-US"/>
              </w:rPr>
            </w:pPr>
          </w:p>
        </w:tc>
        <w:tc>
          <w:tcPr>
            <w:tcW w:w="1727" w:type="dxa"/>
            <w:tcBorders>
              <w:top w:val="single" w:sz="4" w:space="0" w:color="auto"/>
              <w:left w:val="single" w:sz="4" w:space="0" w:color="auto"/>
              <w:bottom w:val="single" w:sz="4" w:space="0" w:color="A6A6A6"/>
              <w:right w:val="single" w:sz="4" w:space="0" w:color="auto"/>
            </w:tcBorders>
            <w:hideMark/>
          </w:tcPr>
          <w:p w14:paraId="2E552F03" w14:textId="77777777" w:rsidR="00D22CE3" w:rsidRPr="00F10391" w:rsidRDefault="00D22CE3" w:rsidP="005D7324">
            <w:pPr>
              <w:jc w:val="left"/>
              <w:rPr>
                <w:lang w:eastAsia="en-US"/>
              </w:rPr>
            </w:pPr>
            <w:r w:rsidRPr="00F10391">
              <w:rPr>
                <w:lang w:eastAsia="en-US"/>
              </w:rPr>
              <w:t xml:space="preserve">QALYs lost due to </w:t>
            </w:r>
          </w:p>
          <w:p w14:paraId="14F94243" w14:textId="77777777" w:rsidR="00D22CE3" w:rsidRPr="00F10391" w:rsidRDefault="00D22CE3" w:rsidP="005D7324">
            <w:pPr>
              <w:jc w:val="left"/>
              <w:rPr>
                <w:lang w:eastAsia="en-US"/>
              </w:rPr>
            </w:pPr>
            <w:r w:rsidRPr="00F10391">
              <w:rPr>
                <w:lang w:eastAsia="en-US"/>
              </w:rPr>
              <w:t>*morbidity associated with non-fatal cases of Malignant Melanoma (MM)</w:t>
            </w:r>
          </w:p>
          <w:p w14:paraId="396FB259" w14:textId="77777777" w:rsidR="00D22CE3" w:rsidRPr="00F10391" w:rsidRDefault="00D22CE3" w:rsidP="005D7324">
            <w:pPr>
              <w:jc w:val="left"/>
              <w:rPr>
                <w:lang w:eastAsia="en-US"/>
              </w:rPr>
            </w:pPr>
            <w:r w:rsidRPr="00F10391">
              <w:rPr>
                <w:lang w:eastAsia="en-US"/>
              </w:rPr>
              <w:t>*morbidity and premature mortality associated with fatal cases of MM.</w:t>
            </w:r>
          </w:p>
          <w:p w14:paraId="0D19C80B" w14:textId="77777777" w:rsidR="00D22CE3" w:rsidRPr="00F10391" w:rsidRDefault="00D22CE3" w:rsidP="005D7324">
            <w:pPr>
              <w:jc w:val="left"/>
              <w:rPr>
                <w:lang w:eastAsia="en-US"/>
              </w:rPr>
            </w:pPr>
            <w:r w:rsidRPr="00F10391">
              <w:rPr>
                <w:lang w:eastAsia="en-US"/>
              </w:rPr>
              <w:t>*non-melanoma skin cancer</w:t>
            </w:r>
          </w:p>
        </w:tc>
        <w:tc>
          <w:tcPr>
            <w:tcW w:w="1872" w:type="dxa"/>
            <w:tcBorders>
              <w:top w:val="single" w:sz="4" w:space="0" w:color="auto"/>
              <w:left w:val="single" w:sz="4" w:space="0" w:color="auto"/>
              <w:bottom w:val="single" w:sz="4" w:space="0" w:color="A6A6A6"/>
              <w:right w:val="single" w:sz="4" w:space="0" w:color="auto"/>
            </w:tcBorders>
            <w:hideMark/>
          </w:tcPr>
          <w:p w14:paraId="311BFAF4" w14:textId="77777777" w:rsidR="00D22CE3" w:rsidRPr="00F10391" w:rsidRDefault="00D22CE3" w:rsidP="005D7324">
            <w:pPr>
              <w:jc w:val="left"/>
              <w:rPr>
                <w:lang w:eastAsia="en-US"/>
              </w:rPr>
            </w:pPr>
            <w:r w:rsidRPr="00F10391">
              <w:rPr>
                <w:lang w:eastAsia="en-US"/>
              </w:rPr>
              <w:t>None</w:t>
            </w:r>
          </w:p>
        </w:tc>
      </w:tr>
      <w:tr w:rsidR="00D22CE3" w:rsidRPr="00F10391" w14:paraId="3937B79A"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0E410D65"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70AB8952"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7FC00060"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6A6A6"/>
              <w:left w:val="single" w:sz="4" w:space="0" w:color="auto"/>
              <w:bottom w:val="single" w:sz="4" w:space="0" w:color="auto"/>
              <w:right w:val="single" w:sz="4" w:space="0" w:color="auto"/>
            </w:tcBorders>
          </w:tcPr>
          <w:p w14:paraId="03DB712B" w14:textId="77777777" w:rsidR="00D22CE3" w:rsidRPr="00F10391" w:rsidRDefault="00D22CE3" w:rsidP="00E156D5">
            <w:pPr>
              <w:jc w:val="left"/>
              <w:rPr>
                <w:lang w:eastAsia="en-US"/>
              </w:rPr>
            </w:pPr>
            <w:r w:rsidRPr="00F10391">
              <w:rPr>
                <w:lang w:eastAsia="en-US"/>
              </w:rPr>
              <w:t>Public sector</w:t>
            </w:r>
          </w:p>
          <w:p w14:paraId="14912FB4" w14:textId="77777777" w:rsidR="00D22CE3" w:rsidRPr="00F10391" w:rsidRDefault="00D22CE3" w:rsidP="005D7324">
            <w:pPr>
              <w:jc w:val="left"/>
              <w:rPr>
                <w:lang w:eastAsia="en-US"/>
              </w:rPr>
            </w:pPr>
          </w:p>
        </w:tc>
        <w:tc>
          <w:tcPr>
            <w:tcW w:w="1727" w:type="dxa"/>
            <w:tcBorders>
              <w:top w:val="single" w:sz="4" w:space="0" w:color="A6A6A6"/>
              <w:left w:val="single" w:sz="4" w:space="0" w:color="auto"/>
              <w:bottom w:val="single" w:sz="4" w:space="0" w:color="auto"/>
              <w:right w:val="single" w:sz="4" w:space="0" w:color="auto"/>
            </w:tcBorders>
            <w:hideMark/>
          </w:tcPr>
          <w:p w14:paraId="20DFBEE5" w14:textId="77777777" w:rsidR="00D22CE3" w:rsidRPr="00F10391" w:rsidRDefault="00D22CE3" w:rsidP="005D7324">
            <w:pPr>
              <w:jc w:val="left"/>
              <w:rPr>
                <w:lang w:eastAsia="en-US"/>
              </w:rPr>
            </w:pPr>
            <w:r w:rsidRPr="00F10391">
              <w:rPr>
                <w:lang w:eastAsia="en-US"/>
              </w:rPr>
              <w:t>As above but incorporating medical costs savings</w:t>
            </w:r>
          </w:p>
        </w:tc>
        <w:tc>
          <w:tcPr>
            <w:tcW w:w="1872" w:type="dxa"/>
            <w:tcBorders>
              <w:top w:val="single" w:sz="4" w:space="0" w:color="A6A6A6"/>
              <w:left w:val="single" w:sz="4" w:space="0" w:color="auto"/>
              <w:bottom w:val="single" w:sz="4" w:space="0" w:color="auto"/>
              <w:right w:val="single" w:sz="4" w:space="0" w:color="auto"/>
            </w:tcBorders>
          </w:tcPr>
          <w:p w14:paraId="42AB1B00" w14:textId="77777777" w:rsidR="00D22CE3" w:rsidRPr="00F10391" w:rsidRDefault="00D22CE3" w:rsidP="005D7324">
            <w:pPr>
              <w:jc w:val="left"/>
              <w:rPr>
                <w:lang w:eastAsia="en-US"/>
              </w:rPr>
            </w:pPr>
          </w:p>
        </w:tc>
      </w:tr>
      <w:tr w:rsidR="00D22CE3" w:rsidRPr="00F10391" w14:paraId="562B71E5"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298B584D" w14:textId="77777777" w:rsidR="00D22CE3" w:rsidRPr="00F10391" w:rsidRDefault="00D22CE3" w:rsidP="00E156D5">
            <w:pPr>
              <w:jc w:val="left"/>
              <w:rPr>
                <w:lang w:eastAsia="en-US"/>
              </w:rPr>
            </w:pPr>
            <w:r w:rsidRPr="00F10391">
              <w:rPr>
                <w:lang w:eastAsia="en-US"/>
              </w:rPr>
              <w:t>PH37</w:t>
            </w:r>
          </w:p>
        </w:tc>
        <w:tc>
          <w:tcPr>
            <w:tcW w:w="1733" w:type="dxa"/>
            <w:tcBorders>
              <w:top w:val="single" w:sz="4" w:space="0" w:color="auto"/>
              <w:left w:val="single" w:sz="4" w:space="0" w:color="auto"/>
              <w:bottom w:val="single" w:sz="4" w:space="0" w:color="auto"/>
              <w:right w:val="single" w:sz="4" w:space="0" w:color="auto"/>
            </w:tcBorders>
            <w:hideMark/>
          </w:tcPr>
          <w:p w14:paraId="61C75524" w14:textId="77777777" w:rsidR="00D22CE3" w:rsidRPr="00F10391" w:rsidRDefault="00D22CE3" w:rsidP="00E156D5">
            <w:pPr>
              <w:jc w:val="left"/>
              <w:rPr>
                <w:lang w:eastAsia="en-US"/>
              </w:rPr>
            </w:pPr>
            <w:r w:rsidRPr="00F10391">
              <w:rPr>
                <w:lang w:eastAsia="en-US"/>
              </w:rPr>
              <w:t xml:space="preserve">Tuberculosis – hard-to-reach groups </w:t>
            </w:r>
          </w:p>
        </w:tc>
        <w:tc>
          <w:tcPr>
            <w:tcW w:w="1514" w:type="dxa"/>
            <w:tcBorders>
              <w:top w:val="single" w:sz="4" w:space="0" w:color="auto"/>
              <w:left w:val="single" w:sz="4" w:space="0" w:color="auto"/>
              <w:bottom w:val="single" w:sz="4" w:space="0" w:color="auto"/>
              <w:right w:val="single" w:sz="4" w:space="0" w:color="auto"/>
            </w:tcBorders>
            <w:hideMark/>
          </w:tcPr>
          <w:p w14:paraId="371A37BF"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03D962EC"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auto"/>
              <w:right w:val="single" w:sz="4" w:space="0" w:color="auto"/>
            </w:tcBorders>
            <w:hideMark/>
          </w:tcPr>
          <w:p w14:paraId="45B4A49E" w14:textId="77777777" w:rsidR="00D22CE3" w:rsidRPr="00F10391" w:rsidRDefault="00D22CE3" w:rsidP="005D7324">
            <w:pPr>
              <w:jc w:val="left"/>
              <w:rPr>
                <w:lang w:eastAsia="en-US"/>
              </w:rPr>
            </w:pPr>
            <w:r w:rsidRPr="00F10391">
              <w:rPr>
                <w:lang w:eastAsia="en-US"/>
              </w:rPr>
              <w:t>TB associated mortality</w:t>
            </w:r>
          </w:p>
        </w:tc>
        <w:tc>
          <w:tcPr>
            <w:tcW w:w="1872" w:type="dxa"/>
            <w:tcBorders>
              <w:top w:val="single" w:sz="4" w:space="0" w:color="auto"/>
              <w:left w:val="single" w:sz="4" w:space="0" w:color="auto"/>
              <w:bottom w:val="single" w:sz="4" w:space="0" w:color="auto"/>
              <w:right w:val="single" w:sz="4" w:space="0" w:color="auto"/>
            </w:tcBorders>
            <w:hideMark/>
          </w:tcPr>
          <w:p w14:paraId="3E1C13AC" w14:textId="77777777" w:rsidR="00D22CE3" w:rsidRPr="00F10391" w:rsidRDefault="00D22CE3" w:rsidP="005D7324">
            <w:pPr>
              <w:jc w:val="left"/>
              <w:rPr>
                <w:lang w:eastAsia="en-US"/>
              </w:rPr>
            </w:pPr>
            <w:r w:rsidRPr="00F10391">
              <w:rPr>
                <w:lang w:eastAsia="en-US"/>
              </w:rPr>
              <w:t>None</w:t>
            </w:r>
          </w:p>
        </w:tc>
      </w:tr>
      <w:tr w:rsidR="00D22CE3" w:rsidRPr="00F10391" w14:paraId="68DF04FE"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5BBD31CF" w14:textId="77777777" w:rsidR="00D22CE3" w:rsidRPr="00F10391" w:rsidRDefault="00D22CE3" w:rsidP="00E156D5">
            <w:pPr>
              <w:jc w:val="left"/>
              <w:rPr>
                <w:lang w:eastAsia="en-US"/>
              </w:rPr>
            </w:pPr>
            <w:r w:rsidRPr="00F10391">
              <w:rPr>
                <w:lang w:eastAsia="en-US"/>
              </w:rPr>
              <w:t>PH40</w:t>
            </w:r>
          </w:p>
        </w:tc>
        <w:tc>
          <w:tcPr>
            <w:tcW w:w="1733" w:type="dxa"/>
            <w:tcBorders>
              <w:top w:val="single" w:sz="4" w:space="0" w:color="auto"/>
              <w:left w:val="single" w:sz="4" w:space="0" w:color="auto"/>
              <w:bottom w:val="single" w:sz="4" w:space="0" w:color="auto"/>
              <w:right w:val="single" w:sz="4" w:space="0" w:color="auto"/>
            </w:tcBorders>
            <w:hideMark/>
          </w:tcPr>
          <w:p w14:paraId="042CC751" w14:textId="77777777" w:rsidR="00D22CE3" w:rsidRPr="00F10391" w:rsidRDefault="00D22CE3" w:rsidP="00E156D5">
            <w:pPr>
              <w:jc w:val="left"/>
              <w:rPr>
                <w:lang w:eastAsia="en-US"/>
              </w:rPr>
            </w:pPr>
            <w:r w:rsidRPr="00F10391">
              <w:rPr>
                <w:lang w:eastAsia="en-US"/>
              </w:rPr>
              <w:t>Social and emotional wellbeing – early years</w:t>
            </w:r>
          </w:p>
        </w:tc>
        <w:tc>
          <w:tcPr>
            <w:tcW w:w="1514" w:type="dxa"/>
            <w:tcBorders>
              <w:top w:val="single" w:sz="4" w:space="0" w:color="auto"/>
              <w:left w:val="single" w:sz="4" w:space="0" w:color="auto"/>
              <w:bottom w:val="single" w:sz="4" w:space="0" w:color="auto"/>
              <w:right w:val="single" w:sz="4" w:space="0" w:color="auto"/>
            </w:tcBorders>
            <w:hideMark/>
          </w:tcPr>
          <w:p w14:paraId="44E71E3B" w14:textId="77777777" w:rsidR="00D22CE3" w:rsidRPr="00F10391" w:rsidRDefault="00D22CE3" w:rsidP="00E156D5">
            <w:pPr>
              <w:jc w:val="left"/>
              <w:rPr>
                <w:lang w:eastAsia="en-US"/>
              </w:rPr>
            </w:pPr>
            <w:r w:rsidRPr="00F10391">
              <w:rPr>
                <w:lang w:eastAsia="en-US"/>
              </w:rPr>
              <w:t>CUA</w:t>
            </w:r>
          </w:p>
        </w:tc>
        <w:tc>
          <w:tcPr>
            <w:tcW w:w="1365" w:type="dxa"/>
            <w:tcBorders>
              <w:top w:val="single" w:sz="4" w:space="0" w:color="auto"/>
              <w:left w:val="single" w:sz="4" w:space="0" w:color="auto"/>
              <w:bottom w:val="single" w:sz="4" w:space="0" w:color="auto"/>
              <w:right w:val="single" w:sz="4" w:space="0" w:color="auto"/>
            </w:tcBorders>
            <w:hideMark/>
          </w:tcPr>
          <w:p w14:paraId="717F92ED"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6A6A6"/>
              <w:left w:val="single" w:sz="4" w:space="0" w:color="auto"/>
              <w:bottom w:val="single" w:sz="4" w:space="0" w:color="auto"/>
              <w:right w:val="single" w:sz="4" w:space="0" w:color="auto"/>
            </w:tcBorders>
            <w:hideMark/>
          </w:tcPr>
          <w:p w14:paraId="4634719A" w14:textId="77777777" w:rsidR="00D22CE3" w:rsidRPr="00F10391" w:rsidRDefault="00D22CE3" w:rsidP="005D7324">
            <w:pPr>
              <w:jc w:val="left"/>
              <w:rPr>
                <w:lang w:eastAsia="en-US"/>
              </w:rPr>
            </w:pPr>
            <w:r w:rsidRPr="00F10391">
              <w:rPr>
                <w:lang w:eastAsia="en-US"/>
              </w:rPr>
              <w:t>Inverse relationship between educational attainment and mortality (converted to QALYs)</w:t>
            </w:r>
          </w:p>
        </w:tc>
        <w:tc>
          <w:tcPr>
            <w:tcW w:w="1872" w:type="dxa"/>
            <w:tcBorders>
              <w:top w:val="single" w:sz="4" w:space="0" w:color="A6A6A6"/>
              <w:left w:val="single" w:sz="4" w:space="0" w:color="auto"/>
              <w:bottom w:val="single" w:sz="4" w:space="0" w:color="auto"/>
              <w:right w:val="single" w:sz="4" w:space="0" w:color="auto"/>
            </w:tcBorders>
          </w:tcPr>
          <w:p w14:paraId="64F7032D" w14:textId="77777777" w:rsidR="00D22CE3" w:rsidRPr="00F10391" w:rsidRDefault="00D22CE3" w:rsidP="005D7324">
            <w:pPr>
              <w:jc w:val="left"/>
              <w:rPr>
                <w:lang w:eastAsia="en-US"/>
              </w:rPr>
            </w:pPr>
            <w:r w:rsidRPr="00F10391">
              <w:rPr>
                <w:lang w:eastAsia="en-US"/>
              </w:rPr>
              <w:t>Criminal conviction costs</w:t>
            </w:r>
          </w:p>
          <w:p w14:paraId="7341B434" w14:textId="77777777" w:rsidR="00D22CE3" w:rsidRPr="00F10391" w:rsidRDefault="00D22CE3" w:rsidP="005D7324">
            <w:pPr>
              <w:jc w:val="left"/>
              <w:rPr>
                <w:lang w:eastAsia="en-US"/>
              </w:rPr>
            </w:pPr>
            <w:r w:rsidRPr="00F10391">
              <w:rPr>
                <w:lang w:eastAsia="en-US"/>
              </w:rPr>
              <w:t>Costs of benefits (unemployment benefits, etc.).</w:t>
            </w:r>
          </w:p>
          <w:p w14:paraId="3AAB2D72" w14:textId="77777777" w:rsidR="00D22CE3" w:rsidRPr="00F10391" w:rsidRDefault="00D22CE3" w:rsidP="005D7324">
            <w:pPr>
              <w:jc w:val="left"/>
              <w:rPr>
                <w:lang w:eastAsia="en-US"/>
              </w:rPr>
            </w:pPr>
            <w:r w:rsidRPr="00F10391">
              <w:rPr>
                <w:lang w:eastAsia="en-US"/>
              </w:rPr>
              <w:t>Tax and national insurance paid</w:t>
            </w:r>
          </w:p>
          <w:p w14:paraId="53FB404F" w14:textId="77777777" w:rsidR="00D22CE3" w:rsidRPr="00F10391" w:rsidRDefault="00D22CE3" w:rsidP="005D7324">
            <w:pPr>
              <w:jc w:val="left"/>
              <w:rPr>
                <w:lang w:eastAsia="en-US"/>
              </w:rPr>
            </w:pPr>
            <w:r w:rsidRPr="00F10391">
              <w:rPr>
                <w:lang w:eastAsia="en-US"/>
              </w:rPr>
              <w:t>Teen pregnancy</w:t>
            </w:r>
          </w:p>
        </w:tc>
      </w:tr>
      <w:tr w:rsidR="00D22CE3" w:rsidRPr="00F10391" w14:paraId="406B58D2"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hideMark/>
          </w:tcPr>
          <w:p w14:paraId="4ECF6C80" w14:textId="77777777" w:rsidR="00D22CE3" w:rsidRPr="00F10391" w:rsidRDefault="00D22CE3" w:rsidP="00E156D5">
            <w:pPr>
              <w:jc w:val="left"/>
              <w:rPr>
                <w:lang w:eastAsia="en-US"/>
              </w:rPr>
            </w:pPr>
            <w:r w:rsidRPr="00F10391">
              <w:rPr>
                <w:lang w:eastAsia="en-US"/>
              </w:rPr>
              <w:t>PH41</w:t>
            </w:r>
          </w:p>
        </w:tc>
        <w:tc>
          <w:tcPr>
            <w:tcW w:w="1733" w:type="dxa"/>
            <w:vMerge w:val="restart"/>
            <w:tcBorders>
              <w:top w:val="single" w:sz="4" w:space="0" w:color="auto"/>
              <w:left w:val="single" w:sz="4" w:space="0" w:color="auto"/>
              <w:bottom w:val="single" w:sz="4" w:space="0" w:color="auto"/>
              <w:right w:val="single" w:sz="4" w:space="0" w:color="auto"/>
            </w:tcBorders>
            <w:hideMark/>
          </w:tcPr>
          <w:p w14:paraId="06823761" w14:textId="77777777" w:rsidR="00D22CE3" w:rsidRPr="00F10391" w:rsidRDefault="00D22CE3" w:rsidP="00E156D5">
            <w:pPr>
              <w:jc w:val="left"/>
              <w:rPr>
                <w:lang w:eastAsia="en-US"/>
              </w:rPr>
            </w:pPr>
            <w:r w:rsidRPr="00F10391">
              <w:rPr>
                <w:lang w:eastAsia="en-US"/>
              </w:rPr>
              <w:t>Walking and cycling</w:t>
            </w:r>
          </w:p>
        </w:tc>
        <w:tc>
          <w:tcPr>
            <w:tcW w:w="1514" w:type="dxa"/>
            <w:tcBorders>
              <w:top w:val="single" w:sz="4" w:space="0" w:color="auto"/>
              <w:left w:val="single" w:sz="4" w:space="0" w:color="auto"/>
              <w:bottom w:val="single" w:sz="4" w:space="0" w:color="A6A6A6"/>
              <w:right w:val="single" w:sz="4" w:space="0" w:color="auto"/>
            </w:tcBorders>
            <w:hideMark/>
          </w:tcPr>
          <w:p w14:paraId="4C9345A6" w14:textId="77777777" w:rsidR="00D22CE3" w:rsidRPr="00F10391" w:rsidRDefault="00D22CE3" w:rsidP="00E156D5">
            <w:pPr>
              <w:jc w:val="left"/>
              <w:rPr>
                <w:lang w:eastAsia="en-US"/>
              </w:rPr>
            </w:pPr>
            <w:r w:rsidRPr="00F10391">
              <w:rPr>
                <w:lang w:eastAsia="en-US"/>
              </w:rPr>
              <w:t>CUA/CEA</w:t>
            </w:r>
          </w:p>
        </w:tc>
        <w:tc>
          <w:tcPr>
            <w:tcW w:w="1365" w:type="dxa"/>
            <w:tcBorders>
              <w:top w:val="single" w:sz="4" w:space="0" w:color="auto"/>
              <w:left w:val="single" w:sz="4" w:space="0" w:color="auto"/>
              <w:bottom w:val="single" w:sz="4" w:space="0" w:color="A6A6A6"/>
              <w:right w:val="single" w:sz="4" w:space="0" w:color="auto"/>
            </w:tcBorders>
            <w:hideMark/>
          </w:tcPr>
          <w:p w14:paraId="48E3E119" w14:textId="77777777" w:rsidR="00D22CE3" w:rsidRPr="00F10391" w:rsidRDefault="00D22CE3" w:rsidP="005D7324">
            <w:pPr>
              <w:jc w:val="left"/>
              <w:rPr>
                <w:lang w:eastAsia="en-US"/>
              </w:rPr>
            </w:pPr>
            <w:r w:rsidRPr="00F10391">
              <w:rPr>
                <w:lang w:eastAsia="en-US"/>
              </w:rPr>
              <w:t>Public sector</w:t>
            </w:r>
          </w:p>
        </w:tc>
        <w:tc>
          <w:tcPr>
            <w:tcW w:w="1727" w:type="dxa"/>
            <w:tcBorders>
              <w:top w:val="single" w:sz="4" w:space="0" w:color="auto"/>
              <w:left w:val="single" w:sz="4" w:space="0" w:color="auto"/>
              <w:bottom w:val="single" w:sz="4" w:space="0" w:color="A6A6A6"/>
              <w:right w:val="single" w:sz="4" w:space="0" w:color="auto"/>
            </w:tcBorders>
          </w:tcPr>
          <w:p w14:paraId="693F5638" w14:textId="77777777" w:rsidR="00D22CE3" w:rsidRPr="00F10391" w:rsidRDefault="00D22CE3" w:rsidP="005D7324">
            <w:pPr>
              <w:jc w:val="left"/>
              <w:rPr>
                <w:lang w:eastAsia="en-US"/>
              </w:rPr>
            </w:pPr>
            <w:r w:rsidRPr="00F10391">
              <w:rPr>
                <w:lang w:eastAsia="en-US"/>
              </w:rPr>
              <w:t>Mortality risk given expected changes in overall levels of physical activity</w:t>
            </w:r>
          </w:p>
          <w:p w14:paraId="3DDB8FE4" w14:textId="77777777" w:rsidR="00D22CE3" w:rsidRPr="00F10391" w:rsidRDefault="00D22CE3" w:rsidP="005D7324">
            <w:pPr>
              <w:jc w:val="left"/>
              <w:rPr>
                <w:lang w:eastAsia="en-US"/>
              </w:rPr>
            </w:pPr>
          </w:p>
          <w:p w14:paraId="2B2BE6BC" w14:textId="77777777" w:rsidR="00D22CE3" w:rsidRPr="00F10391" w:rsidRDefault="00D22CE3" w:rsidP="005D7324">
            <w:pPr>
              <w:jc w:val="left"/>
              <w:rPr>
                <w:lang w:eastAsia="en-US"/>
              </w:rPr>
            </w:pPr>
            <w:r w:rsidRPr="00F10391">
              <w:rPr>
                <w:lang w:eastAsia="en-US"/>
              </w:rPr>
              <w:t>Health related quality of life</w:t>
            </w:r>
          </w:p>
          <w:p w14:paraId="4E3F8A05" w14:textId="77777777" w:rsidR="00D22CE3" w:rsidRPr="00F10391" w:rsidRDefault="00D22CE3" w:rsidP="005D7324">
            <w:pPr>
              <w:jc w:val="left"/>
              <w:rPr>
                <w:lang w:eastAsia="en-US"/>
              </w:rPr>
            </w:pPr>
          </w:p>
          <w:p w14:paraId="769EC5D8" w14:textId="77777777" w:rsidR="00D22CE3" w:rsidRPr="00F10391" w:rsidRDefault="00D22CE3" w:rsidP="005D7324">
            <w:pPr>
              <w:jc w:val="left"/>
              <w:rPr>
                <w:lang w:eastAsia="en-US"/>
              </w:rPr>
            </w:pPr>
            <w:r w:rsidRPr="00F10391">
              <w:rPr>
                <w:lang w:eastAsia="en-US"/>
              </w:rPr>
              <w:t>Deaths avoided</w:t>
            </w:r>
          </w:p>
        </w:tc>
        <w:tc>
          <w:tcPr>
            <w:tcW w:w="1872" w:type="dxa"/>
            <w:tcBorders>
              <w:top w:val="single" w:sz="4" w:space="0" w:color="auto"/>
              <w:left w:val="single" w:sz="4" w:space="0" w:color="auto"/>
              <w:bottom w:val="single" w:sz="4" w:space="0" w:color="A6A6A6"/>
              <w:right w:val="single" w:sz="4" w:space="0" w:color="auto"/>
            </w:tcBorders>
          </w:tcPr>
          <w:p w14:paraId="4418DC1D" w14:textId="77777777" w:rsidR="00D22CE3" w:rsidRPr="00F10391" w:rsidRDefault="00D22CE3" w:rsidP="005D7324">
            <w:pPr>
              <w:jc w:val="left"/>
              <w:rPr>
                <w:lang w:eastAsia="en-US"/>
              </w:rPr>
            </w:pPr>
            <w:r w:rsidRPr="00F10391">
              <w:rPr>
                <w:lang w:eastAsia="en-US"/>
              </w:rPr>
              <w:t>Improvements in congestion measured by reductions in time spent driving (Cost per km saved)</w:t>
            </w:r>
          </w:p>
          <w:p w14:paraId="08C12D10" w14:textId="77777777" w:rsidR="00D22CE3" w:rsidRPr="00F10391" w:rsidRDefault="00D22CE3" w:rsidP="005D7324">
            <w:pPr>
              <w:jc w:val="left"/>
              <w:rPr>
                <w:lang w:eastAsia="en-US"/>
              </w:rPr>
            </w:pPr>
          </w:p>
          <w:p w14:paraId="75EA8132" w14:textId="77777777" w:rsidR="00D22CE3" w:rsidRPr="00F10391" w:rsidRDefault="00D22CE3" w:rsidP="005D7324">
            <w:pPr>
              <w:jc w:val="left"/>
              <w:rPr>
                <w:lang w:eastAsia="en-US"/>
              </w:rPr>
            </w:pPr>
            <w:r w:rsidRPr="00F10391">
              <w:rPr>
                <w:lang w:eastAsia="en-US"/>
              </w:rPr>
              <w:t>CO2 / greenhouse gas emissions (cost per tonne of carbon)</w:t>
            </w:r>
          </w:p>
        </w:tc>
      </w:tr>
      <w:tr w:rsidR="00D22CE3" w:rsidRPr="00F10391" w14:paraId="4569C8F9" w14:textId="77777777" w:rsidTr="00D22CE3">
        <w:trPr>
          <w:trHeight w:val="1134"/>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713B3B4A"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085E7F45"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tcPr>
          <w:p w14:paraId="2C45376F" w14:textId="77777777" w:rsidR="00D22CE3" w:rsidRPr="00F10391" w:rsidRDefault="00D22CE3" w:rsidP="00E156D5">
            <w:pPr>
              <w:jc w:val="left"/>
              <w:rPr>
                <w:lang w:eastAsia="en-US"/>
              </w:rPr>
            </w:pPr>
          </w:p>
          <w:p w14:paraId="766C6E18" w14:textId="77777777" w:rsidR="00D22CE3" w:rsidRPr="00F10391" w:rsidRDefault="00D22CE3" w:rsidP="00E156D5">
            <w:pPr>
              <w:jc w:val="left"/>
              <w:rPr>
                <w:lang w:eastAsia="en-US"/>
              </w:rPr>
            </w:pPr>
            <w:r w:rsidRPr="00F10391">
              <w:rPr>
                <w:lang w:eastAsia="en-US"/>
              </w:rPr>
              <w:t>CBA</w:t>
            </w:r>
          </w:p>
        </w:tc>
        <w:tc>
          <w:tcPr>
            <w:tcW w:w="1365" w:type="dxa"/>
            <w:tcBorders>
              <w:top w:val="single" w:sz="4" w:space="0" w:color="A6A6A6"/>
              <w:left w:val="single" w:sz="4" w:space="0" w:color="auto"/>
              <w:bottom w:val="single" w:sz="4" w:space="0" w:color="auto"/>
              <w:right w:val="single" w:sz="4" w:space="0" w:color="auto"/>
            </w:tcBorders>
          </w:tcPr>
          <w:p w14:paraId="38C88794" w14:textId="77777777" w:rsidR="00D22CE3" w:rsidRPr="00F10391" w:rsidRDefault="00D22CE3" w:rsidP="005D7324">
            <w:pPr>
              <w:jc w:val="left"/>
              <w:rPr>
                <w:lang w:eastAsia="en-US"/>
              </w:rPr>
            </w:pPr>
          </w:p>
          <w:p w14:paraId="00061229"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tcPr>
          <w:p w14:paraId="03F356C3" w14:textId="77777777" w:rsidR="00D22CE3" w:rsidRPr="00F10391" w:rsidRDefault="00D22CE3" w:rsidP="005D7324">
            <w:pPr>
              <w:jc w:val="left"/>
              <w:rPr>
                <w:lang w:eastAsia="en-US"/>
              </w:rPr>
            </w:pPr>
          </w:p>
          <w:p w14:paraId="29541C3B" w14:textId="77777777" w:rsidR="00D22CE3" w:rsidRPr="00F10391" w:rsidRDefault="00D22CE3" w:rsidP="005D7324">
            <w:pPr>
              <w:jc w:val="left"/>
              <w:rPr>
                <w:lang w:eastAsia="en-US"/>
              </w:rPr>
            </w:pPr>
            <w:r w:rsidRPr="00F10391">
              <w:rPr>
                <w:lang w:eastAsia="en-US"/>
              </w:rPr>
              <w:t xml:space="preserve">Value of deaths avoided using the statistical value of a life approach </w:t>
            </w:r>
          </w:p>
          <w:p w14:paraId="1ACBDD12" w14:textId="77777777" w:rsidR="00D22CE3" w:rsidRPr="00F10391" w:rsidRDefault="00D22CE3" w:rsidP="005D7324">
            <w:pPr>
              <w:jc w:val="left"/>
              <w:rPr>
                <w:lang w:eastAsia="en-US"/>
              </w:rPr>
            </w:pPr>
          </w:p>
          <w:p w14:paraId="19ECB071" w14:textId="77777777" w:rsidR="00D22CE3" w:rsidRPr="00F10391" w:rsidRDefault="00D22CE3" w:rsidP="005D7324">
            <w:pPr>
              <w:jc w:val="left"/>
              <w:rPr>
                <w:lang w:eastAsia="en-US"/>
              </w:rPr>
            </w:pPr>
          </w:p>
        </w:tc>
        <w:tc>
          <w:tcPr>
            <w:tcW w:w="1872" w:type="dxa"/>
            <w:tcBorders>
              <w:top w:val="single" w:sz="4" w:space="0" w:color="A6A6A6"/>
              <w:left w:val="single" w:sz="4" w:space="0" w:color="auto"/>
              <w:bottom w:val="single" w:sz="4" w:space="0" w:color="auto"/>
              <w:right w:val="single" w:sz="4" w:space="0" w:color="auto"/>
            </w:tcBorders>
          </w:tcPr>
          <w:p w14:paraId="28399BAB" w14:textId="77777777" w:rsidR="00D22CE3" w:rsidRPr="00F10391" w:rsidRDefault="00D22CE3" w:rsidP="005D7324">
            <w:pPr>
              <w:jc w:val="left"/>
              <w:rPr>
                <w:lang w:eastAsia="en-US"/>
              </w:rPr>
            </w:pPr>
            <w:r w:rsidRPr="00F10391">
              <w:rPr>
                <w:lang w:eastAsia="en-US"/>
              </w:rPr>
              <w:t>Value of reduced congestion</w:t>
            </w:r>
          </w:p>
          <w:p w14:paraId="4515C6F0" w14:textId="77777777" w:rsidR="00D22CE3" w:rsidRPr="00F10391" w:rsidRDefault="00D22CE3" w:rsidP="005D7324">
            <w:pPr>
              <w:jc w:val="left"/>
              <w:rPr>
                <w:lang w:eastAsia="en-US"/>
              </w:rPr>
            </w:pPr>
            <w:r w:rsidRPr="00F10391">
              <w:rPr>
                <w:lang w:eastAsia="en-US"/>
              </w:rPr>
              <w:t>Value of greenhouse gas emission reductions</w:t>
            </w:r>
          </w:p>
          <w:p w14:paraId="6F7DBA87" w14:textId="77777777" w:rsidR="00D22CE3" w:rsidRPr="00F10391" w:rsidRDefault="00D22CE3" w:rsidP="005D7324">
            <w:pPr>
              <w:jc w:val="left"/>
              <w:rPr>
                <w:lang w:eastAsia="en-US"/>
              </w:rPr>
            </w:pPr>
            <w:r w:rsidRPr="00F10391">
              <w:rPr>
                <w:lang w:eastAsia="en-US"/>
              </w:rPr>
              <w:t>Loss due to decreased taxation</w:t>
            </w:r>
          </w:p>
        </w:tc>
      </w:tr>
      <w:tr w:rsidR="00D22CE3" w:rsidRPr="00F10391" w14:paraId="368C0E48"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064FE315" w14:textId="77777777" w:rsidR="00D22CE3" w:rsidRPr="00F10391" w:rsidRDefault="00D22CE3" w:rsidP="00E156D5">
            <w:pPr>
              <w:jc w:val="left"/>
              <w:rPr>
                <w:lang w:eastAsia="en-US"/>
              </w:rPr>
            </w:pPr>
            <w:r w:rsidRPr="00F10391">
              <w:rPr>
                <w:lang w:eastAsia="en-US"/>
              </w:rPr>
              <w:t>PH44</w:t>
            </w:r>
          </w:p>
        </w:tc>
        <w:tc>
          <w:tcPr>
            <w:tcW w:w="1733" w:type="dxa"/>
            <w:tcBorders>
              <w:top w:val="single" w:sz="4" w:space="0" w:color="auto"/>
              <w:left w:val="single" w:sz="4" w:space="0" w:color="auto"/>
              <w:bottom w:val="single" w:sz="4" w:space="0" w:color="auto"/>
              <w:right w:val="single" w:sz="4" w:space="0" w:color="auto"/>
            </w:tcBorders>
            <w:hideMark/>
          </w:tcPr>
          <w:p w14:paraId="41C76250" w14:textId="77777777" w:rsidR="00D22CE3" w:rsidRPr="00F10391" w:rsidRDefault="00D22CE3" w:rsidP="00E156D5">
            <w:pPr>
              <w:jc w:val="left"/>
              <w:rPr>
                <w:lang w:eastAsia="en-US"/>
              </w:rPr>
            </w:pPr>
            <w:r w:rsidRPr="00F10391">
              <w:rPr>
                <w:lang w:eastAsia="en-US"/>
              </w:rPr>
              <w:t>Physical activity: brief advice for adults in primary care</w:t>
            </w:r>
          </w:p>
        </w:tc>
        <w:tc>
          <w:tcPr>
            <w:tcW w:w="1514" w:type="dxa"/>
            <w:tcBorders>
              <w:top w:val="single" w:sz="4" w:space="0" w:color="A6A6A6"/>
              <w:left w:val="single" w:sz="4" w:space="0" w:color="auto"/>
              <w:bottom w:val="single" w:sz="4" w:space="0" w:color="auto"/>
              <w:right w:val="single" w:sz="4" w:space="0" w:color="auto"/>
            </w:tcBorders>
          </w:tcPr>
          <w:p w14:paraId="19136E0F" w14:textId="77777777" w:rsidR="00D22CE3" w:rsidRPr="00F10391" w:rsidRDefault="00D22CE3" w:rsidP="005D7324">
            <w:pPr>
              <w:jc w:val="left"/>
              <w:rPr>
                <w:lang w:eastAsia="en-US"/>
              </w:rPr>
            </w:pPr>
          </w:p>
          <w:p w14:paraId="1971E482" w14:textId="77777777" w:rsidR="00D22CE3" w:rsidRPr="00F10391" w:rsidRDefault="00D22CE3" w:rsidP="005D7324">
            <w:pPr>
              <w:jc w:val="left"/>
              <w:rPr>
                <w:lang w:eastAsia="en-US"/>
              </w:rPr>
            </w:pPr>
            <w:r w:rsidRPr="00F10391">
              <w:rPr>
                <w:lang w:eastAsia="en-US"/>
              </w:rPr>
              <w:t>CCA</w:t>
            </w:r>
          </w:p>
        </w:tc>
        <w:tc>
          <w:tcPr>
            <w:tcW w:w="1365" w:type="dxa"/>
            <w:tcBorders>
              <w:top w:val="single" w:sz="4" w:space="0" w:color="A6A6A6"/>
              <w:left w:val="single" w:sz="4" w:space="0" w:color="auto"/>
              <w:bottom w:val="single" w:sz="4" w:space="0" w:color="auto"/>
              <w:right w:val="single" w:sz="4" w:space="0" w:color="auto"/>
            </w:tcBorders>
          </w:tcPr>
          <w:p w14:paraId="41580566" w14:textId="77777777" w:rsidR="00D22CE3" w:rsidRPr="00F10391" w:rsidRDefault="00D22CE3" w:rsidP="005D7324">
            <w:pPr>
              <w:jc w:val="left"/>
              <w:rPr>
                <w:lang w:eastAsia="en-US"/>
              </w:rPr>
            </w:pPr>
          </w:p>
          <w:p w14:paraId="68D40068"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hideMark/>
          </w:tcPr>
          <w:p w14:paraId="28207445" w14:textId="77777777" w:rsidR="00D22CE3" w:rsidRPr="00F10391" w:rsidRDefault="00D22CE3" w:rsidP="005D7324">
            <w:pPr>
              <w:jc w:val="left"/>
              <w:rPr>
                <w:lang w:eastAsia="en-US"/>
              </w:rPr>
            </w:pPr>
            <w:r w:rsidRPr="00F10391">
              <w:rPr>
                <w:lang w:eastAsia="en-US"/>
              </w:rPr>
              <w:t>Non-fatal CHD, stroke, type 2 diabetes; Deaths from cardiovascular disease (CVD) or non-CVD (As with prior CUA model); split up and including further health benefits: Anxiety, depression, colon cancer, lung cancer, breast cancer, diabetes, hypertension, CHD, stroke, osteoporosis, osteoarthritis, low back pain, rheumatoid arthritis, falls prevention (and negative associations with increased injury and disability)</w:t>
            </w:r>
          </w:p>
        </w:tc>
        <w:tc>
          <w:tcPr>
            <w:tcW w:w="1872" w:type="dxa"/>
            <w:tcBorders>
              <w:top w:val="single" w:sz="4" w:space="0" w:color="A6A6A6"/>
              <w:left w:val="single" w:sz="4" w:space="0" w:color="auto"/>
              <w:bottom w:val="single" w:sz="4" w:space="0" w:color="auto"/>
              <w:right w:val="single" w:sz="4" w:space="0" w:color="auto"/>
            </w:tcBorders>
          </w:tcPr>
          <w:p w14:paraId="0019306B" w14:textId="77777777" w:rsidR="00D22CE3" w:rsidRPr="00F10391" w:rsidRDefault="00D22CE3" w:rsidP="005D7324">
            <w:pPr>
              <w:jc w:val="left"/>
              <w:rPr>
                <w:lang w:eastAsia="en-US"/>
              </w:rPr>
            </w:pPr>
            <w:r w:rsidRPr="00F10391">
              <w:rPr>
                <w:lang w:eastAsia="en-US"/>
              </w:rPr>
              <w:t>Reduced absenteeism</w:t>
            </w:r>
          </w:p>
          <w:p w14:paraId="616338EF" w14:textId="77777777" w:rsidR="00D22CE3" w:rsidRPr="00F10391" w:rsidRDefault="00D22CE3" w:rsidP="005D7324">
            <w:pPr>
              <w:pStyle w:val="ListParagraph"/>
              <w:jc w:val="left"/>
            </w:pPr>
          </w:p>
        </w:tc>
      </w:tr>
      <w:tr w:rsidR="00D22CE3" w:rsidRPr="00F10391" w14:paraId="50943A16"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360C9F06" w14:textId="77777777" w:rsidR="00D22CE3" w:rsidRPr="00F10391" w:rsidRDefault="00D22CE3" w:rsidP="00E156D5">
            <w:pPr>
              <w:jc w:val="left"/>
              <w:rPr>
                <w:lang w:eastAsia="en-US"/>
              </w:rPr>
            </w:pPr>
            <w:r w:rsidRPr="00F10391">
              <w:rPr>
                <w:lang w:eastAsia="en-US"/>
              </w:rPr>
              <w:t>PH47</w:t>
            </w:r>
          </w:p>
        </w:tc>
        <w:tc>
          <w:tcPr>
            <w:tcW w:w="1733" w:type="dxa"/>
            <w:tcBorders>
              <w:top w:val="single" w:sz="4" w:space="0" w:color="auto"/>
              <w:left w:val="single" w:sz="4" w:space="0" w:color="auto"/>
              <w:bottom w:val="single" w:sz="4" w:space="0" w:color="auto"/>
              <w:right w:val="single" w:sz="4" w:space="0" w:color="auto"/>
            </w:tcBorders>
            <w:hideMark/>
          </w:tcPr>
          <w:p w14:paraId="1D3D6BDE" w14:textId="77777777" w:rsidR="00D22CE3" w:rsidRPr="00F10391" w:rsidRDefault="00D22CE3" w:rsidP="00E156D5">
            <w:pPr>
              <w:jc w:val="left"/>
              <w:rPr>
                <w:lang w:eastAsia="en-US"/>
              </w:rPr>
            </w:pPr>
            <w:r w:rsidRPr="00F10391">
              <w:rPr>
                <w:lang w:eastAsia="en-US"/>
              </w:rPr>
              <w:t>Managing overweight and obesity among children and young people: lifestyle weight management services</w:t>
            </w:r>
          </w:p>
        </w:tc>
        <w:tc>
          <w:tcPr>
            <w:tcW w:w="1514" w:type="dxa"/>
            <w:tcBorders>
              <w:top w:val="single" w:sz="4" w:space="0" w:color="A6A6A6"/>
              <w:left w:val="single" w:sz="4" w:space="0" w:color="auto"/>
              <w:bottom w:val="single" w:sz="4" w:space="0" w:color="auto"/>
              <w:right w:val="single" w:sz="4" w:space="0" w:color="auto"/>
            </w:tcBorders>
            <w:hideMark/>
          </w:tcPr>
          <w:p w14:paraId="585FF073" w14:textId="77777777" w:rsidR="00D22CE3" w:rsidRPr="00F10391" w:rsidRDefault="00D22CE3" w:rsidP="00E156D5">
            <w:pPr>
              <w:jc w:val="left"/>
              <w:rPr>
                <w:lang w:eastAsia="en-US"/>
              </w:rPr>
            </w:pPr>
            <w:r w:rsidRPr="00F10391">
              <w:rPr>
                <w:lang w:eastAsia="en-US"/>
              </w:rPr>
              <w:t>CCA</w:t>
            </w:r>
          </w:p>
        </w:tc>
        <w:tc>
          <w:tcPr>
            <w:tcW w:w="1365" w:type="dxa"/>
            <w:tcBorders>
              <w:top w:val="single" w:sz="4" w:space="0" w:color="A6A6A6"/>
              <w:left w:val="single" w:sz="4" w:space="0" w:color="auto"/>
              <w:bottom w:val="single" w:sz="4" w:space="0" w:color="auto"/>
              <w:right w:val="single" w:sz="4" w:space="0" w:color="auto"/>
            </w:tcBorders>
            <w:hideMark/>
          </w:tcPr>
          <w:p w14:paraId="73984C95"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hideMark/>
          </w:tcPr>
          <w:p w14:paraId="34BEE40B" w14:textId="77777777" w:rsidR="00D22CE3" w:rsidRPr="00F10391" w:rsidRDefault="00D22CE3" w:rsidP="005D7324">
            <w:pPr>
              <w:jc w:val="left"/>
              <w:rPr>
                <w:lang w:eastAsia="en-US"/>
              </w:rPr>
            </w:pPr>
            <w:r w:rsidRPr="00F10391">
              <w:rPr>
                <w:lang w:eastAsia="en-US"/>
              </w:rPr>
              <w:t>Did not directly include health benefits, though these are assumed based on other effects</w:t>
            </w:r>
          </w:p>
        </w:tc>
        <w:tc>
          <w:tcPr>
            <w:tcW w:w="1872" w:type="dxa"/>
            <w:tcBorders>
              <w:top w:val="single" w:sz="4" w:space="0" w:color="A6A6A6"/>
              <w:left w:val="single" w:sz="4" w:space="0" w:color="auto"/>
              <w:bottom w:val="single" w:sz="4" w:space="0" w:color="auto"/>
              <w:right w:val="single" w:sz="4" w:space="0" w:color="auto"/>
            </w:tcBorders>
          </w:tcPr>
          <w:p w14:paraId="1A3F53D6" w14:textId="77777777" w:rsidR="00D22CE3" w:rsidRPr="00F10391" w:rsidRDefault="00D22CE3" w:rsidP="005D7324">
            <w:pPr>
              <w:jc w:val="left"/>
              <w:rPr>
                <w:lang w:eastAsia="en-US"/>
              </w:rPr>
            </w:pPr>
            <w:r w:rsidRPr="00F10391">
              <w:rPr>
                <w:lang w:eastAsia="en-US"/>
              </w:rPr>
              <w:t xml:space="preserve">Victim related: </w:t>
            </w:r>
          </w:p>
          <w:p w14:paraId="0A800A6B" w14:textId="77777777" w:rsidR="00D22CE3" w:rsidRPr="00F10391" w:rsidRDefault="00D22CE3" w:rsidP="005D7324">
            <w:pPr>
              <w:jc w:val="left"/>
              <w:rPr>
                <w:lang w:eastAsia="en-US"/>
              </w:rPr>
            </w:pPr>
            <w:r w:rsidRPr="00F10391">
              <w:rPr>
                <w:lang w:eastAsia="en-US"/>
              </w:rPr>
              <w:t xml:space="preserve">*Cost savings due to reduction in domestic violence </w:t>
            </w:r>
          </w:p>
          <w:p w14:paraId="6D1C5DE5" w14:textId="77777777" w:rsidR="00D22CE3" w:rsidRPr="00F10391" w:rsidRDefault="00D22CE3" w:rsidP="005D7324">
            <w:pPr>
              <w:jc w:val="left"/>
              <w:rPr>
                <w:lang w:eastAsia="en-US"/>
              </w:rPr>
            </w:pPr>
            <w:r w:rsidRPr="00F10391">
              <w:rPr>
                <w:lang w:eastAsia="en-US"/>
              </w:rPr>
              <w:t xml:space="preserve">*% stating improved coping strategies </w:t>
            </w:r>
          </w:p>
          <w:p w14:paraId="744B0EC7" w14:textId="77777777" w:rsidR="00D22CE3" w:rsidRPr="00F10391" w:rsidRDefault="00D22CE3" w:rsidP="005D7324">
            <w:pPr>
              <w:jc w:val="left"/>
              <w:rPr>
                <w:lang w:eastAsia="en-US"/>
              </w:rPr>
            </w:pPr>
            <w:r w:rsidRPr="00F10391">
              <w:rPr>
                <w:lang w:eastAsia="en-US"/>
              </w:rPr>
              <w:t>*% stating positive change in support network</w:t>
            </w:r>
          </w:p>
          <w:p w14:paraId="7E82DA68" w14:textId="77777777" w:rsidR="00D22CE3" w:rsidRPr="00F10391" w:rsidRDefault="00D22CE3" w:rsidP="005D7324">
            <w:pPr>
              <w:jc w:val="left"/>
              <w:rPr>
                <w:lang w:eastAsia="en-US"/>
              </w:rPr>
            </w:pPr>
            <w:r w:rsidRPr="00F10391">
              <w:rPr>
                <w:lang w:eastAsia="en-US"/>
              </w:rPr>
              <w:t>*% of cases expected to experience continued cessation in long-term</w:t>
            </w:r>
          </w:p>
          <w:p w14:paraId="7D01BA31" w14:textId="77777777" w:rsidR="00D22CE3" w:rsidRPr="00F10391" w:rsidRDefault="00D22CE3" w:rsidP="005D7324">
            <w:pPr>
              <w:jc w:val="left"/>
              <w:rPr>
                <w:lang w:eastAsia="en-US"/>
              </w:rPr>
            </w:pPr>
          </w:p>
          <w:p w14:paraId="4650F817" w14:textId="77777777" w:rsidR="00D22CE3" w:rsidRPr="00F10391" w:rsidRDefault="00D22CE3" w:rsidP="005D7324">
            <w:pPr>
              <w:jc w:val="left"/>
              <w:rPr>
                <w:lang w:eastAsia="en-US"/>
              </w:rPr>
            </w:pPr>
            <w:r w:rsidRPr="00F10391">
              <w:rPr>
                <w:lang w:eastAsia="en-US"/>
              </w:rPr>
              <w:t xml:space="preserve">Child related: </w:t>
            </w:r>
          </w:p>
          <w:p w14:paraId="2B4A61CC" w14:textId="77777777" w:rsidR="00D22CE3" w:rsidRPr="00F10391" w:rsidRDefault="00D22CE3" w:rsidP="005D7324">
            <w:pPr>
              <w:jc w:val="left"/>
              <w:rPr>
                <w:lang w:eastAsia="en-US"/>
              </w:rPr>
            </w:pPr>
            <w:r w:rsidRPr="00F10391">
              <w:rPr>
                <w:lang w:eastAsia="en-US"/>
              </w:rPr>
              <w:t xml:space="preserve">*% reduction in perpetrators threatening to kill children </w:t>
            </w:r>
          </w:p>
          <w:p w14:paraId="5F96A7F9" w14:textId="77777777" w:rsidR="00D22CE3" w:rsidRPr="00F10391" w:rsidRDefault="00D22CE3" w:rsidP="005D7324">
            <w:pPr>
              <w:jc w:val="left"/>
              <w:rPr>
                <w:lang w:eastAsia="en-US"/>
              </w:rPr>
            </w:pPr>
            <w:r w:rsidRPr="00F10391">
              <w:rPr>
                <w:lang w:eastAsia="en-US"/>
              </w:rPr>
              <w:t>*% reduction in conflict around children</w:t>
            </w:r>
          </w:p>
          <w:p w14:paraId="31B6E5A2" w14:textId="77777777" w:rsidR="00D22CE3" w:rsidRPr="00F10391" w:rsidRDefault="00D22CE3" w:rsidP="005D7324">
            <w:pPr>
              <w:jc w:val="left"/>
              <w:rPr>
                <w:lang w:eastAsia="en-US"/>
              </w:rPr>
            </w:pPr>
            <w:r w:rsidRPr="00F10391">
              <w:rPr>
                <w:lang w:eastAsia="en-US"/>
              </w:rPr>
              <w:t>*% reduction in victims fear of perpetrators harming children</w:t>
            </w:r>
          </w:p>
        </w:tc>
      </w:tr>
      <w:tr w:rsidR="00D22CE3" w:rsidRPr="00F10391" w14:paraId="27F1B659"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61854DB5" w14:textId="77777777" w:rsidR="00D22CE3" w:rsidRPr="00F10391" w:rsidRDefault="00D22CE3" w:rsidP="00E156D5">
            <w:pPr>
              <w:jc w:val="left"/>
              <w:rPr>
                <w:lang w:eastAsia="en-US"/>
              </w:rPr>
            </w:pPr>
            <w:r w:rsidRPr="00F10391">
              <w:rPr>
                <w:lang w:eastAsia="en-US"/>
              </w:rPr>
              <w:t>PH48</w:t>
            </w:r>
          </w:p>
        </w:tc>
        <w:tc>
          <w:tcPr>
            <w:tcW w:w="1733" w:type="dxa"/>
            <w:tcBorders>
              <w:top w:val="single" w:sz="4" w:space="0" w:color="auto"/>
              <w:left w:val="single" w:sz="4" w:space="0" w:color="auto"/>
              <w:bottom w:val="single" w:sz="4" w:space="0" w:color="auto"/>
              <w:right w:val="single" w:sz="4" w:space="0" w:color="auto"/>
            </w:tcBorders>
            <w:hideMark/>
          </w:tcPr>
          <w:p w14:paraId="52031249" w14:textId="77777777" w:rsidR="00D22CE3" w:rsidRPr="00F10391" w:rsidRDefault="00D22CE3" w:rsidP="00E156D5">
            <w:pPr>
              <w:jc w:val="left"/>
              <w:rPr>
                <w:lang w:eastAsia="en-US"/>
              </w:rPr>
            </w:pPr>
            <w:r w:rsidRPr="00F10391">
              <w:rPr>
                <w:lang w:eastAsia="en-US"/>
              </w:rPr>
              <w:t>Smoking cessation in secondary care: acute, maternity and mental health services</w:t>
            </w:r>
          </w:p>
        </w:tc>
        <w:tc>
          <w:tcPr>
            <w:tcW w:w="1514" w:type="dxa"/>
            <w:tcBorders>
              <w:top w:val="single" w:sz="4" w:space="0" w:color="A6A6A6"/>
              <w:left w:val="single" w:sz="4" w:space="0" w:color="auto"/>
              <w:bottom w:val="single" w:sz="4" w:space="0" w:color="auto"/>
              <w:right w:val="single" w:sz="4" w:space="0" w:color="auto"/>
            </w:tcBorders>
            <w:hideMark/>
          </w:tcPr>
          <w:p w14:paraId="5AE16C2F" w14:textId="77777777" w:rsidR="00D22CE3" w:rsidRPr="00F10391" w:rsidRDefault="00D22CE3" w:rsidP="00E156D5">
            <w:pPr>
              <w:jc w:val="left"/>
              <w:rPr>
                <w:lang w:eastAsia="en-US"/>
              </w:rPr>
            </w:pPr>
            <w:r w:rsidRPr="00F10391">
              <w:rPr>
                <w:lang w:eastAsia="en-US"/>
              </w:rPr>
              <w:t>As with prior CUA plus CCA, though this was not implemented fully</w:t>
            </w:r>
          </w:p>
        </w:tc>
        <w:tc>
          <w:tcPr>
            <w:tcW w:w="1365" w:type="dxa"/>
            <w:tcBorders>
              <w:top w:val="single" w:sz="4" w:space="0" w:color="A6A6A6"/>
              <w:left w:val="single" w:sz="4" w:space="0" w:color="auto"/>
              <w:bottom w:val="single" w:sz="4" w:space="0" w:color="auto"/>
              <w:right w:val="single" w:sz="4" w:space="0" w:color="auto"/>
            </w:tcBorders>
            <w:hideMark/>
          </w:tcPr>
          <w:p w14:paraId="150035F9" w14:textId="77777777" w:rsidR="00D22CE3" w:rsidRPr="00F10391" w:rsidRDefault="00D22CE3" w:rsidP="005D7324">
            <w:pPr>
              <w:jc w:val="left"/>
              <w:rPr>
                <w:lang w:eastAsia="en-US"/>
              </w:rPr>
            </w:pPr>
            <w:r w:rsidRPr="00F10391">
              <w:rPr>
                <w:lang w:eastAsia="en-US"/>
              </w:rPr>
              <w:t>Employer /societal perspective</w:t>
            </w:r>
          </w:p>
        </w:tc>
        <w:tc>
          <w:tcPr>
            <w:tcW w:w="1727" w:type="dxa"/>
            <w:tcBorders>
              <w:top w:val="single" w:sz="4" w:space="0" w:color="A6A6A6"/>
              <w:left w:val="single" w:sz="4" w:space="0" w:color="auto"/>
              <w:bottom w:val="single" w:sz="4" w:space="0" w:color="auto"/>
              <w:right w:val="single" w:sz="4" w:space="0" w:color="auto"/>
            </w:tcBorders>
            <w:hideMark/>
          </w:tcPr>
          <w:p w14:paraId="44233E57" w14:textId="77777777" w:rsidR="00D22CE3" w:rsidRPr="00F10391" w:rsidRDefault="00D22CE3" w:rsidP="005D7324">
            <w:pPr>
              <w:jc w:val="left"/>
              <w:rPr>
                <w:lang w:eastAsia="en-US"/>
              </w:rPr>
            </w:pPr>
            <w:r w:rsidRPr="00F10391">
              <w:rPr>
                <w:lang w:eastAsia="en-US"/>
              </w:rPr>
              <w:t>Prior CUA model incorporated coronary heart disease, chronic obstructive pulmonary disease, lung cancer, myocardial infarctions and stroke (and examined further disease specific factors for case studies)</w:t>
            </w:r>
          </w:p>
        </w:tc>
        <w:tc>
          <w:tcPr>
            <w:tcW w:w="1872" w:type="dxa"/>
            <w:tcBorders>
              <w:top w:val="single" w:sz="4" w:space="0" w:color="A6A6A6"/>
              <w:left w:val="single" w:sz="4" w:space="0" w:color="auto"/>
              <w:bottom w:val="single" w:sz="4" w:space="0" w:color="auto"/>
              <w:right w:val="single" w:sz="4" w:space="0" w:color="auto"/>
            </w:tcBorders>
          </w:tcPr>
          <w:p w14:paraId="171B61E1" w14:textId="77777777" w:rsidR="00D22CE3" w:rsidRPr="00F10391" w:rsidRDefault="00D22CE3" w:rsidP="005D7324">
            <w:pPr>
              <w:jc w:val="left"/>
              <w:rPr>
                <w:lang w:eastAsia="en-US"/>
              </w:rPr>
            </w:pPr>
            <w:r w:rsidRPr="00F10391">
              <w:rPr>
                <w:lang w:eastAsia="en-US"/>
              </w:rPr>
              <w:t xml:space="preserve">Reduction in productivity losses estimated. </w:t>
            </w:r>
          </w:p>
          <w:p w14:paraId="1086B927" w14:textId="77777777" w:rsidR="00D22CE3" w:rsidRPr="00F10391" w:rsidRDefault="00D22CE3" w:rsidP="005D7324">
            <w:pPr>
              <w:jc w:val="left"/>
              <w:rPr>
                <w:lang w:eastAsia="en-US"/>
              </w:rPr>
            </w:pPr>
          </w:p>
          <w:p w14:paraId="1B79BA6D" w14:textId="77777777" w:rsidR="00D22CE3" w:rsidRPr="00F10391" w:rsidRDefault="00D22CE3" w:rsidP="005D7324">
            <w:pPr>
              <w:jc w:val="left"/>
              <w:rPr>
                <w:lang w:eastAsia="en-US"/>
              </w:rPr>
            </w:pPr>
            <w:r w:rsidRPr="00F10391">
              <w:rPr>
                <w:lang w:eastAsia="en-US"/>
              </w:rPr>
              <w:t>Was to be used as part of extended cost/QALY calculation, but this does not seem to be shown and assumedly removed. Could still potentially be used as standard CCA if desired</w:t>
            </w:r>
          </w:p>
        </w:tc>
      </w:tr>
      <w:tr w:rsidR="00D22CE3" w:rsidRPr="00F10391" w14:paraId="6DE4A84D" w14:textId="77777777" w:rsidTr="00D22CE3">
        <w:trPr>
          <w:trHeight w:val="1134"/>
        </w:trPr>
        <w:tc>
          <w:tcPr>
            <w:tcW w:w="859" w:type="dxa"/>
            <w:vMerge w:val="restart"/>
            <w:tcBorders>
              <w:top w:val="single" w:sz="4" w:space="0" w:color="auto"/>
              <w:left w:val="single" w:sz="4" w:space="0" w:color="auto"/>
              <w:bottom w:val="single" w:sz="4" w:space="0" w:color="auto"/>
              <w:right w:val="single" w:sz="4" w:space="0" w:color="auto"/>
            </w:tcBorders>
          </w:tcPr>
          <w:p w14:paraId="7EED4A7F" w14:textId="77777777" w:rsidR="00D22CE3" w:rsidRPr="00F10391" w:rsidRDefault="00D22CE3" w:rsidP="00E156D5">
            <w:pPr>
              <w:jc w:val="left"/>
              <w:rPr>
                <w:lang w:eastAsia="en-US"/>
              </w:rPr>
            </w:pPr>
            <w:r w:rsidRPr="00F10391">
              <w:rPr>
                <w:lang w:eastAsia="en-US"/>
              </w:rPr>
              <w:t>PH50</w:t>
            </w:r>
          </w:p>
          <w:p w14:paraId="704FE5FE" w14:textId="77777777" w:rsidR="00D22CE3" w:rsidRPr="00F10391" w:rsidRDefault="00D22CE3" w:rsidP="00E156D5">
            <w:pPr>
              <w:jc w:val="left"/>
              <w:rPr>
                <w:lang w:eastAsia="en-US"/>
              </w:rPr>
            </w:pPr>
          </w:p>
          <w:p w14:paraId="443724DA" w14:textId="77777777" w:rsidR="00D22CE3" w:rsidRPr="00F10391" w:rsidRDefault="00D22CE3" w:rsidP="005D7324">
            <w:pPr>
              <w:jc w:val="left"/>
              <w:rPr>
                <w:lang w:eastAsia="en-US"/>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128DA879" w14:textId="77777777" w:rsidR="00D22CE3" w:rsidRPr="00F10391" w:rsidRDefault="00D22CE3" w:rsidP="005D7324">
            <w:pPr>
              <w:jc w:val="left"/>
              <w:rPr>
                <w:lang w:eastAsia="en-US"/>
              </w:rPr>
            </w:pPr>
            <w:r w:rsidRPr="00F10391">
              <w:rPr>
                <w:lang w:eastAsia="en-US"/>
              </w:rPr>
              <w:t>Domestic violence and abuse: how health services, social care and the organisations they work with can respond effectively</w:t>
            </w:r>
          </w:p>
        </w:tc>
        <w:tc>
          <w:tcPr>
            <w:tcW w:w="1514" w:type="dxa"/>
            <w:tcBorders>
              <w:top w:val="single" w:sz="4" w:space="0" w:color="auto"/>
              <w:left w:val="single" w:sz="4" w:space="0" w:color="auto"/>
              <w:bottom w:val="single" w:sz="4" w:space="0" w:color="A6A6A6"/>
              <w:right w:val="single" w:sz="4" w:space="0" w:color="auto"/>
            </w:tcBorders>
            <w:hideMark/>
          </w:tcPr>
          <w:p w14:paraId="5F84E54C" w14:textId="77777777" w:rsidR="00D22CE3" w:rsidRPr="00F10391" w:rsidRDefault="00D22CE3" w:rsidP="005D7324">
            <w:pPr>
              <w:jc w:val="left"/>
              <w:rPr>
                <w:lang w:eastAsia="en-US"/>
              </w:rPr>
            </w:pPr>
            <w:r w:rsidRPr="00F10391">
              <w:rPr>
                <w:lang w:eastAsia="en-US"/>
              </w:rPr>
              <w:t>CBA (referred to as CUA, but took into account societal costs and found intervention to be dominant)</w:t>
            </w:r>
          </w:p>
        </w:tc>
        <w:tc>
          <w:tcPr>
            <w:tcW w:w="1365" w:type="dxa"/>
            <w:tcBorders>
              <w:top w:val="single" w:sz="4" w:space="0" w:color="auto"/>
              <w:left w:val="single" w:sz="4" w:space="0" w:color="auto"/>
              <w:bottom w:val="single" w:sz="4" w:space="0" w:color="A6A6A6"/>
              <w:right w:val="single" w:sz="4" w:space="0" w:color="auto"/>
            </w:tcBorders>
            <w:hideMark/>
          </w:tcPr>
          <w:p w14:paraId="085D8F6C"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uto"/>
              <w:left w:val="single" w:sz="4" w:space="0" w:color="auto"/>
              <w:bottom w:val="single" w:sz="4" w:space="0" w:color="A6A6A6"/>
              <w:right w:val="single" w:sz="4" w:space="0" w:color="auto"/>
            </w:tcBorders>
            <w:hideMark/>
          </w:tcPr>
          <w:p w14:paraId="0853CA8D" w14:textId="77777777" w:rsidR="00D22CE3" w:rsidRPr="00F10391" w:rsidRDefault="00D22CE3" w:rsidP="005D7324">
            <w:pPr>
              <w:jc w:val="left"/>
              <w:rPr>
                <w:lang w:eastAsia="en-US"/>
              </w:rPr>
            </w:pPr>
            <w:r w:rsidRPr="00F10391">
              <w:rPr>
                <w:lang w:eastAsia="en-US"/>
              </w:rPr>
              <w:t>Health</w:t>
            </w:r>
          </w:p>
        </w:tc>
        <w:tc>
          <w:tcPr>
            <w:tcW w:w="1872" w:type="dxa"/>
            <w:tcBorders>
              <w:top w:val="single" w:sz="4" w:space="0" w:color="auto"/>
              <w:left w:val="single" w:sz="4" w:space="0" w:color="auto"/>
              <w:bottom w:val="single" w:sz="4" w:space="0" w:color="A6A6A6"/>
              <w:right w:val="single" w:sz="4" w:space="0" w:color="auto"/>
            </w:tcBorders>
            <w:hideMark/>
          </w:tcPr>
          <w:p w14:paraId="118E2C10" w14:textId="77777777" w:rsidR="00D22CE3" w:rsidRPr="00F10391" w:rsidRDefault="00D22CE3" w:rsidP="005D7324">
            <w:pPr>
              <w:jc w:val="left"/>
              <w:rPr>
                <w:lang w:eastAsia="en-US"/>
              </w:rPr>
            </w:pPr>
            <w:r w:rsidRPr="00F10391">
              <w:rPr>
                <w:lang w:eastAsia="en-US"/>
              </w:rPr>
              <w:t>Criminal Justice</w:t>
            </w:r>
          </w:p>
          <w:p w14:paraId="163D1511" w14:textId="77777777" w:rsidR="00D22CE3" w:rsidRPr="00F10391" w:rsidRDefault="00D22CE3" w:rsidP="005D7324">
            <w:pPr>
              <w:jc w:val="left"/>
              <w:rPr>
                <w:lang w:eastAsia="en-US"/>
              </w:rPr>
            </w:pPr>
            <w:r w:rsidRPr="00F10391">
              <w:rPr>
                <w:lang w:eastAsia="en-US"/>
              </w:rPr>
              <w:t>Employment</w:t>
            </w:r>
          </w:p>
          <w:p w14:paraId="405DE9F1" w14:textId="77777777" w:rsidR="00D22CE3" w:rsidRPr="00F10391" w:rsidRDefault="00D22CE3" w:rsidP="005D7324">
            <w:pPr>
              <w:jc w:val="left"/>
              <w:rPr>
                <w:lang w:eastAsia="en-US"/>
              </w:rPr>
            </w:pPr>
            <w:r w:rsidRPr="00F10391">
              <w:rPr>
                <w:lang w:eastAsia="en-US"/>
              </w:rPr>
              <w:t>Human and emotional</w:t>
            </w:r>
          </w:p>
        </w:tc>
      </w:tr>
      <w:tr w:rsidR="00D22CE3" w:rsidRPr="00F10391" w14:paraId="25698433" w14:textId="77777777" w:rsidTr="00D22CE3">
        <w:trPr>
          <w:trHeight w:val="2102"/>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7819856F" w14:textId="77777777" w:rsidR="00D22CE3" w:rsidRPr="00F10391" w:rsidRDefault="00D22CE3" w:rsidP="0063065F">
            <w:pPr>
              <w:jc w:val="left"/>
              <w:rPr>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0620F015" w14:textId="77777777" w:rsidR="00D22CE3" w:rsidRPr="00F10391" w:rsidRDefault="00D22CE3" w:rsidP="0063065F">
            <w:pPr>
              <w:jc w:val="left"/>
              <w:rPr>
                <w:lang w:eastAsia="en-US"/>
              </w:rPr>
            </w:pPr>
          </w:p>
        </w:tc>
        <w:tc>
          <w:tcPr>
            <w:tcW w:w="1514" w:type="dxa"/>
            <w:tcBorders>
              <w:top w:val="single" w:sz="4" w:space="0" w:color="A6A6A6"/>
              <w:left w:val="single" w:sz="4" w:space="0" w:color="auto"/>
              <w:bottom w:val="single" w:sz="4" w:space="0" w:color="auto"/>
              <w:right w:val="single" w:sz="4" w:space="0" w:color="auto"/>
            </w:tcBorders>
            <w:hideMark/>
          </w:tcPr>
          <w:p w14:paraId="38A719BD" w14:textId="77777777" w:rsidR="00D22CE3" w:rsidRPr="00F10391" w:rsidRDefault="00D22CE3" w:rsidP="00E156D5">
            <w:pPr>
              <w:jc w:val="left"/>
              <w:rPr>
                <w:lang w:eastAsia="en-US"/>
              </w:rPr>
            </w:pPr>
            <w:r w:rsidRPr="00F10391">
              <w:rPr>
                <w:lang w:eastAsia="en-US"/>
              </w:rPr>
              <w:t>As above, with nominal CCA</w:t>
            </w:r>
          </w:p>
        </w:tc>
        <w:tc>
          <w:tcPr>
            <w:tcW w:w="1365" w:type="dxa"/>
            <w:tcBorders>
              <w:top w:val="single" w:sz="4" w:space="0" w:color="A6A6A6"/>
              <w:left w:val="single" w:sz="4" w:space="0" w:color="auto"/>
              <w:bottom w:val="single" w:sz="4" w:space="0" w:color="auto"/>
              <w:right w:val="single" w:sz="4" w:space="0" w:color="auto"/>
            </w:tcBorders>
            <w:hideMark/>
          </w:tcPr>
          <w:p w14:paraId="7D9345C4" w14:textId="77777777" w:rsidR="00D22CE3" w:rsidRPr="00F10391" w:rsidRDefault="00D22CE3" w:rsidP="00E156D5">
            <w:pPr>
              <w:jc w:val="left"/>
              <w:rPr>
                <w:lang w:eastAsia="en-US"/>
              </w:rPr>
            </w:pPr>
            <w:r w:rsidRPr="00F10391">
              <w:rPr>
                <w:lang w:eastAsia="en-US"/>
              </w:rPr>
              <w:t>Societal</w:t>
            </w:r>
          </w:p>
        </w:tc>
        <w:tc>
          <w:tcPr>
            <w:tcW w:w="1727" w:type="dxa"/>
            <w:tcBorders>
              <w:top w:val="single" w:sz="4" w:space="0" w:color="A6A6A6"/>
              <w:left w:val="single" w:sz="4" w:space="0" w:color="auto"/>
              <w:bottom w:val="single" w:sz="4" w:space="0" w:color="auto"/>
              <w:right w:val="single" w:sz="4" w:space="0" w:color="auto"/>
            </w:tcBorders>
          </w:tcPr>
          <w:p w14:paraId="15E875CE" w14:textId="77777777" w:rsidR="00D22CE3" w:rsidRPr="00F10391" w:rsidRDefault="00D22CE3" w:rsidP="005D7324">
            <w:pPr>
              <w:jc w:val="left"/>
              <w:rPr>
                <w:lang w:eastAsia="en-US"/>
              </w:rPr>
            </w:pPr>
            <w:r w:rsidRPr="00F10391">
              <w:rPr>
                <w:lang w:eastAsia="en-US"/>
              </w:rPr>
              <w:t>Quality of life gain associated with reduced PTSD</w:t>
            </w:r>
          </w:p>
          <w:p w14:paraId="11FC0E38" w14:textId="77777777" w:rsidR="00D22CE3" w:rsidRPr="00F10391" w:rsidRDefault="00D22CE3" w:rsidP="005D7324">
            <w:pPr>
              <w:jc w:val="left"/>
              <w:rPr>
                <w:lang w:eastAsia="en-US"/>
              </w:rPr>
            </w:pPr>
          </w:p>
          <w:p w14:paraId="0DBA3E88" w14:textId="77777777" w:rsidR="00D22CE3" w:rsidRPr="00F10391" w:rsidRDefault="00D22CE3" w:rsidP="005D7324">
            <w:pPr>
              <w:jc w:val="left"/>
              <w:rPr>
                <w:lang w:eastAsia="en-US"/>
              </w:rPr>
            </w:pPr>
            <w:r w:rsidRPr="00F10391">
              <w:rPr>
                <w:lang w:eastAsia="en-US"/>
              </w:rPr>
              <w:t>Cost savings to health service associated with reduced PTSD</w:t>
            </w:r>
          </w:p>
        </w:tc>
        <w:tc>
          <w:tcPr>
            <w:tcW w:w="1872" w:type="dxa"/>
            <w:tcBorders>
              <w:top w:val="single" w:sz="4" w:space="0" w:color="A6A6A6"/>
              <w:left w:val="single" w:sz="4" w:space="0" w:color="auto"/>
              <w:bottom w:val="single" w:sz="4" w:space="0" w:color="auto"/>
              <w:right w:val="single" w:sz="4" w:space="0" w:color="auto"/>
            </w:tcBorders>
          </w:tcPr>
          <w:p w14:paraId="3CFDA61F" w14:textId="77777777" w:rsidR="00D22CE3" w:rsidRPr="00F10391" w:rsidRDefault="00D22CE3" w:rsidP="005D7324">
            <w:pPr>
              <w:jc w:val="left"/>
              <w:rPr>
                <w:lang w:eastAsia="en-US"/>
              </w:rPr>
            </w:pPr>
            <w:r w:rsidRPr="00F10391">
              <w:rPr>
                <w:lang w:eastAsia="en-US"/>
              </w:rPr>
              <w:t>CCA used to describe quantitatively other issues not included in the model, such as:</w:t>
            </w:r>
          </w:p>
          <w:p w14:paraId="69DACE5F" w14:textId="77777777" w:rsidR="00D22CE3" w:rsidRPr="00F10391" w:rsidRDefault="00D22CE3" w:rsidP="005D7324">
            <w:pPr>
              <w:jc w:val="left"/>
              <w:rPr>
                <w:lang w:eastAsia="en-US"/>
              </w:rPr>
            </w:pPr>
            <w:r w:rsidRPr="00F10391">
              <w:rPr>
                <w:lang w:eastAsia="en-US"/>
              </w:rPr>
              <w:t>*Cost savings</w:t>
            </w:r>
          </w:p>
          <w:p w14:paraId="0A2C0DEC" w14:textId="77777777" w:rsidR="00D22CE3" w:rsidRPr="00F10391" w:rsidRDefault="00D22CE3" w:rsidP="005D7324">
            <w:pPr>
              <w:jc w:val="left"/>
              <w:rPr>
                <w:lang w:eastAsia="en-US"/>
              </w:rPr>
            </w:pPr>
            <w:r w:rsidRPr="00F10391">
              <w:rPr>
                <w:lang w:eastAsia="en-US"/>
              </w:rPr>
              <w:t>*Cost of treatment</w:t>
            </w:r>
          </w:p>
          <w:p w14:paraId="571ED06E" w14:textId="77777777" w:rsidR="00D22CE3" w:rsidRPr="00F10391" w:rsidRDefault="00D22CE3" w:rsidP="005D7324">
            <w:pPr>
              <w:jc w:val="left"/>
              <w:rPr>
                <w:lang w:eastAsia="en-US"/>
              </w:rPr>
            </w:pPr>
            <w:r w:rsidRPr="00F10391">
              <w:rPr>
                <w:lang w:eastAsia="en-US"/>
              </w:rPr>
              <w:t>*Productivity</w:t>
            </w:r>
          </w:p>
          <w:p w14:paraId="542EE08E" w14:textId="77777777" w:rsidR="00D22CE3" w:rsidRPr="00F10391" w:rsidRDefault="00D22CE3" w:rsidP="005D7324">
            <w:pPr>
              <w:jc w:val="left"/>
              <w:rPr>
                <w:lang w:eastAsia="en-US"/>
              </w:rPr>
            </w:pPr>
            <w:r w:rsidRPr="00F10391">
              <w:rPr>
                <w:lang w:eastAsia="en-US"/>
              </w:rPr>
              <w:t>*Related absenteeism</w:t>
            </w:r>
          </w:p>
        </w:tc>
      </w:tr>
      <w:tr w:rsidR="00D22CE3" w:rsidRPr="00F10391" w14:paraId="238BD1E2" w14:textId="77777777" w:rsidTr="00D22CE3">
        <w:trPr>
          <w:trHeight w:val="1472"/>
        </w:trPr>
        <w:tc>
          <w:tcPr>
            <w:tcW w:w="859" w:type="dxa"/>
            <w:tcBorders>
              <w:top w:val="single" w:sz="4" w:space="0" w:color="auto"/>
              <w:left w:val="single" w:sz="4" w:space="0" w:color="auto"/>
              <w:bottom w:val="single" w:sz="4" w:space="0" w:color="auto"/>
              <w:right w:val="single" w:sz="4" w:space="0" w:color="auto"/>
            </w:tcBorders>
            <w:hideMark/>
          </w:tcPr>
          <w:p w14:paraId="5C015F7C" w14:textId="77777777" w:rsidR="00D22CE3" w:rsidRPr="00F10391" w:rsidRDefault="00D22CE3" w:rsidP="00E156D5">
            <w:pPr>
              <w:jc w:val="left"/>
              <w:rPr>
                <w:lang w:eastAsia="en-US"/>
              </w:rPr>
            </w:pPr>
            <w:r w:rsidRPr="00F10391">
              <w:rPr>
                <w:lang w:eastAsia="en-US"/>
              </w:rPr>
              <w:t>PH51</w:t>
            </w:r>
          </w:p>
        </w:tc>
        <w:tc>
          <w:tcPr>
            <w:tcW w:w="1733" w:type="dxa"/>
            <w:tcBorders>
              <w:top w:val="single" w:sz="4" w:space="0" w:color="auto"/>
              <w:left w:val="single" w:sz="4" w:space="0" w:color="auto"/>
              <w:bottom w:val="single" w:sz="4" w:space="0" w:color="auto"/>
              <w:right w:val="single" w:sz="4" w:space="0" w:color="auto"/>
            </w:tcBorders>
            <w:hideMark/>
          </w:tcPr>
          <w:p w14:paraId="3BB8F269" w14:textId="77777777" w:rsidR="00D22CE3" w:rsidRPr="00F10391" w:rsidRDefault="00D22CE3" w:rsidP="00E156D5">
            <w:pPr>
              <w:jc w:val="left"/>
              <w:rPr>
                <w:lang w:eastAsia="en-US"/>
              </w:rPr>
            </w:pPr>
            <w:r w:rsidRPr="00F10391">
              <w:rPr>
                <w:lang w:eastAsia="en-US"/>
              </w:rPr>
              <w:t>Contraceptive services with a focus on young people up to the age of 25</w:t>
            </w:r>
          </w:p>
        </w:tc>
        <w:tc>
          <w:tcPr>
            <w:tcW w:w="1514" w:type="dxa"/>
            <w:tcBorders>
              <w:top w:val="single" w:sz="4" w:space="0" w:color="auto"/>
              <w:left w:val="single" w:sz="4" w:space="0" w:color="auto"/>
              <w:bottom w:val="single" w:sz="4" w:space="0" w:color="auto"/>
              <w:right w:val="single" w:sz="4" w:space="0" w:color="auto"/>
            </w:tcBorders>
          </w:tcPr>
          <w:p w14:paraId="4138823B" w14:textId="77777777" w:rsidR="00D22CE3" w:rsidRPr="00F10391" w:rsidRDefault="00D22CE3" w:rsidP="005D7324">
            <w:pPr>
              <w:jc w:val="left"/>
              <w:rPr>
                <w:lang w:eastAsia="en-US"/>
              </w:rPr>
            </w:pPr>
            <w:r w:rsidRPr="00F10391">
              <w:rPr>
                <w:lang w:eastAsia="en-US"/>
              </w:rPr>
              <w:t>CBA, built upon CEA</w:t>
            </w:r>
          </w:p>
          <w:p w14:paraId="2FE8F457" w14:textId="77777777" w:rsidR="00D22CE3" w:rsidRPr="00F10391" w:rsidRDefault="00D22CE3" w:rsidP="005D7324">
            <w:pPr>
              <w:jc w:val="left"/>
              <w:rPr>
                <w:lang w:eastAsia="en-US"/>
              </w:rPr>
            </w:pPr>
          </w:p>
          <w:p w14:paraId="16F27E75" w14:textId="77777777" w:rsidR="00D22CE3" w:rsidRPr="00F10391" w:rsidRDefault="00D22CE3" w:rsidP="005D7324">
            <w:pPr>
              <w:jc w:val="left"/>
              <w:rPr>
                <w:lang w:eastAsia="en-US"/>
              </w:rPr>
            </w:pPr>
            <w:r w:rsidRPr="00F10391">
              <w:rPr>
                <w:lang w:eastAsia="en-US"/>
              </w:rPr>
              <w:t>(CUA felt to be infeasible/ inappropriate)</w:t>
            </w:r>
          </w:p>
        </w:tc>
        <w:tc>
          <w:tcPr>
            <w:tcW w:w="1365" w:type="dxa"/>
            <w:tcBorders>
              <w:top w:val="single" w:sz="4" w:space="0" w:color="auto"/>
              <w:left w:val="single" w:sz="4" w:space="0" w:color="auto"/>
              <w:bottom w:val="single" w:sz="4" w:space="0" w:color="auto"/>
              <w:right w:val="single" w:sz="4" w:space="0" w:color="auto"/>
            </w:tcBorders>
            <w:hideMark/>
          </w:tcPr>
          <w:p w14:paraId="6FEA019A" w14:textId="77777777" w:rsidR="00D22CE3" w:rsidRPr="00F10391" w:rsidRDefault="00D22CE3" w:rsidP="005D7324">
            <w:pPr>
              <w:jc w:val="left"/>
              <w:rPr>
                <w:lang w:eastAsia="en-US"/>
              </w:rPr>
            </w:pPr>
            <w:r w:rsidRPr="00F10391">
              <w:rPr>
                <w:lang w:eastAsia="en-US"/>
              </w:rPr>
              <w:t>Public sector, with NHS &amp; PSS checked in sensitivity analyses</w:t>
            </w:r>
          </w:p>
        </w:tc>
        <w:tc>
          <w:tcPr>
            <w:tcW w:w="1727" w:type="dxa"/>
            <w:tcBorders>
              <w:top w:val="single" w:sz="4" w:space="0" w:color="auto"/>
              <w:left w:val="single" w:sz="4" w:space="0" w:color="auto"/>
              <w:bottom w:val="single" w:sz="4" w:space="0" w:color="auto"/>
              <w:right w:val="single" w:sz="4" w:space="0" w:color="auto"/>
            </w:tcBorders>
            <w:hideMark/>
          </w:tcPr>
          <w:p w14:paraId="7F4C6C80" w14:textId="77777777" w:rsidR="00D22CE3" w:rsidRPr="00F10391" w:rsidRDefault="00D22CE3" w:rsidP="005D7324">
            <w:pPr>
              <w:jc w:val="left"/>
              <w:rPr>
                <w:lang w:eastAsia="en-US"/>
              </w:rPr>
            </w:pPr>
            <w:r w:rsidRPr="00F10391">
              <w:rPr>
                <w:lang w:eastAsia="en-US"/>
              </w:rPr>
              <w:t>Costs of:</w:t>
            </w:r>
          </w:p>
          <w:p w14:paraId="31EB5892" w14:textId="77777777" w:rsidR="00D22CE3" w:rsidRPr="00F10391" w:rsidRDefault="00D22CE3" w:rsidP="005D7324">
            <w:pPr>
              <w:jc w:val="left"/>
              <w:rPr>
                <w:lang w:eastAsia="en-US"/>
              </w:rPr>
            </w:pPr>
            <w:r w:rsidRPr="00F10391">
              <w:rPr>
                <w:lang w:eastAsia="en-US"/>
              </w:rPr>
              <w:t>*Various pregnancy issues</w:t>
            </w:r>
          </w:p>
          <w:p w14:paraId="2CB1AC70" w14:textId="77777777" w:rsidR="00D22CE3" w:rsidRPr="00F10391" w:rsidRDefault="00D22CE3" w:rsidP="005D7324">
            <w:pPr>
              <w:jc w:val="left"/>
              <w:rPr>
                <w:lang w:eastAsia="en-US"/>
              </w:rPr>
            </w:pPr>
            <w:r w:rsidRPr="00F10391">
              <w:rPr>
                <w:lang w:eastAsia="en-US"/>
              </w:rPr>
              <w:t>*various types of contraception</w:t>
            </w:r>
          </w:p>
          <w:p w14:paraId="3730FE88" w14:textId="77777777" w:rsidR="00D22CE3" w:rsidRPr="00F10391" w:rsidRDefault="00D22CE3" w:rsidP="005D7324">
            <w:pPr>
              <w:jc w:val="left"/>
              <w:rPr>
                <w:lang w:eastAsia="en-US"/>
              </w:rPr>
            </w:pPr>
            <w:r w:rsidRPr="00F10391">
              <w:rPr>
                <w:lang w:eastAsia="en-US"/>
              </w:rPr>
              <w:t>*STI treatment</w:t>
            </w:r>
          </w:p>
        </w:tc>
        <w:tc>
          <w:tcPr>
            <w:tcW w:w="1872" w:type="dxa"/>
            <w:tcBorders>
              <w:top w:val="single" w:sz="4" w:space="0" w:color="auto"/>
              <w:left w:val="single" w:sz="4" w:space="0" w:color="auto"/>
              <w:bottom w:val="single" w:sz="4" w:space="0" w:color="auto"/>
              <w:right w:val="single" w:sz="4" w:space="0" w:color="auto"/>
            </w:tcBorders>
          </w:tcPr>
          <w:p w14:paraId="6DA189EF" w14:textId="77777777" w:rsidR="00D22CE3" w:rsidRPr="00F10391" w:rsidRDefault="00D22CE3" w:rsidP="005D7324">
            <w:pPr>
              <w:jc w:val="left"/>
              <w:rPr>
                <w:lang w:eastAsia="en-US"/>
              </w:rPr>
            </w:pPr>
            <w:r w:rsidRPr="00F10391">
              <w:rPr>
                <w:lang w:eastAsia="en-US"/>
              </w:rPr>
              <w:t>Income support at various ages</w:t>
            </w:r>
          </w:p>
          <w:p w14:paraId="6935908E" w14:textId="77777777" w:rsidR="00D22CE3" w:rsidRPr="00F10391" w:rsidRDefault="00D22CE3" w:rsidP="005D7324">
            <w:pPr>
              <w:jc w:val="left"/>
              <w:rPr>
                <w:lang w:eastAsia="en-US"/>
              </w:rPr>
            </w:pPr>
            <w:r w:rsidRPr="00F10391">
              <w:rPr>
                <w:lang w:eastAsia="en-US"/>
              </w:rPr>
              <w:t>Child benefit (at various no if children)</w:t>
            </w:r>
          </w:p>
          <w:p w14:paraId="46F785CE" w14:textId="77777777" w:rsidR="00D22CE3" w:rsidRPr="00F10391" w:rsidRDefault="00D22CE3" w:rsidP="005D7324">
            <w:pPr>
              <w:jc w:val="left"/>
              <w:rPr>
                <w:lang w:eastAsia="en-US"/>
              </w:rPr>
            </w:pPr>
            <w:r w:rsidRPr="00F10391">
              <w:rPr>
                <w:lang w:eastAsia="en-US"/>
              </w:rPr>
              <w:t>Council tax and housing benefits</w:t>
            </w:r>
          </w:p>
          <w:p w14:paraId="20D51118" w14:textId="77777777" w:rsidR="00D22CE3" w:rsidRPr="00F10391" w:rsidRDefault="00D22CE3" w:rsidP="005D7324">
            <w:pPr>
              <w:jc w:val="left"/>
              <w:rPr>
                <w:lang w:eastAsia="en-US"/>
              </w:rPr>
            </w:pPr>
          </w:p>
          <w:p w14:paraId="28FD96B8" w14:textId="77777777" w:rsidR="00D22CE3" w:rsidRPr="00F10391" w:rsidRDefault="00D22CE3" w:rsidP="005D7324">
            <w:pPr>
              <w:jc w:val="left"/>
              <w:rPr>
                <w:lang w:eastAsia="en-US"/>
              </w:rPr>
            </w:pPr>
          </w:p>
        </w:tc>
      </w:tr>
      <w:tr w:rsidR="00D22CE3" w:rsidRPr="00F10391" w14:paraId="465E296B" w14:textId="77777777" w:rsidTr="00D22CE3">
        <w:trPr>
          <w:trHeight w:val="1134"/>
        </w:trPr>
        <w:tc>
          <w:tcPr>
            <w:tcW w:w="859" w:type="dxa"/>
            <w:tcBorders>
              <w:top w:val="single" w:sz="4" w:space="0" w:color="auto"/>
              <w:left w:val="single" w:sz="4" w:space="0" w:color="auto"/>
              <w:bottom w:val="single" w:sz="4" w:space="0" w:color="auto"/>
              <w:right w:val="single" w:sz="4" w:space="0" w:color="auto"/>
            </w:tcBorders>
            <w:hideMark/>
          </w:tcPr>
          <w:p w14:paraId="45FF980E" w14:textId="77777777" w:rsidR="00D22CE3" w:rsidRPr="00F10391" w:rsidRDefault="00D22CE3" w:rsidP="00E156D5">
            <w:pPr>
              <w:jc w:val="left"/>
              <w:rPr>
                <w:lang w:eastAsia="en-US"/>
              </w:rPr>
            </w:pPr>
            <w:r w:rsidRPr="00F10391">
              <w:rPr>
                <w:lang w:eastAsia="en-US"/>
              </w:rPr>
              <w:t>PH52</w:t>
            </w:r>
          </w:p>
        </w:tc>
        <w:tc>
          <w:tcPr>
            <w:tcW w:w="1733" w:type="dxa"/>
            <w:tcBorders>
              <w:top w:val="single" w:sz="4" w:space="0" w:color="auto"/>
              <w:left w:val="single" w:sz="4" w:space="0" w:color="auto"/>
              <w:bottom w:val="single" w:sz="4" w:space="0" w:color="auto"/>
              <w:right w:val="single" w:sz="4" w:space="0" w:color="auto"/>
            </w:tcBorders>
            <w:hideMark/>
          </w:tcPr>
          <w:p w14:paraId="79791977" w14:textId="77777777" w:rsidR="00D22CE3" w:rsidRPr="00F10391" w:rsidRDefault="00D22CE3" w:rsidP="00E156D5">
            <w:pPr>
              <w:jc w:val="left"/>
              <w:rPr>
                <w:lang w:eastAsia="en-US"/>
              </w:rPr>
            </w:pPr>
            <w:r w:rsidRPr="00F10391">
              <w:rPr>
                <w:lang w:eastAsia="en-US"/>
              </w:rPr>
              <w:t xml:space="preserve">Needle and syringe programmes </w:t>
            </w:r>
          </w:p>
        </w:tc>
        <w:tc>
          <w:tcPr>
            <w:tcW w:w="1514" w:type="dxa"/>
            <w:tcBorders>
              <w:top w:val="single" w:sz="4" w:space="0" w:color="auto"/>
              <w:left w:val="single" w:sz="4" w:space="0" w:color="auto"/>
              <w:bottom w:val="single" w:sz="4" w:space="0" w:color="auto"/>
              <w:right w:val="single" w:sz="4" w:space="0" w:color="auto"/>
            </w:tcBorders>
            <w:hideMark/>
          </w:tcPr>
          <w:p w14:paraId="35D2D5E7" w14:textId="77777777" w:rsidR="00D22CE3" w:rsidRPr="00F10391" w:rsidRDefault="00D22CE3" w:rsidP="00E156D5">
            <w:pPr>
              <w:jc w:val="left"/>
              <w:rPr>
                <w:lang w:eastAsia="en-US"/>
              </w:rPr>
            </w:pPr>
            <w:r w:rsidRPr="00F10391">
              <w:rPr>
                <w:lang w:eastAsia="en-US"/>
              </w:rPr>
              <w:t>CUA (using the same economic modelling report as PH18)</w:t>
            </w:r>
          </w:p>
        </w:tc>
        <w:tc>
          <w:tcPr>
            <w:tcW w:w="1365" w:type="dxa"/>
            <w:tcBorders>
              <w:top w:val="single" w:sz="4" w:space="0" w:color="auto"/>
              <w:left w:val="single" w:sz="4" w:space="0" w:color="auto"/>
              <w:bottom w:val="single" w:sz="4" w:space="0" w:color="auto"/>
              <w:right w:val="single" w:sz="4" w:space="0" w:color="auto"/>
            </w:tcBorders>
            <w:hideMark/>
          </w:tcPr>
          <w:p w14:paraId="7464D981" w14:textId="77777777" w:rsidR="00D22CE3" w:rsidRPr="00F10391" w:rsidRDefault="00D22CE3" w:rsidP="005D7324">
            <w:pPr>
              <w:jc w:val="left"/>
              <w:rPr>
                <w:lang w:eastAsia="en-US"/>
              </w:rPr>
            </w:pPr>
            <w:r w:rsidRPr="00F10391">
              <w:rPr>
                <w:lang w:eastAsia="en-US"/>
              </w:rPr>
              <w:t>Societal</w:t>
            </w:r>
          </w:p>
        </w:tc>
        <w:tc>
          <w:tcPr>
            <w:tcW w:w="1727" w:type="dxa"/>
            <w:tcBorders>
              <w:top w:val="single" w:sz="4" w:space="0" w:color="auto"/>
              <w:left w:val="single" w:sz="4" w:space="0" w:color="auto"/>
              <w:bottom w:val="single" w:sz="4" w:space="0" w:color="auto"/>
              <w:right w:val="single" w:sz="4" w:space="0" w:color="auto"/>
            </w:tcBorders>
            <w:hideMark/>
          </w:tcPr>
          <w:p w14:paraId="5BF91ADB" w14:textId="77777777" w:rsidR="00D22CE3" w:rsidRPr="00F10391" w:rsidRDefault="00D22CE3" w:rsidP="005D7324">
            <w:pPr>
              <w:jc w:val="left"/>
              <w:rPr>
                <w:lang w:eastAsia="en-US"/>
              </w:rPr>
            </w:pPr>
            <w:r w:rsidRPr="00F10391">
              <w:rPr>
                <w:lang w:eastAsia="en-US"/>
              </w:rPr>
              <w:t>NHS costs</w:t>
            </w:r>
          </w:p>
        </w:tc>
        <w:tc>
          <w:tcPr>
            <w:tcW w:w="1872" w:type="dxa"/>
            <w:tcBorders>
              <w:top w:val="single" w:sz="4" w:space="0" w:color="auto"/>
              <w:left w:val="single" w:sz="4" w:space="0" w:color="auto"/>
              <w:bottom w:val="single" w:sz="4" w:space="0" w:color="auto"/>
              <w:right w:val="single" w:sz="4" w:space="0" w:color="auto"/>
            </w:tcBorders>
            <w:hideMark/>
          </w:tcPr>
          <w:p w14:paraId="7E881A19" w14:textId="77777777" w:rsidR="00D22CE3" w:rsidRPr="00F10391" w:rsidRDefault="00D22CE3" w:rsidP="005D7324">
            <w:pPr>
              <w:jc w:val="left"/>
              <w:rPr>
                <w:lang w:eastAsia="en-US"/>
              </w:rPr>
            </w:pPr>
            <w:r w:rsidRPr="00F10391">
              <w:rPr>
                <w:lang w:eastAsia="en-US"/>
              </w:rPr>
              <w:t>Intravenous drug user–associated crime</w:t>
            </w:r>
          </w:p>
        </w:tc>
      </w:tr>
    </w:tbl>
    <w:p w14:paraId="2567BCEC" w14:textId="77777777" w:rsidR="00D22CE3" w:rsidRPr="00F10391" w:rsidRDefault="00D22CE3" w:rsidP="00494A9A"/>
    <w:p w14:paraId="17C7756A" w14:textId="77777777" w:rsidR="00D22CE3" w:rsidRPr="00F10391" w:rsidRDefault="00D22CE3" w:rsidP="0063065F">
      <w:bookmarkStart w:id="539" w:name="_Toc441508988"/>
      <w:bookmarkStart w:id="540" w:name="_Toc304640267"/>
      <w:bookmarkStart w:id="541" w:name="_Toc283984178"/>
      <w:bookmarkStart w:id="542" w:name="_Toc453235428"/>
    </w:p>
    <w:bookmarkStart w:id="543" w:name="_Toc283984177"/>
    <w:p w14:paraId="59F02884" w14:textId="77777777" w:rsidR="00D22CE3" w:rsidRPr="00F10391" w:rsidRDefault="00D22CE3" w:rsidP="00494A9A">
      <w:r w:rsidRPr="00F10391">
        <w:rPr>
          <w:noProof/>
          <w:lang w:val="en-IE" w:eastAsia="en-IE"/>
        </w:rPr>
        <mc:AlternateContent>
          <mc:Choice Requires="wps">
            <w:drawing>
              <wp:anchor distT="45720" distB="45720" distL="114300" distR="114300" simplePos="0" relativeHeight="251668480" behindDoc="0" locked="0" layoutInCell="1" allowOverlap="1" wp14:anchorId="112E3DF8" wp14:editId="360C084B">
                <wp:simplePos x="0" y="0"/>
                <wp:positionH relativeFrom="column">
                  <wp:posOffset>-2628900</wp:posOffset>
                </wp:positionH>
                <wp:positionV relativeFrom="paragraph">
                  <wp:posOffset>5024755</wp:posOffset>
                </wp:positionV>
                <wp:extent cx="5753100" cy="317500"/>
                <wp:effectExtent l="0" t="635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53100" cy="317500"/>
                        </a:xfrm>
                        <a:prstGeom prst="rect">
                          <a:avLst/>
                        </a:prstGeom>
                        <a:solidFill>
                          <a:srgbClr val="FFFFFF"/>
                        </a:solidFill>
                        <a:ln w="9525">
                          <a:noFill/>
                          <a:miter lim="800000"/>
                          <a:headEnd/>
                          <a:tailEnd/>
                        </a:ln>
                      </wps:spPr>
                      <wps:txbx>
                        <w:txbxContent>
                          <w:p w14:paraId="53149B81" w14:textId="36CCD136" w:rsidR="0063065F" w:rsidRPr="008D62E3" w:rsidRDefault="0063065F" w:rsidP="00494A9A">
                            <w:pPr>
                              <w:pStyle w:val="Caption"/>
                            </w:pPr>
                            <w:bookmarkStart w:id="544" w:name="_Toc444180818"/>
                            <w:bookmarkStart w:id="545" w:name="_Toc283984238"/>
                            <w:bookmarkStart w:id="546" w:name="_Toc476241455"/>
                            <w:r>
                              <w:t>Figure 5.</w:t>
                            </w:r>
                            <w:r>
                              <w:fldChar w:fldCharType="begin"/>
                            </w:r>
                            <w:r>
                              <w:instrText xml:space="preserve"> SEQ Figure \* ARABIC \s 1 </w:instrText>
                            </w:r>
                            <w:r>
                              <w:fldChar w:fldCharType="separate"/>
                            </w:r>
                            <w:r>
                              <w:rPr>
                                <w:noProof/>
                              </w:rPr>
                              <w:t>2</w:t>
                            </w:r>
                            <w:r>
                              <w:rPr>
                                <w:noProof/>
                              </w:rPr>
                              <w:fldChar w:fldCharType="end"/>
                            </w:r>
                            <w:r w:rsidRPr="008D62E3">
                              <w:t xml:space="preserve"> – Economic modelling techniques used in NICE public health guidance </w:t>
                            </w:r>
                            <w:bookmarkEnd w:id="544"/>
                            <w:bookmarkEnd w:id="545"/>
                            <w:r>
                              <w:t>over period of review</w:t>
                            </w:r>
                            <w:bookmarkEnd w:id="546"/>
                          </w:p>
                          <w:p w14:paraId="589E8B6A" w14:textId="77777777" w:rsidR="0063065F" w:rsidRDefault="0063065F" w:rsidP="00494A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3DF8" id="_x0000_s1030" type="#_x0000_t202" style="position:absolute;left:0;text-align:left;margin-left:-207pt;margin-top:395.65pt;width:453pt;height:2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" stroked="f">
                <v:textbox>
                  <w:txbxContent>
                    <w:p w14:paraId="53149B81" w14:textId="36CCD136" w:rsidR="0063065F" w:rsidRPr="008D62E3" w:rsidRDefault="0063065F" w:rsidP="00494A9A">
                      <w:pPr>
                        <w:pStyle w:val="Caption"/>
                      </w:pPr>
                      <w:bookmarkStart w:id="549" w:name="_Toc444180818"/>
                      <w:bookmarkStart w:id="550" w:name="_Toc283984238"/>
                      <w:bookmarkStart w:id="551" w:name="_Toc476241455"/>
                      <w:r>
                        <w:t>Figure 5.</w:t>
                      </w:r>
                      <w:r>
                        <w:fldChar w:fldCharType="begin"/>
                      </w:r>
                      <w:r>
                        <w:instrText xml:space="preserve"> SEQ Figure \* ARABIC \s 1 </w:instrText>
                      </w:r>
                      <w:r>
                        <w:fldChar w:fldCharType="separate"/>
                      </w:r>
                      <w:r>
                        <w:rPr>
                          <w:noProof/>
                        </w:rPr>
                        <w:t>2</w:t>
                      </w:r>
                      <w:r>
                        <w:rPr>
                          <w:noProof/>
                        </w:rPr>
                        <w:fldChar w:fldCharType="end"/>
                      </w:r>
                      <w:r w:rsidRPr="008D62E3">
                        <w:t xml:space="preserve"> – Economic modelling techniques used in NICE public health guidance </w:t>
                      </w:r>
                      <w:bookmarkEnd w:id="549"/>
                      <w:bookmarkEnd w:id="550"/>
                      <w:r>
                        <w:t>over period of review</w:t>
                      </w:r>
                      <w:bookmarkEnd w:id="551"/>
                    </w:p>
                    <w:p w14:paraId="589E8B6A" w14:textId="77777777" w:rsidR="0063065F" w:rsidRDefault="0063065F" w:rsidP="00494A9A"/>
                  </w:txbxContent>
                </v:textbox>
                <w10:wrap type="square"/>
              </v:shape>
            </w:pict>
          </mc:Fallback>
        </mc:AlternateContent>
      </w:r>
      <w:r w:rsidRPr="00F10391">
        <w:rPr>
          <w:noProof/>
          <w:lang w:val="en-IE" w:eastAsia="en-IE"/>
        </w:rPr>
        <w:drawing>
          <wp:inline distT="0" distB="0" distL="0" distR="0" wp14:anchorId="06A6FDBD" wp14:editId="4F6102FE">
            <wp:extent cx="5143500" cy="7734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0011" cy="7774476"/>
                    </a:xfrm>
                    <a:prstGeom prst="rect">
                      <a:avLst/>
                    </a:prstGeom>
                    <a:noFill/>
                    <a:ln>
                      <a:noFill/>
                    </a:ln>
                  </pic:spPr>
                </pic:pic>
              </a:graphicData>
            </a:graphic>
          </wp:inline>
        </w:drawing>
      </w:r>
    </w:p>
    <w:bookmarkEnd w:id="543"/>
    <w:p w14:paraId="6D4F34F4" w14:textId="77777777" w:rsidR="00D22CE3" w:rsidRPr="00F10391" w:rsidRDefault="00D22CE3" w:rsidP="0063065F"/>
    <w:p w14:paraId="12AF6F27" w14:textId="77777777" w:rsidR="00D22CE3" w:rsidRPr="00F10391" w:rsidRDefault="00D22CE3" w:rsidP="0063065F">
      <w:pPr>
        <w:rPr>
          <w:rFonts w:eastAsia="Times New Roman"/>
        </w:rPr>
      </w:pPr>
      <w:r w:rsidRPr="00F10391">
        <w:br w:type="page"/>
      </w:r>
    </w:p>
    <w:p w14:paraId="6F47DE0B" w14:textId="77777777" w:rsidR="00D22CE3" w:rsidRPr="00F10391" w:rsidRDefault="00D22CE3" w:rsidP="00494A9A">
      <w:pPr>
        <w:pStyle w:val="Numberedheading2"/>
      </w:pPr>
      <w:bookmarkStart w:id="547" w:name="_Toc453595501"/>
      <w:bookmarkStart w:id="548" w:name="_Toc476241598"/>
      <w:r w:rsidRPr="00F10391">
        <w:t>5.3</w:t>
      </w:r>
      <w:r w:rsidRPr="00F10391">
        <w:tab/>
      </w:r>
      <w:r w:rsidRPr="00F10391">
        <w:tab/>
        <w:t>Comparison to previous studies</w:t>
      </w:r>
      <w:bookmarkEnd w:id="539"/>
      <w:bookmarkEnd w:id="540"/>
      <w:bookmarkEnd w:id="541"/>
      <w:bookmarkEnd w:id="542"/>
      <w:bookmarkEnd w:id="547"/>
      <w:bookmarkEnd w:id="548"/>
    </w:p>
    <w:p w14:paraId="331E32A6" w14:textId="77777777" w:rsidR="00D22CE3" w:rsidRPr="00F10391" w:rsidRDefault="00D22CE3" w:rsidP="00494A9A"/>
    <w:p w14:paraId="2889DE73" w14:textId="77777777" w:rsidR="00D22CE3" w:rsidRPr="00F10391" w:rsidRDefault="00D22CE3" w:rsidP="00490B5D">
      <w:r w:rsidRPr="00F10391">
        <w:t xml:space="preserve">As Figure 5.2 shows, about three quarters of the topics used economic modelling in their decision-making, and just under three quarters of these used CUA alone. Of the remainder, nearly all used CUA alongside other approaches: 3 used CBA, 3 CCA, 2 Net Financial Benefit (NFB) and 1 arguably used both CBA and CCA. One used an approach that could be equally described as CBA or CUA (and is described further later). Another topic used CBA alone (built upon a series of CEAs), which was the only piece of guidance incorporating modelling not to include CUA in any form. 13 topics did not apply an economic model, though two of these described how it might be carried out if further data were available. Another topic reused the model from an earlier version of the same topic; others altered previous frameworks only slightly. In some cases, there is a lack of clarity between whether the analysis performed was actually cost-benefit analysis or net financial benefit. Where described as a CBA, it has been listed as such, but this issue is further examined in the Discussion section. </w:t>
      </w:r>
    </w:p>
    <w:p w14:paraId="4C27BAF1" w14:textId="77777777" w:rsidR="00D22CE3" w:rsidRPr="00F10391" w:rsidRDefault="00D22CE3" w:rsidP="00490B5D">
      <w:r w:rsidRPr="00F10391">
        <w:t xml:space="preserve">A wide range of non-health benefits was found in the review of CPH guidance. Where a public sector perspective was used, cost savings to government departments aside from the Department of Health become relevant to the decision-making process. Reduced productivity, normally measured through absenteeism or presenteeism, occurs on 12 occasions (e.g. PH44 </w:t>
      </w:r>
      <w:r w:rsidRPr="00F10391">
        <w:fldChar w:fldCharType="begin"/>
      </w:r>
      <w:r w:rsidR="00700267">
        <w:instrText xml:space="preserve"> ADDIN EN.CITE &lt;EndNote&gt;&lt;Cite&gt;&lt;Author&gt;NICE&lt;/Author&gt;&lt;Year&gt;2013&lt;/Year&gt;&lt;RecNum&gt;242&lt;/RecNum&gt;&lt;DisplayText&gt;[268]&lt;/DisplayText&gt;&lt;record&gt;&lt;rec-number&gt;242&lt;/rec-number&gt;&lt;foreign-keys&gt;&lt;key app="EN" db-id="sz9092dv2s5fpze9wpgx0zxgv5ar00aezrvf" timestamp="0"&gt;242&lt;/key&gt;&lt;/foreign-keys&gt;&lt;ref-type name="Report"&gt;27&lt;/ref-type&gt;&lt;contributors&gt;&lt;authors&gt;&lt;author&gt;NICE&lt;/author&gt;&lt;/authors&gt;&lt;/contributors&gt;&lt;titles&gt;&lt;title&gt;Physical activity: brief advice for adults in primary care&lt;/title&gt;&lt;secondary-title&gt;PH44&lt;/secondary-title&gt;&lt;/titles&gt;&lt;dates&gt;&lt;year&gt;2013&lt;/year&gt;&lt;/dates&gt;&lt;pub-location&gt;London&lt;/pub-location&gt;&lt;publisher&gt;National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[268]</w:t>
      </w:r>
      <w:r w:rsidRPr="00F10391">
        <w:fldChar w:fldCharType="end"/>
      </w:r>
      <w:r w:rsidRPr="00F10391">
        <w:t xml:space="preserve">, PH48 </w:t>
      </w:r>
      <w:r w:rsidRPr="00F10391">
        <w:fldChar w:fldCharType="begin"/>
      </w:r>
      <w:r w:rsidR="00700267">
        <w:instrText xml:space="preserve"> ADDIN EN.CITE &lt;EndNote&gt;&lt;Cite&gt;&lt;Author&gt;NICE&lt;/Author&gt;&lt;Year&gt;2013&lt;/Year&gt;&lt;RecNum&gt;246&lt;/RecNum&gt;&lt;DisplayText&gt;[239]&lt;/DisplayText&gt;&lt;record&gt;&lt;rec-number&gt;246&lt;/rec-number&gt;&lt;foreign-keys&gt;&lt;key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[239]</w:t>
      </w:r>
      <w:r w:rsidRPr="00F10391">
        <w:fldChar w:fldCharType="end"/>
      </w:r>
      <w:r w:rsidRPr="00F10391">
        <w:t xml:space="preserve">,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xml:space="preserve">). Criminal justice service costs arise on 10 occasions, incorporating the combined costs of arrest, custody, court appearances and prison (PH4 </w:t>
      </w:r>
      <w:r w:rsidRPr="00F10391">
        <w:fldChar w:fldCharType="begin"/>
      </w:r>
      <w:r w:rsidR="00700267">
        <w:instrText xml:space="preserve"> ADDIN EN.CITE &lt;EndNote&gt;&lt;Cite&gt;&lt;Author&gt;NICE&lt;/Author&gt;&lt;Year&gt;2007&lt;/Year&gt;&lt;RecNum&gt;202&lt;/RecNum&gt;&lt;DisplayText&gt;[231]&lt;/DisplayText&gt;&lt;record&gt;&lt;rec-number&gt;202&lt;/rec-number&gt;&lt;foreign-keys&gt;&lt;key app="EN" db-id="sz9092dv2s5fpze9wpgx0zxgv5ar00aezrvf" timestamp="0"&gt;202&lt;/key&gt;&lt;/foreign-keys&gt;&lt;ref-type name="Report"&gt;27&lt;/ref-type&gt;&lt;contributors&gt;&lt;authors&gt;&lt;author&gt;NICE&lt;/author&gt;&lt;/authors&gt;&lt;/contributors&gt;&lt;titles&gt;&lt;title&gt;Interventions to reduce substance misuse among vulnerable young people&lt;/title&gt;&lt;secondary-title&gt;PH4&lt;/secondary-title&gt;&lt;/titles&gt;&lt;dates&gt;&lt;year&gt;2007&lt;/year&gt;&lt;/dates&gt;&lt;pub-location&gt;London&lt;/pub-location&gt;&lt;publisher&gt;National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[231]</w:t>
      </w:r>
      <w:r w:rsidRPr="00F10391">
        <w:fldChar w:fldCharType="end"/>
      </w:r>
      <w:r w:rsidRPr="00F10391">
        <w:t xml:space="preserve">), police costs in implementing laws (PH29 </w:t>
      </w:r>
      <w:r w:rsidRPr="00F10391">
        <w:fldChar w:fldCharType="begin"/>
      </w:r>
      <w:r w:rsidR="00700267">
        <w:instrText xml:space="preserve"> ADDIN EN.CITE &lt;EndNote&gt;&lt;Cite&gt;&lt;Author&gt;NICE&lt;/Author&gt;&lt;Year&gt;2010&lt;/Year&gt;&lt;RecNum&gt;227&lt;/RecNum&gt;&lt;DisplayText&gt;[293]&lt;/DisplayText&gt;&lt;record&gt;&lt;rec-number&gt;227&lt;/rec-number&gt;&lt;foreign-keys&gt;&lt;key app="EN" db-id="sz9092dv2s5fpze9wpgx0zxgv5ar00aezrvf" timestamp="0"&gt;227&lt;/key&gt;&lt;/foreign-keys&gt;&lt;ref-type name="Report"&gt;27&lt;/ref-type&gt;&lt;contributors&gt;&lt;authors&gt;&lt;author&gt;NICE&lt;/author&gt;&lt;/authors&gt;&lt;/contributors&gt;&lt;titles&gt;&lt;title&gt;Strategies to prevent unintentional injuries among the under-15s&lt;/title&gt;&lt;secondary-title&gt;PH29&lt;/secondary-title&gt;&lt;/titles&gt;&lt;dates&gt;&lt;year&gt;2010&lt;/year&gt;&lt;/dates&gt;&lt;pub-location&gt;London&lt;/pub-location&gt;&lt;publisher&gt;National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[293]</w:t>
      </w:r>
      <w:r w:rsidRPr="00F10391">
        <w:fldChar w:fldCharType="end"/>
      </w:r>
      <w:r w:rsidRPr="00F10391">
        <w:t xml:space="preserve">) and the impact of conviction on future wages (PH40 </w:t>
      </w:r>
      <w:r w:rsidRPr="00F10391">
        <w:fldChar w:fldCharType="begin"/>
      </w:r>
      <w:r w:rsidR="00700267">
        <w:instrText xml:space="preserve"> ADDIN EN.CITE &lt;EndNote&gt;&lt;Cite&gt;&lt;Author&gt;NICE&lt;/Author&gt;&lt;Year&gt;2012&lt;/Year&gt;&lt;RecNum&gt;238&lt;/RecNum&gt;&lt;DisplayText&gt;[301]&lt;/DisplayText&gt;&lt;record&gt;&lt;rec-number&gt;238&lt;/rec-number&gt;&lt;foreign-keys&gt;&lt;key app="EN" db-id="sz9092dv2s5fpze9wpgx0zxgv5ar00aezrvf" timestamp="0"&gt;238&lt;/key&gt;&lt;/foreign-keys&gt;&lt;ref-type name="Report"&gt;27&lt;/ref-type&gt;&lt;contributors&gt;&lt;authors&gt;&lt;author&gt;NICE&lt;/author&gt;&lt;/authors&gt;&lt;/contributors&gt;&lt;titles&gt;&lt;title&gt;Social and emotional wellbeing: early years&lt;/title&gt;&lt;secondary-title&gt;PH40&lt;/secondary-title&gt;&lt;/titles&gt;&lt;dates&gt;&lt;year&gt;2012&lt;/year&gt;&lt;/dates&gt;&lt;pub-location&gt;London&lt;/pub-location&gt;&lt;publisher&gt;National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[301]</w:t>
      </w:r>
      <w:r w:rsidRPr="00F10391">
        <w:fldChar w:fldCharType="end"/>
      </w:r>
      <w:r w:rsidRPr="00F10391">
        <w:t xml:space="preserve">). While costs on individuals are outside of the reference case, reduced income implies reduced tax revenue for the government in the future, and becomes relevant in this perspective. A similar approach is employed for educational attainment, which arose on 4 occasions (PH7 </w:t>
      </w:r>
      <w:r w:rsidRPr="00F10391">
        <w:fldChar w:fldCharType="begin"/>
      </w:r>
      <w:r w:rsidR="00700267">
        <w:instrText xml:space="preserve"> ADDIN EN.CITE &lt;EndNote&gt;&lt;Cite&gt;&lt;Author&gt;NICE&lt;/Author&gt;&lt;Year&gt;2007&lt;/Year&gt;&lt;RecNum&gt;205&lt;/RecNum&gt;&lt;DisplayText&gt;[219]&lt;/DisplayText&gt;&lt;record&gt;&lt;rec-number&gt;205&lt;/rec-number&gt;&lt;foreign-keys&gt;&lt;key app="EN" db-id="sz9092dv2s5fpze9wpgx0zxgv5ar00aezrvf" timestamp="0"&gt;205&lt;/key&gt;&lt;/foreign-keys&gt;&lt;ref-type name="Report"&gt;27&lt;/ref-type&gt;&lt;contributors&gt;&lt;authors&gt;&lt;author&gt;NICE&lt;/author&gt;&lt;/authors&gt;&lt;/contributors&gt;&lt;titles&gt;&lt;title&gt;School-based interventions on alcohol&lt;/title&gt;&lt;secondary-title&gt;PH7&lt;/secondary-title&gt;&lt;/titles&gt;&lt;dates&gt;&lt;year&gt;2007&lt;/year&gt;&lt;/dates&gt;&lt;pub-location&gt;London &lt;/pub-location&gt;&lt;publisher&gt;National Institute for Health and Care Excellence&lt;/publisher&gt;&lt;urls&gt;&lt;/urls&gt;&lt;/record&gt;&lt;/Cite&gt;&lt;/EndNote&gt;</w:instrText>
      </w:r>
      <w:r w:rsidRPr="00F10391">
        <w:fldChar w:fldCharType="separate"/>
      </w:r>
      <w:r w:rsidR="00700267">
        <w:rPr>
          <w:noProof/>
        </w:rPr>
        <w:t>[219]</w:t>
      </w:r>
      <w:r w:rsidRPr="00F10391">
        <w:fldChar w:fldCharType="end"/>
      </w:r>
      <w:r w:rsidRPr="00F10391">
        <w:t xml:space="preserve">, PH12 </w:t>
      </w:r>
      <w:r w:rsidRPr="00F10391">
        <w:fldChar w:fldCharType="begin"/>
      </w:r>
      <w:r w:rsidR="00700267">
        <w:instrText xml:space="preserve"> ADDIN EN.CITE &lt;EndNote&gt;&lt;Cite&gt;&lt;Author&gt;NICE&lt;/Author&gt;&lt;Year&gt;2008&lt;/Year&gt;&lt;RecNum&gt;210&lt;/RecNum&gt;&lt;DisplayText&gt;[276]&lt;/DisplayText&gt;&lt;record&gt;&lt;rec-number&gt;210&lt;/rec-number&gt;&lt;foreign-keys&gt;&lt;key app="EN" db-id="sz9092dv2s5fpze9wpgx0zxgv5ar00aezrvf" timestamp="0"&gt;210&lt;/key&gt;&lt;/foreign-keys&gt;&lt;ref-type name="Report"&gt;27&lt;/ref-type&gt;&lt;contributors&gt;&lt;authors&gt;&lt;author&gt;NICE&lt;/author&gt;&lt;/authors&gt;&lt;/contributors&gt;&lt;titles&gt;&lt;title&gt;Social and emotional wellbeing in primary education&lt;/title&gt;&lt;secondary-title&gt;PH12&lt;/secondary-title&gt;&lt;/titles&gt;&lt;dates&gt;&lt;year&gt;2008&lt;/year&gt;&lt;/dates&gt;&lt;pub-location&gt;London&lt;/pub-location&gt;&lt;publisher&gt;National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[276]</w:t>
      </w:r>
      <w:r w:rsidRPr="00F10391">
        <w:fldChar w:fldCharType="end"/>
      </w:r>
      <w:r w:rsidRPr="00F10391">
        <w:t xml:space="preserve">, PH20 </w:t>
      </w:r>
      <w:r w:rsidRPr="00F10391">
        <w:fldChar w:fldCharType="begin"/>
      </w:r>
      <w:r w:rsidR="00700267">
        <w:instrText xml:space="preserve"> ADDIN EN.CITE &lt;EndNote&gt;&lt;Cite&gt;&lt;Author&gt;NICE&lt;/Author&gt;&lt;Year&gt;2009&lt;/Year&gt;&lt;RecNum&gt;218&lt;/RecNum&gt;&lt;DisplayText&gt;[286]&lt;/DisplayText&gt;&lt;record&gt;&lt;rec-number&gt;218&lt;/rec-number&gt;&lt;foreign-keys&gt;&lt;key app="EN" db-id="sz9092dv2s5fpze9wpgx0zxgv5ar00aezrvf" timestamp="0"&gt;218&lt;/key&gt;&lt;/foreign-keys&gt;&lt;ref-type name="Report"&gt;27&lt;/ref-type&gt;&lt;contributors&gt;&lt;authors&gt;&lt;author&gt;NICE&lt;/author&gt;&lt;/authors&gt;&lt;/contributors&gt;&lt;titles&gt;&lt;title&gt;Social and emotional wellbeing in secondary education&lt;/title&gt;&lt;secondary-title&gt;PH20&lt;/secondary-title&gt;&lt;/titles&gt;&lt;dates&gt;&lt;year&gt;2009&lt;/year&gt;&lt;/dates&gt;&lt;pub-location&gt;London&lt;/pub-location&gt;&lt;publisher&gt;National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[286]</w:t>
      </w:r>
      <w:r w:rsidRPr="00F10391">
        <w:fldChar w:fldCharType="end"/>
      </w:r>
      <w:r w:rsidRPr="00F10391">
        <w:t xml:space="preserve">, PH28 </w:t>
      </w:r>
      <w:r w:rsidRPr="00F10391">
        <w:fldChar w:fldCharType="begin"/>
      </w:r>
      <w:r w:rsidR="00700267">
        <w:instrText xml:space="preserve"> ADDIN EN.CITE &lt;EndNote&gt;&lt;Cite&gt;&lt;Author&gt;NICE&lt;/Author&gt;&lt;Year&gt;2010&lt;/Year&gt;&lt;RecNum&gt;226&lt;/RecNum&gt;&lt;DisplayText&gt;[292]&lt;/DisplayText&gt;&lt;record&gt;&lt;rec-number&gt;226&lt;/rec-number&gt;&lt;foreign-keys&gt;&lt;key app="EN" db-id="sz9092dv2s5fpze9wpgx0zxgv5ar00aezrvf" timestamp="0"&gt;226&lt;/key&gt;&lt;/foreign-keys&gt;&lt;ref-type name="Report"&gt;27&lt;/ref-type&gt;&lt;contributors&gt;&lt;authors&gt;&lt;author&gt;NICE&lt;/author&gt;&lt;/authors&gt;&lt;/contributors&gt;&lt;titles&gt;&lt;title&gt;Looked-after children and young people&lt;/title&gt;&lt;secondary-title&gt;PH28&lt;/secondary-title&gt;&lt;/titles&gt;&lt;dates&gt;&lt;year&gt;2010&lt;/year&gt;&lt;/dates&gt;&lt;pub-location&gt;London&lt;/pub-location&gt;&lt;publisher&gt;National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[292]</w:t>
      </w:r>
      <w:r w:rsidRPr="00F10391">
        <w:fldChar w:fldCharType="end"/>
      </w:r>
      <w:r w:rsidRPr="00F10391">
        <w:t xml:space="preserve">). Knock-on effects on spending are also included, such as reduced costs of providing unemployment benefits (PH24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and drug treatment (PH4 </w:t>
      </w:r>
      <w:r w:rsidRPr="00F10391">
        <w:fldChar w:fldCharType="begin"/>
      </w:r>
      <w:r w:rsidR="00700267">
        <w:instrText xml:space="preserve"> ADDIN EN.CITE &lt;EndNote&gt;&lt;Cite&gt;&lt;Author&gt;NICE&lt;/Author&gt;&lt;Year&gt;2007&lt;/Year&gt;&lt;RecNum&gt;202&lt;/RecNum&gt;&lt;DisplayText&gt;[231]&lt;/DisplayText&gt;&lt;record&gt;&lt;rec-number&gt;202&lt;/rec-number&gt;&lt;foreign-keys&gt;&lt;key app="EN" db-id="sz9092dv2s5fpze9wpgx0zxgv5ar00aezrvf" timestamp="0"&gt;202&lt;/key&gt;&lt;/foreign-keys&gt;&lt;ref-type name="Report"&gt;27&lt;/ref-type&gt;&lt;contributors&gt;&lt;authors&gt;&lt;author&gt;NICE&lt;/author&gt;&lt;/authors&gt;&lt;/contributors&gt;&lt;titles&gt;&lt;title&gt;Interventions to reduce substance misuse among vulnerable young people&lt;/title&gt;&lt;secondary-title&gt;PH4&lt;/secondary-title&gt;&lt;/titles&gt;&lt;dates&gt;&lt;year&gt;2007&lt;/year&gt;&lt;/dates&gt;&lt;pub-location&gt;London&lt;/pub-location&gt;&lt;publisher&gt;National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[231]</w:t>
      </w:r>
      <w:r w:rsidRPr="00F10391">
        <w:fldChar w:fldCharType="end"/>
      </w:r>
      <w:r w:rsidRPr="00F10391">
        <w:t xml:space="preserve">).  Emotional wellbeing, broadly defined, was incorporated into the decision framework on 5 occasions (PH8 </w:t>
      </w:r>
      <w:r w:rsidRPr="00F10391">
        <w:fldChar w:fldCharType="begin"/>
      </w:r>
      <w:r w:rsidR="00700267">
        <w:instrText xml:space="preserve"> ADDIN EN.CITE &lt;EndNote&gt;&lt;Cite&gt;&lt;Author&gt;NICE&lt;/Author&gt;&lt;Year&gt;2008&lt;/Year&gt;&lt;RecNum&gt;206&lt;/RecNum&gt;&lt;DisplayText&gt;[274]&lt;/DisplayText&gt;&lt;record&gt;&lt;rec-number&gt;206&lt;/rec-number&gt;&lt;foreign-keys&gt;&lt;key app="EN" db-id="sz9092dv2s5fpze9wpgx0zxgv5ar00aezrvf" timestamp="0"&gt;206&lt;/key&gt;&lt;/foreign-keys&gt;&lt;ref-type name="Report"&gt;27&lt;/ref-type&gt;&lt;contributors&gt;&lt;authors&gt;&lt;author&gt;NICE&lt;/author&gt;&lt;/authors&gt;&lt;/contributors&gt;&lt;titles&gt;&lt;title&gt;Physical activity and the environment&lt;/title&gt;&lt;secondary-title&gt;PH8&lt;/secondary-title&gt;&lt;/titles&gt;&lt;dates&gt;&lt;year&gt;2008&lt;/year&gt;&lt;/dates&gt;&lt;pub-location&gt;London&lt;/pub-location&gt;&lt;publisher&gt;National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[274]</w:t>
      </w:r>
      <w:r w:rsidRPr="00F10391">
        <w:fldChar w:fldCharType="end"/>
      </w:r>
      <w:r w:rsidRPr="00F10391">
        <w:t xml:space="preserve">, PH9 </w:t>
      </w:r>
      <w:r w:rsidRPr="00F10391">
        <w:fldChar w:fldCharType="begin"/>
      </w:r>
      <w:r w:rsidR="00700267">
        <w:instrText xml:space="preserve"> ADDIN EN.CITE &lt;EndNote&gt;&lt;Cite&gt;&lt;Author&gt;NICE&lt;/Author&gt;&lt;Year&gt;2008&lt;/Year&gt;&lt;RecNum&gt;207&lt;/RecNum&gt;&lt;DisplayText&gt;[221]&lt;/DisplayText&gt;&lt;record&gt;&lt;rec-number&gt;207&lt;/rec-number&gt;&lt;foreign-keys&gt;&lt;key app="EN" db-id="sz9092dv2s5fpze9wpgx0zxgv5ar00aezrvf" timestamp="0"&gt;207&lt;/key&gt;&lt;/foreign-keys&gt;&lt;ref-type name="Report"&gt;27&lt;/ref-type&gt;&lt;contributors&gt;&lt;authors&gt;&lt;author&gt;NICE&lt;/author&gt;&lt;/authors&gt;&lt;/contributors&gt;&lt;titles&gt;&lt;title&gt;Community engagement&lt;/title&gt;&lt;secondary-title&gt;PH9&lt;/secondary-title&gt;&lt;/titles&gt;&lt;dates&gt;&lt;year&gt;2008&lt;/year&gt;&lt;/dates&gt;&lt;pub-location&gt;London&lt;/pub-location&gt;&lt;publisher&gt;National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[221]</w:t>
      </w:r>
      <w:r w:rsidRPr="00F10391">
        <w:fldChar w:fldCharType="end"/>
      </w:r>
      <w:r w:rsidRPr="00F10391">
        <w:t xml:space="preserve">, PH31 </w:t>
      </w:r>
      <w:r w:rsidRPr="00F10391">
        <w:fldChar w:fldCharType="begin"/>
      </w:r>
      <w:r w:rsidR="00700267">
        <w:instrText xml:space="preserve"> ADDIN EN.CITE &lt;EndNote&gt;&lt;Cite&gt;&lt;Author&gt;NICE&lt;/Author&gt;&lt;Year&gt;2010&lt;/Year&gt;&lt;RecNum&gt;229&lt;/RecNum&gt;&lt;DisplayText&gt;[295]&lt;/DisplayText&gt;&lt;record&gt;&lt;rec-number&gt;229&lt;/rec-number&gt;&lt;foreign-keys&gt;&lt;key app="EN" db-id="sz9092dv2s5fpze9wpgx0zxgv5ar00aezrvf" timestamp="0"&gt;229&lt;/key&gt;&lt;/foreign-keys&gt;&lt;ref-type name="Report"&gt;27&lt;/ref-type&gt;&lt;contributors&gt;&lt;authors&gt;&lt;author&gt;NICE&lt;/author&gt;&lt;/authors&gt;&lt;/contributors&gt;&lt;titles&gt;&lt;title&gt;Preventing unintentional road injuries among under-15s&lt;/title&gt;&lt;secondary-title&gt;PH31&lt;/secondary-title&gt;&lt;/titles&gt;&lt;dates&gt;&lt;year&gt;2010&lt;/year&gt;&lt;/dates&gt;&lt;pub-location&gt;London&lt;/pub-location&gt;&lt;publisher&gt;National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[295]</w:t>
      </w:r>
      <w:r w:rsidRPr="00F10391">
        <w:fldChar w:fldCharType="end"/>
      </w:r>
      <w:r w:rsidRPr="00F10391">
        <w:t xml:space="preserve">, PH47 </w:t>
      </w:r>
      <w:r w:rsidRPr="00F10391">
        <w:fldChar w:fldCharType="begin"/>
      </w:r>
      <w:r w:rsidR="00700267">
        <w:instrText xml:space="preserve"> ADDIN EN.CITE &lt;EndNote&gt;&lt;Cite&gt;&lt;Author&gt;NICE&lt;/Author&gt;&lt;Year&gt;2013&lt;/Year&gt;&lt;RecNum&gt;245&lt;/RecNum&gt;&lt;DisplayText&gt;[238]&lt;/DisplayText&gt;&lt;record&gt;&lt;rec-number&gt;245&lt;/rec-number&gt;&lt;foreign-keys&gt;&lt;key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w:t>
      </w:r>
      <w:r w:rsidRPr="00F10391">
        <w:fldChar w:fldCharType="end"/>
      </w:r>
      <w:r w:rsidRPr="00F10391">
        <w:t xml:space="preserve">,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w:t>
      </w:r>
    </w:p>
    <w:p w14:paraId="2B3B8F3C" w14:textId="77777777" w:rsidR="00D22CE3" w:rsidRPr="00F10391" w:rsidRDefault="00D22CE3" w:rsidP="006942ED">
      <w:r w:rsidRPr="00F10391">
        <w:t xml:space="preserve">Weatherly et al. </w:t>
      </w:r>
      <w:r w:rsidRPr="00F10391">
        <w:fldChar w:fldCharType="begin"/>
      </w:r>
      <w:r w:rsidR="00700267">
        <w:instrText xml:space="preserve"> ADDIN EN.CITE &lt;EndNote&gt;&lt;Cite&gt;&lt;Author&gt;Weatherly&lt;/Author&gt;&lt;Year&gt;2009&lt;/Year&gt;&lt;RecNum&gt;152&lt;/RecNum&gt;&lt;DisplayText&gt;[105]&lt;/DisplayText&gt;&lt;record&gt;&lt;rec-number&gt;152&lt;/rec-number&gt;&lt;foreign-keys&gt;&lt;key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Cite&gt;&lt;Author&gt;Weatherly&lt;/Author&gt;&lt;Year&gt;2009&lt;/Year&gt;&lt;RecNum&gt;152&lt;/RecNum&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EndNote&gt;</w:instrText>
      </w:r>
      <w:r w:rsidRPr="00F10391">
        <w:fldChar w:fldCharType="separate"/>
      </w:r>
      <w:r w:rsidR="00700267">
        <w:rPr>
          <w:noProof/>
        </w:rPr>
        <w:t>[105]</w:t>
      </w:r>
      <w:r w:rsidRPr="00F10391">
        <w:fldChar w:fldCharType="end"/>
      </w:r>
      <w:r w:rsidRPr="00F10391">
        <w:t xml:space="preserve"> (also described in an associated report by Drummond et al. </w:t>
      </w:r>
      <w:r w:rsidRPr="00F10391">
        <w:fldChar w:fldCharType="begin"/>
      </w:r>
      <w:r w:rsidR="00700267">
        <w:instrText xml:space="preserve"> ADDIN EN.CITE &lt;EndNote&gt;&lt;Cite&gt;&lt;Author&gt;Drummond M&lt;/Author&gt;&lt;Year&gt;2007&lt;/Year&gt;&lt;RecNum&gt;425&lt;/RecNum&gt;&lt;DisplayText&gt;[311]&lt;/DisplayText&gt;&lt;record&gt;&lt;rec-number&gt;425&lt;/rec-number&gt;&lt;foreign-keys&gt;&lt;key app="EN" db-id="sz9092dv2s5fpze9wpgx0zxgv5ar00aezrvf" timestamp="1461077156"&gt;425&lt;/key&gt;&lt;/foreign-keys&gt;&lt;ref-type name="Report"&gt;27&lt;/ref-type&gt;&lt;contributors&gt;&lt;authors&gt;&lt;author&gt;Drummond M, Weatherly H, Claxton K, Cookson R, Ferguson B, Godfrey C, Rice N, Sculpher M, Sowden A&lt;/author&gt;&lt;/authors&gt;&lt;/contributors&gt;&lt;titles&gt;&lt;title&gt;Assessing the challenges of applying standard methods of economic evaluation to public health interventions: Final report&lt;/title&gt;&lt;secondary-title&gt;Public Health Research Consortium (PHRC)&lt;/secondary-title&gt;&lt;/titles&gt;&lt;dates&gt;&lt;year&gt;2007&lt;/year&gt;&lt;/dates&gt;&lt;pub-location&gt;York&lt;/pub-location&gt;&lt;publisher&gt;University of York&lt;/publisher&gt;&lt;urls&gt;&lt;related-urls&gt;&lt;url&gt;http://phrc.lshtm.ac.uk/papers/PHRC_D1-05_Final_Report.pdf&lt;/url&gt;&lt;/related-urls&gt;&lt;/urls&gt;&lt;/record&gt;&lt;/Cite&gt;&lt;/EndNote&gt;</w:instrText>
      </w:r>
      <w:r w:rsidRPr="00F10391">
        <w:fldChar w:fldCharType="separate"/>
      </w:r>
      <w:r w:rsidR="00700267">
        <w:rPr>
          <w:noProof/>
        </w:rPr>
        <w:t>[311]</w:t>
      </w:r>
      <w:r w:rsidRPr="00F10391">
        <w:fldChar w:fldCharType="end"/>
      </w:r>
      <w:r w:rsidRPr="00F10391">
        <w:t xml:space="preserve">) reviewed 154 economic evaluations of public health interventions worldwide from 2000 to 2005 and found that 32% used a health service perspective and 31% a self-described societal perspective (though this was felt to be an overestimate) and 48% of which related solely to health. 24% had no stated perspective, 3% used multiple perspectives and the remainder related to local healthcare provider, government or patient. In contrast to the CPH guidance, the Weatherly paper found CCA was used in a relatively high 37% of studies, while 27% used CUA (whether based upon QALYs or the related Disability adjusted life years). A further 36% used CEA (excluding CUA), such as units of weight lost, alongside their cost information. CUA and CEA are recorded separately. 4 reports (3%) claimed to use CBA but these were upon further investigation re-categorised as CCA or CUA. Though it is worth reiterating that evaluations described in the Weatherly paper were not confined to UK settings (61% were from the US, 15% UK, 6% Canada and 4% others), and are not directly comparable to NICE economic modelling, issues relating to costs to the voluntary sector and to private citizens were felt by the authors to merit further attention. Equity considerations, however, were rarely described in the literature and never addressed formally (and the authors argued that this implies that QALYs were simply summed directly for the studies using CUA). It is argued that these should be better highlighted, and opportunity costs of implementing more equitable interventions made transparent. </w:t>
      </w:r>
    </w:p>
    <w:p w14:paraId="26F2C8EA" w14:textId="355949CA" w:rsidR="00D22CE3" w:rsidRPr="00F10391" w:rsidRDefault="00D22CE3" w:rsidP="006942ED">
      <w:r w:rsidRPr="00F10391">
        <w:t xml:space="preserve">McDaid and Needles’ report </w:t>
      </w:r>
      <w:r w:rsidRPr="00F10391">
        <w:fldChar w:fldCharType="begin"/>
      </w:r>
      <w:r w:rsidR="00700267">
        <w:instrText xml:space="preserve"> ADDIN EN.CITE &lt;EndNote&gt;&lt;Cite&gt;&lt;Author&gt;McDaid&lt;/Author&gt;&lt;Year&gt;2009&lt;/Year&gt;&lt;RecNum&gt;431&lt;/RecNum&gt;&lt;DisplayText&gt;[312]&lt;/DisplayText&gt;&lt;record&gt;&lt;rec-number&gt;431&lt;/rec-number&gt;&lt;foreign-keys&gt;&lt;key app="EN" db-id="sz9092dv2s5fpze9wpgx0zxgv5ar00aezrvf" timestamp="1461168171"&gt;431&lt;/key&gt;&lt;/foreign-keys&gt;&lt;ref-type name="Book Section"&gt;5&lt;/ref-type&gt;&lt;contributors&gt;&lt;authors&gt;&lt;author&gt;McDaid, David&lt;/author&gt;&lt;author&gt;Needle, Justin&lt;/author&gt;&lt;/authors&gt;&lt;secondary-authors&gt;&lt;author&gt;Dawson S, Slote Morris Z&lt;/author&gt;&lt;/secondary-authors&gt;&lt;/contributors&gt;&lt;titles&gt;&lt;title&gt;What use has been made of economic evaluation in public health? A systematic review of the literature&lt;/title&gt;&lt;secondary-title&gt;Future Public Health&lt;/secondary-title&gt;&lt;/titles&gt;&lt;pages&gt;248-264&lt;/pages&gt;&lt;section&gt;12&lt;/section&gt;&lt;dates&gt;&lt;year&gt;2009&lt;/year&gt;&lt;/dates&gt;&lt;publisher&gt;Springer&lt;/publisher&gt;&lt;isbn&gt;1349284882&lt;/isbn&gt;&lt;urls&gt;&lt;/urls&gt;&lt;/record&gt;&lt;/Cite&gt;&lt;/EndNote&gt;</w:instrText>
      </w:r>
      <w:r w:rsidRPr="00F10391">
        <w:fldChar w:fldCharType="separate"/>
      </w:r>
      <w:r w:rsidR="00700267">
        <w:rPr>
          <w:noProof/>
        </w:rPr>
        <w:t>[312]</w:t>
      </w:r>
      <w:r w:rsidRPr="00F10391">
        <w:fldChar w:fldCharType="end"/>
      </w:r>
      <w:r w:rsidRPr="00F10391">
        <w:t xml:space="preserve"> featured 1700 studies from the mid-1960s to mid-2000s. 49% of studies were based in the US, 13% in the UK, 5% Canada, 4% Australia and 4% from the Netherlands. Intervention settings, rather than perspectives, are reported. 22% took place in workplace settings (overwhelmingly in the US). 8% took place in schools or colleges of higher education. Others (though no specific proportions are given) were funded by the state, social health insurance or by individuals; understandably, these tended to have less direct impact on productivity than the interventions that employers had chosen to provide. 57% of studies used CEA, 21% CCA, 13% used CUA, and the remainder used either CBA (5%), econometric techniques (3%) or cost-minimisation approaches (1%). The authors emphasise the critical importance of context in understanding the influences of uptake and successful implementation of techniques, and argue that novel policy-level approaches to funding are needed to ensure that non-health impacts of interventions are given adequate consideration. These will likely require further government investment given the diffuse nature of the benefits that accrue from interventions of this nature.</w:t>
      </w:r>
    </w:p>
    <w:p w14:paraId="4B1283DC" w14:textId="77777777" w:rsidR="00D22CE3" w:rsidRPr="00F10391" w:rsidRDefault="00D22CE3">
      <w:r w:rsidRPr="00F10391">
        <w:t xml:space="preserve">Though not strictly public health, a literature review describing the economic evaluation techniques used in social care was published in 2002 </w:t>
      </w:r>
      <w:r w:rsidRPr="00F10391">
        <w:fldChar w:fldCharType="begin"/>
      </w:r>
      <w:r w:rsidR="00700267">
        <w:instrText xml:space="preserve"> ADDIN EN.CITE &lt;EndNote&gt;&lt;Cite&gt;&lt;Author&gt;Sefton&lt;/Author&gt;&lt;Year&gt;2002&lt;/Year&gt;&lt;RecNum&gt;428&lt;/RecNum&gt;&lt;DisplayText&gt;[313]&lt;/DisplayText&gt;&lt;record&gt;&lt;rec-number&gt;428&lt;/rec-number&gt;&lt;foreign-keys&gt;&lt;key app="EN" db-id="sz9092dv2s5fpze9wpgx0zxgv5ar00aezrvf" timestamp="1461083306"&gt;428&lt;/key&gt;&lt;/foreign-keys&gt;&lt;ref-type name="Journal Article"&gt;17&lt;/ref-type&gt;&lt;contributors&gt;&lt;authors&gt;&lt;author&gt;Sefton, Tom&lt;/author&gt;&lt;author&gt;Byford, Sarah&lt;/author&gt;&lt;author&gt;McDaid, David&lt;/author&gt;&lt;author&gt;Hills, John&lt;/author&gt;&lt;/authors&gt;&lt;/contributors&gt;&lt;titles&gt;&lt;title&gt;Making the most of it: economic evaluation in the social welfare field&lt;/title&gt;&lt;/titles&gt;&lt;dates&gt;&lt;year&gt;2002&lt;/year&gt;&lt;/dates&gt;&lt;urls&gt;&lt;/urls&gt;&lt;/record&gt;&lt;/Cite&gt;&lt;/EndNote&gt;</w:instrText>
      </w:r>
      <w:r w:rsidRPr="00F10391">
        <w:fldChar w:fldCharType="separate"/>
      </w:r>
      <w:r w:rsidR="00700267">
        <w:rPr>
          <w:noProof/>
        </w:rPr>
        <w:t>[313]</w:t>
      </w:r>
      <w:r w:rsidRPr="00F10391">
        <w:fldChar w:fldCharType="end"/>
      </w:r>
      <w:r w:rsidRPr="00F10391">
        <w:t>.  Mental health and public health were the two most common topics that used such techniques, totalling about two thirds of all reports. Many related to multiple issues at the same time, and this complexity presents further similarities with the attempts at applying such evaluations in public health. In total, 131 reports are reported, taking place over 5 years. The perspective used was not reported (though elsewhere in the report, the importance of a societal approach is emphasised). 65% of studies used CCA, 18% CEA, 5% CBA and 6% each for cost-minimisation analysis and cost-saving analysis. 72% of studies had taken place in the US, 15% UK and 13% other.</w:t>
      </w:r>
    </w:p>
    <w:p w14:paraId="20597A5F" w14:textId="77777777" w:rsidR="00D22CE3" w:rsidRPr="00F10391" w:rsidRDefault="00D22CE3">
      <w:r w:rsidRPr="00F10391">
        <w:t xml:space="preserve">Nonetheless, a Cochrane review on public health evidence in practice </w:t>
      </w:r>
      <w:r w:rsidRPr="00F10391">
        <w:fldChar w:fldCharType="begin"/>
      </w:r>
      <w:r w:rsidR="00700267">
        <w:instrText xml:space="preserve"> ADDIN EN.CITE &lt;EndNote&gt;&lt;Cite&gt;&lt;Author&gt;Pettman&lt;/Author&gt;&lt;Year&gt;2012&lt;/Year&gt;&lt;RecNum&gt;422&lt;/RecNum&gt;&lt;DisplayText&gt;[314]&lt;/DisplayText&gt;&lt;record&gt;&lt;rec-number&gt;422&lt;/rec-number&gt;&lt;foreign-keys&gt;&lt;key app="EN" db-id="sz9092dv2s5fpze9wpgx0zxgv5ar00aezrvf" timestamp="1461066108"&gt;422&lt;/key&gt;&lt;/foreign-keys&gt;&lt;ref-type name="Journal Article"&gt;17&lt;/ref-type&gt;&lt;contributors&gt;&lt;authors&gt;&lt;author&gt;Pettman, Tahna L&lt;/author&gt;&lt;author&gt;Armstrong, Rebecca&lt;/author&gt;&lt;author&gt;Doyle, Jodie&lt;/author&gt;&lt;author&gt;Burford, Belinda&lt;/author&gt;&lt;author&gt;Anderson, Laurie M&lt;/author&gt;&lt;author&gt;Hillgrove, Tessa&lt;/author&gt;&lt;author&gt;Honey, Nikki&lt;/author&gt;&lt;author&gt;Waters, Elizabeth&lt;/author&gt;&lt;/authors&gt;&lt;/contributors&gt;&lt;titles&gt;&lt;title&gt;Strengthening evaluation to capture the breadth of public health practice: ideal vs. real&lt;/title&gt;&lt;secondary-title&gt;Journal of public health&lt;/secondary-title&gt;&lt;/titles&gt;&lt;periodical&gt;&lt;full-title&gt;Journal of public health&lt;/full-title&gt;&lt;/periodical&gt;&lt;pages&gt;151-155&lt;/pages&gt;&lt;volume&gt;34&lt;/volume&gt;&lt;number&gt;1&lt;/number&gt;&lt;dates&gt;&lt;year&gt;2012&lt;/year&gt;&lt;/dates&gt;&lt;isbn&gt;1741-3842&lt;/isbn&gt;&lt;urls&gt;&lt;/urls&gt;&lt;/record&gt;&lt;/Cite&gt;&lt;/EndNote&gt;</w:instrText>
      </w:r>
      <w:r w:rsidRPr="00F10391">
        <w:fldChar w:fldCharType="separate"/>
      </w:r>
      <w:r w:rsidR="00700267">
        <w:rPr>
          <w:noProof/>
        </w:rPr>
        <w:t>[314]</w:t>
      </w:r>
      <w:r w:rsidRPr="00F10391">
        <w:fldChar w:fldCharType="end"/>
      </w:r>
      <w:r w:rsidRPr="00F10391">
        <w:t xml:space="preserve"> found that the findings of studies to inform local public health decision-making are rarely published (and that they rarely meet the standards required for subsequent systematic reviews anyway). This may mean that both the reviews listed in this section do not reflect the full range of research undertaken applying economic evaluation techniques in public health (at least outside of NICE). These gaps also represent a lost opportunity, as such models may have been useful in informing models used in NICE, structuring their format, or in better reflecting the concerns of the local authorities now responsible for public health decision-making.</w:t>
      </w:r>
    </w:p>
    <w:p w14:paraId="23B8541F" w14:textId="1A71A59C" w:rsidR="00D22CE3" w:rsidRPr="00F10391" w:rsidRDefault="00D22CE3">
      <w:r w:rsidRPr="00F10391">
        <w:t xml:space="preserve">As previously outlined, economics is ultimately about the studying of decisions, the incentives behind them and their consequences </w:t>
      </w:r>
      <w:r w:rsidRPr="00F10391">
        <w:fldChar w:fldCharType="begin"/>
      </w:r>
      <w:r w:rsidR="00700267">
        <w:instrText xml:space="preserve"> ADDIN EN.CITE &lt;EndNote&gt;&lt;Cite&gt;&lt;Author&gt;Messonnier&lt;/Author&gt;&lt;Year&gt;2006&lt;/Year&gt;&lt;RecNum&gt;424&lt;/RecNum&gt;&lt;DisplayText&gt;[74]&lt;/DisplayText&gt;&lt;record&gt;&lt;rec-number&gt;424&lt;/rec-number&gt;&lt;foreign-keys&gt;&lt;key app="EN" db-id="sz9092dv2s5fpze9wpgx0zxgv5ar00aezrvf" timestamp="1461072397"&gt;424&lt;/key&gt;&lt;/foreign-keys&gt;&lt;ref-type name="Journal Article"&gt;17&lt;/ref-type&gt;&lt;contributors&gt;&lt;authors&gt;&lt;author&gt;Messonnier, ML&lt;/author&gt;&lt;/authors&gt;&lt;/contributors&gt;&lt;titles&gt;&lt;title&gt;Economics and public health at CDC&lt;/title&gt;&lt;secondary-title&gt;MMWR. Morbidity and mortality weekly report&lt;/secondary-title&gt;&lt;/titles&gt;&lt;periodical&gt;&lt;full-title&gt;MMWR. Morbidity and mortality weekly report&lt;/full-title&gt;&lt;/periodical&gt;&lt;pages&gt;17-19&lt;/pages&gt;&lt;volume&gt;55&lt;/volume&gt;&lt;dates&gt;&lt;year&gt;2006&lt;/year&gt;&lt;/dates&gt;&lt;isbn&gt;0149-2195&lt;/isbn&gt;&lt;urls&gt;&lt;/urls&gt;&lt;/record&gt;&lt;/Cite&gt;&lt;/EndNote&gt;</w:instrText>
      </w:r>
      <w:r w:rsidRPr="00F10391">
        <w:fldChar w:fldCharType="separate"/>
      </w:r>
      <w:r w:rsidR="00700267">
        <w:rPr>
          <w:noProof/>
        </w:rPr>
        <w:t>[74]</w:t>
      </w:r>
      <w:r w:rsidRPr="00F10391">
        <w:fldChar w:fldCharType="end"/>
      </w:r>
      <w:r w:rsidRPr="00F10391">
        <w:t>; health economics relate to these choices in the context of the resources available in health generally. Public health economics can be defined as  the</w:t>
      </w:r>
      <w:r w:rsidRPr="00F10391">
        <w:rPr>
          <w:shd w:val="clear" w:color="auto" w:fill="F9F8F7"/>
        </w:rPr>
        <w:t xml:space="preserve"> “study of the economic role of government in public health, particularly, but not exclusively, in supplying public goods and addressing externalities” </w:t>
      </w:r>
      <w:r w:rsidRPr="00F10391">
        <w:rPr>
          <w:shd w:val="clear" w:color="auto" w:fill="F9F8F7"/>
        </w:rPr>
        <w:fldChar w:fldCharType="begin"/>
      </w:r>
      <w:r w:rsidR="00700267">
        <w:rPr>
          <w:shd w:val="clear" w:color="auto" w:fill="F9F8F7"/>
        </w:rPr>
        <w:instrText xml:space="preserve"> ADDIN EN.CITE &lt;EndNote&gt;&lt;Cite&gt;&lt;Author&gt;Carande-Kulis&lt;/Author&gt;&lt;Year&gt;2007&lt;/Year&gt;&lt;RecNum&gt;423&lt;/RecNum&gt;&lt;DisplayText&gt;[75]&lt;/DisplayText&gt;&lt;record&gt;&lt;rec-number&gt;423&lt;/rec-number&gt;&lt;foreign-keys&gt;&lt;key app="EN" db-id="sz9092dv2s5fpze9wpgx0zxgv5ar00aezrvf" timestamp="1461071958"&gt;423&lt;/key&gt;&lt;/foreign-keys&gt;&lt;ref-type name="Journal Article"&gt;17&lt;/ref-type&gt;&lt;contributors&gt;&lt;authors&gt;&lt;author&gt;Carande-Kulis, Vilma G&lt;/author&gt;&lt;author&gt;Getzen, Thomas E&lt;/author&gt;&lt;author&gt;Thacker, Stephen B&lt;/author&gt;&lt;/authors&gt;&lt;/contributors&gt;&lt;titles&gt;&lt;title&gt;Public goods and externalities: a research agenda for public health economics&lt;/title&gt;&lt;secondary-title&gt;Journal of Public Health Management and Practice&lt;/secondary-title&gt;&lt;/titles&gt;&lt;periodical&gt;&lt;full-title&gt;Journal of Public Health Management and Practice&lt;/full-title&gt;&lt;/periodical&gt;&lt;pages&gt;227-232&lt;/pages&gt;&lt;volume&gt;13&lt;/volume&gt;&lt;number&gt;2&lt;/number&gt;&lt;dates&gt;&lt;year&gt;2007&lt;/year&gt;&lt;/dates&gt;&lt;isbn&gt;1078-4659&lt;/isbn&gt;&lt;urls&gt;&lt;/urls&gt;&lt;/record&gt;&lt;/Cite&gt;&lt;/EndNote&gt;</w:instrText>
      </w:r>
      <w:r w:rsidRPr="00F10391">
        <w:rPr>
          <w:shd w:val="clear" w:color="auto" w:fill="F9F8F7"/>
        </w:rPr>
        <w:fldChar w:fldCharType="separate"/>
      </w:r>
      <w:r w:rsidR="00700267">
        <w:rPr>
          <w:noProof/>
          <w:shd w:val="clear" w:color="auto" w:fill="F9F8F7"/>
        </w:rPr>
        <w:t>[75]</w:t>
      </w:r>
      <w:r w:rsidRPr="00F10391">
        <w:rPr>
          <w:shd w:val="clear" w:color="auto" w:fill="F9F8F7"/>
        </w:rPr>
        <w:fldChar w:fldCharType="end"/>
      </w:r>
      <w:r w:rsidR="0051187B">
        <w:rPr>
          <w:shd w:val="clear" w:color="auto" w:fill="F9F8F7"/>
        </w:rPr>
        <w:t xml:space="preserve"> (p.229)</w:t>
      </w:r>
      <w:r w:rsidRPr="00F10391">
        <w:rPr>
          <w:shd w:val="clear" w:color="auto" w:fill="F9F8F7"/>
        </w:rPr>
        <w:t>. The broader effects of such interventions, taking into account a range of other factors, mean that such decision-making is much more complex than some other settings in health. This chapter has already highlighted the range</w:t>
      </w:r>
      <w:r w:rsidRPr="00F10391">
        <w:rPr>
          <w:shd w:val="clear" w:color="auto" w:fill="F9F8F7"/>
          <w:lang w:eastAsia="en-US"/>
        </w:rPr>
        <w:t xml:space="preserve"> of</w:t>
      </w:r>
      <w:r w:rsidRPr="00F10391">
        <w:rPr>
          <w:shd w:val="clear" w:color="auto" w:fill="F9F8F7"/>
        </w:rPr>
        <w:t xml:space="preserve"> factors taken into account in economic modelling in the CPH. Complicated decisions merit that models of some sort are used to structure the information available to better inform decisions makers, who may otherwise make unnecessary mistakes </w:t>
      </w:r>
      <w:r w:rsidRPr="00F10391">
        <w:rPr>
          <w:shd w:val="clear" w:color="auto" w:fill="F9F8F7"/>
        </w:rPr>
        <w:fldChar w:fldCharType="begin"/>
      </w:r>
      <w:r w:rsidR="00700267">
        <w:rPr>
          <w:shd w:val="clear" w:color="auto" w:fill="F9F8F7"/>
        </w:rPr>
        <w:instrText xml:space="preserve"> ADDIN EN.CITE &lt;EndNote&gt;&lt;Cite&gt;&lt;Author&gt;Kahneman&lt;/Author&gt;&lt;Year&gt;2011&lt;/Year&gt;&lt;RecNum&gt;69&lt;/RecNum&gt;&lt;DisplayText&gt;[315]&lt;/DisplayText&gt;&lt;record&gt;&lt;rec-number&gt;69&lt;/rec-number&gt;&lt;foreign-keys&gt;&lt;key app="EN" db-id="sz9092dv2s5fpze9wpgx0zxgv5ar00aezrvf" timestamp="0"&gt;69&lt;/key&gt;&lt;/foreign-keys&gt;&lt;ref-type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F10391">
        <w:rPr>
          <w:shd w:val="clear" w:color="auto" w:fill="F9F8F7"/>
        </w:rPr>
        <w:fldChar w:fldCharType="separate"/>
      </w:r>
      <w:r w:rsidR="00700267">
        <w:rPr>
          <w:noProof/>
          <w:shd w:val="clear" w:color="auto" w:fill="F9F8F7"/>
        </w:rPr>
        <w:t>[315]</w:t>
      </w:r>
      <w:r w:rsidRPr="00F10391">
        <w:rPr>
          <w:shd w:val="clear" w:color="auto" w:fill="F9F8F7"/>
        </w:rPr>
        <w:fldChar w:fldCharType="end"/>
      </w:r>
      <w:r w:rsidRPr="00F10391">
        <w:rPr>
          <w:shd w:val="clear" w:color="auto" w:fill="F9F8F7"/>
        </w:rPr>
        <w:t xml:space="preserve">. Multiple criteria decision analysis models (as their name implies) may have a meaningful role to play in informing decisions in such settings; whether these issues are directly economic in nature or otherwise. Though any model is necessarily limited, logic models have been recommended to guide the evidence synthesis process </w:t>
      </w:r>
      <w:r w:rsidRPr="00F10391">
        <w:rPr>
          <w:shd w:val="clear" w:color="auto" w:fill="F9F8F7"/>
        </w:rPr>
        <w:fldChar w:fldCharType="begin"/>
      </w:r>
      <w:r w:rsidR="00700267">
        <w:rPr>
          <w:shd w:val="clear" w:color="auto" w:fill="F9F8F7"/>
        </w:rPr>
        <w:instrText xml:space="preserve"> ADDIN EN.CITE &lt;EndNote&gt;&lt;Cite&gt;&lt;Author&gt;Anderson&lt;/Author&gt;&lt;Year&gt;2011&lt;/Year&gt;&lt;RecNum&gt;429&lt;/RecNum&gt;&lt;DisplayText&gt;[316]&lt;/DisplayText&gt;&lt;record&gt;&lt;rec-number&gt;429&lt;/rec-number&gt;&lt;foreign-keys&gt;&lt;key app="EN" db-id="sz9092dv2s5fpze9wpgx0zxgv5ar00aezrvf" timestamp="1461083354"&gt;429&lt;/key&gt;&lt;/foreign-keys&gt;&lt;ref-type name="Journal Article"&gt;17&lt;/ref-type&gt;&lt;contributors&gt;&lt;authors&gt;&lt;author&gt;Anderson, Laurie M&lt;/author&gt;&lt;author&gt;Petticrew, Mark&lt;/author&gt;&lt;author&gt;Rehfuess, Eva&lt;/author&gt;&lt;author&gt;Armstrong, Rebecca&lt;/author&gt;&lt;author&gt;Ueffing, Erin&lt;/author&gt;&lt;author&gt;Baker, Phillip&lt;/author&gt;&lt;author&gt;Francis, Daniel&lt;/author&gt;&lt;author&gt;Tugwell, Peter&lt;/author&gt;&lt;/authors&gt;&lt;/contributors&gt;&lt;titles&gt;&lt;title&gt;Using logic models to capture complexity in systematic reviews&lt;/title&gt;&lt;secondary-title&gt;Research synthesis methods&lt;/secondary-title&gt;&lt;/titles&gt;&lt;periodical&gt;&lt;full-title&gt;Research synthesis methods&lt;/full-title&gt;&lt;/periodical&gt;&lt;pages&gt;33-42&lt;/pages&gt;&lt;volume&gt;2&lt;/volume&gt;&lt;number&gt;1&lt;/number&gt;&lt;dates&gt;&lt;year&gt;2011&lt;/year&gt;&lt;/dates&gt;&lt;isbn&gt;1759-2887&lt;/isbn&gt;&lt;urls&gt;&lt;/urls&gt;&lt;/record&gt;&lt;/Cite&gt;&lt;/EndNote&gt;</w:instrText>
      </w:r>
      <w:r w:rsidRPr="00F10391">
        <w:rPr>
          <w:shd w:val="clear" w:color="auto" w:fill="F9F8F7"/>
        </w:rPr>
        <w:fldChar w:fldCharType="separate"/>
      </w:r>
      <w:r w:rsidR="00700267">
        <w:rPr>
          <w:noProof/>
          <w:shd w:val="clear" w:color="auto" w:fill="F9F8F7"/>
        </w:rPr>
        <w:t>[316]</w:t>
      </w:r>
      <w:r w:rsidRPr="00F10391">
        <w:rPr>
          <w:shd w:val="clear" w:color="auto" w:fill="F9F8F7"/>
        </w:rPr>
        <w:fldChar w:fldCharType="end"/>
      </w:r>
      <w:r w:rsidRPr="00F10391">
        <w:t xml:space="preserve">, and though built upon subjective </w:t>
      </w:r>
      <w:r w:rsidR="001B7ADD">
        <w:t>judgment</w:t>
      </w:r>
      <w:r w:rsidRPr="00F10391">
        <w:t xml:space="preserve">s, MCDA can at times “bring a degree of structure, analysis and openness to classes of decision that lie beyond the practical reach of (other modelling approaches such as) CBA”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0051187B">
        <w:t xml:space="preserve"> (p.20)</w:t>
      </w:r>
      <w:r w:rsidRPr="00F10391">
        <w:t>.</w:t>
      </w:r>
    </w:p>
    <w:p w14:paraId="717FF948" w14:textId="77777777" w:rsidR="00D22CE3" w:rsidRPr="00F10391" w:rsidRDefault="00D22CE3">
      <w:r w:rsidRPr="00F10391">
        <w:t xml:space="preserve">Ultimately, nearly all economic models used in the CPH translated the findings from relevant papers into gains in utility in order to facilitate a CUA approach for NICE guidance. However, such translation runs the risk of oversimplification. While it is accepted that potential costs and benefits should be identified and highlighted in the limitations section or elsewhere, even where they cannot be measured. Sheill argued that those issues that are not measured may ultimately be cast to one side if they cannot be incorporated into calculations </w:t>
      </w:r>
      <w:r w:rsidRPr="00F10391">
        <w:fldChar w:fldCharType="begin"/>
      </w:r>
      <w:r w:rsidR="00700267">
        <w:instrText xml:space="preserve"> ADDIN EN.CITE &lt;EndNote&gt;&lt;Cite&gt;&lt;Author&gt;Shiell&lt;/Author&gt;&lt;Year&gt;2007&lt;/Year&gt;&lt;RecNum&gt;426&lt;/RecNum&gt;&lt;DisplayText&gt;[317]&lt;/DisplayText&gt;&lt;record&gt;&lt;rec-number&gt;426&lt;/rec-number&gt;&lt;foreign-keys&gt;&lt;key app="EN" db-id="sz9092dv2s5fpze9wpgx0zxgv5ar00aezrvf" timestamp="1461079821"&gt;426&lt;/key&gt;&lt;/foreign-keys&gt;&lt;ref-type name="Journal Article"&gt;17&lt;/ref-type&gt;&lt;contributors&gt;&lt;authors&gt;&lt;author&gt;Shiell, Alan&lt;/author&gt;&lt;/authors&gt;&lt;/contributors&gt;&lt;titles&gt;&lt;title&gt;In search of social value&lt;/title&gt;&lt;secondary-title&gt;International journal of public health&lt;/secondary-title&gt;&lt;/titles&gt;&lt;periodical&gt;&lt;full-title&gt;International journal of public health&lt;/full-title&gt;&lt;/periodical&gt;&lt;pages&gt;333-334&lt;/pages&gt;&lt;volume&gt;52&lt;/volume&gt;&lt;number&gt;6&lt;/number&gt;&lt;dates&gt;&lt;year&gt;2007&lt;/year&gt;&lt;/dates&gt;&lt;isbn&gt;1661-8556&lt;/isbn&gt;&lt;urls&gt;&lt;/urls&gt;&lt;/record&gt;&lt;/Cite&gt;&lt;/EndNote&gt;</w:instrText>
      </w:r>
      <w:r w:rsidRPr="00F10391">
        <w:fldChar w:fldCharType="separate"/>
      </w:r>
      <w:r w:rsidR="00700267">
        <w:rPr>
          <w:noProof/>
        </w:rPr>
        <w:t>[317]</w:t>
      </w:r>
      <w:r w:rsidRPr="00F10391">
        <w:fldChar w:fldCharType="end"/>
      </w:r>
      <w:r w:rsidRPr="00F10391">
        <w:t xml:space="preserve">. Hence the need remains to either measure all factors that are considered relevant, or else to ensure that there are other ways to incorporate these criteria </w:t>
      </w:r>
      <w:r w:rsidRPr="00F10391">
        <w:fldChar w:fldCharType="begin"/>
      </w:r>
      <w:r w:rsidR="00700267">
        <w:instrText xml:space="preserve"> ADDIN EN.CITE &lt;EndNote&gt;&lt;Cite&gt;&lt;Author&gt;Shiell&lt;/Author&gt;&lt;Year&gt;2007&lt;/Year&gt;&lt;RecNum&gt;426&lt;/RecNum&gt;&lt;DisplayText&gt;[317]&lt;/DisplayText&gt;&lt;record&gt;&lt;rec-number&gt;426&lt;/rec-number&gt;&lt;foreign-keys&gt;&lt;key app="EN" db-id="sz9092dv2s5fpze9wpgx0zxgv5ar00aezrvf" timestamp="1461079821"&gt;426&lt;/key&gt;&lt;/foreign-keys&gt;&lt;ref-type name="Journal Article"&gt;17&lt;/ref-type&gt;&lt;contributors&gt;&lt;authors&gt;&lt;author&gt;Shiell, Alan&lt;/author&gt;&lt;/authors&gt;&lt;/contributors&gt;&lt;titles&gt;&lt;title&gt;In search of social value&lt;/title&gt;&lt;secondary-title&gt;International journal of public health&lt;/secondary-title&gt;&lt;/titles&gt;&lt;periodical&gt;&lt;full-title&gt;International journal of public health&lt;/full-title&gt;&lt;/periodical&gt;&lt;pages&gt;333-334&lt;/pages&gt;&lt;volume&gt;52&lt;/volume&gt;&lt;number&gt;6&lt;/number&gt;&lt;dates&gt;&lt;year&gt;2007&lt;/year&gt;&lt;/dates&gt;&lt;isbn&gt;1661-8556&lt;/isbn&gt;&lt;urls&gt;&lt;/urls&gt;&lt;/record&gt;&lt;/Cite&gt;&lt;/EndNote&gt;</w:instrText>
      </w:r>
      <w:r w:rsidRPr="00F10391">
        <w:fldChar w:fldCharType="separate"/>
      </w:r>
      <w:r w:rsidR="00700267">
        <w:rPr>
          <w:noProof/>
        </w:rPr>
        <w:t>[317]</w:t>
      </w:r>
      <w:r w:rsidRPr="00F10391">
        <w:fldChar w:fldCharType="end"/>
      </w:r>
      <w:r w:rsidRPr="00F10391">
        <w:t>.There may therefore be a case for using these CCAs and CEAs directly in future in certain circumstances, or potentially extending these to MCDAs.</w:t>
      </w:r>
    </w:p>
    <w:p w14:paraId="558B3F0F" w14:textId="77777777" w:rsidR="00D22CE3" w:rsidRPr="00F10391" w:rsidRDefault="00D22CE3"/>
    <w:p w14:paraId="59FEFEAF" w14:textId="77777777" w:rsidR="00D22CE3" w:rsidRPr="00F10391" w:rsidRDefault="00D22CE3">
      <w:pPr>
        <w:pStyle w:val="Numberedheading2"/>
      </w:pPr>
      <w:bookmarkStart w:id="549" w:name="_Toc441508989"/>
      <w:bookmarkStart w:id="550" w:name="_Toc304640268"/>
      <w:bookmarkStart w:id="551" w:name="_Toc283984179"/>
      <w:bookmarkStart w:id="552" w:name="_Toc453235429"/>
      <w:bookmarkStart w:id="553" w:name="_Toc453595502"/>
      <w:bookmarkStart w:id="554" w:name="_Toc476241599"/>
      <w:r w:rsidRPr="00F10391">
        <w:t>5.4</w:t>
      </w:r>
      <w:r w:rsidRPr="00F10391">
        <w:tab/>
      </w:r>
      <w:r w:rsidRPr="00F10391">
        <w:tab/>
        <w:t>Discussion</w:t>
      </w:r>
      <w:bookmarkEnd w:id="549"/>
      <w:bookmarkEnd w:id="550"/>
      <w:bookmarkEnd w:id="551"/>
      <w:bookmarkEnd w:id="552"/>
      <w:bookmarkEnd w:id="553"/>
      <w:bookmarkEnd w:id="554"/>
    </w:p>
    <w:p w14:paraId="267D706B" w14:textId="77777777" w:rsidR="00D22CE3" w:rsidRPr="00F10391" w:rsidRDefault="00D22CE3"/>
    <w:p w14:paraId="354E817A" w14:textId="77777777" w:rsidR="00D22CE3" w:rsidRPr="00F10391" w:rsidRDefault="00D22CE3">
      <w:r w:rsidRPr="00F10391">
        <w:t xml:space="preserve">The 2012 methods manual for public health guidance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introduced subtle but important changes to how economic evaluations could be carried out in the CPH, reflecting the changes introduced to public health provision in England and Wales. The most obvious change introduced by the Health and Social Care Act </w:t>
      </w:r>
      <w:r w:rsidRPr="00F10391">
        <w:fldChar w:fldCharType="begin"/>
      </w:r>
      <w:r w:rsidR="00700267">
        <w:instrText xml:space="preserve"> ADDIN EN.CITE &lt;EndNote&gt;&lt;Cite&gt;&lt;Author&gt;UK Government&lt;/Author&gt;&lt;Year&gt;2012&lt;/Year&gt;&lt;RecNum&gt;172&lt;/RecNum&gt;&lt;DisplayText&gt;[17]&lt;/DisplayText&gt;&lt;record&gt;&lt;rec-number&gt;172&lt;/rec-number&gt;&lt;foreign-keys&gt;&lt;key app="EN" db-id="sz9092dv2s5fpze9wpgx0zxgv5ar00aezrvf" timestamp="0"&gt;172&lt;/key&gt;&lt;/foreign-keys&gt;&lt;ref-type name="Report"&gt;27&lt;/ref-type&gt;&lt;contributors&gt;&lt;authors&gt;&lt;author&gt;UK Government,&lt;/author&gt;&lt;/authors&gt;&lt;/contributors&gt;&lt;titles&gt;&lt;title&gt;The Health and Social Care Act&lt;/title&gt;&lt;/titles&gt;&lt;dates&gt;&lt;year&gt;2012&lt;/year&gt;&lt;/dates&gt;&lt;pub-location&gt;London&lt;/pub-location&gt;&lt;publisher&gt;Stationery Office&lt;/publisher&gt;&lt;urls&gt;&lt;related-urls&gt;&lt;url&gt;Available at http://www.legislation.gov.uk/ukpga/2012/7/contents/enacted&lt;/url&gt;&lt;/related-urls&gt;&lt;/urls&gt;&lt;access-date&gt;15 October 2014&lt;/access-date&gt;&lt;/record&gt;&lt;/Cite&gt;&lt;/EndNote&gt;</w:instrText>
      </w:r>
      <w:r w:rsidRPr="00F10391">
        <w:fldChar w:fldCharType="separate"/>
      </w:r>
      <w:r w:rsidR="00700267">
        <w:rPr>
          <w:noProof/>
        </w:rPr>
        <w:t>[17]</w:t>
      </w:r>
      <w:r w:rsidRPr="00F10391">
        <w:fldChar w:fldCharType="end"/>
      </w:r>
      <w:r w:rsidRPr="00F10391">
        <w:t xml:space="preserve"> in this context was that public health responsibilities are now provided by local authorities, as opposed to the local NHS Primary Care Trusts (PCTs), as was the case previously. It will therefore no longer come under the direct aegis of the health system and is now prioritised by local government. This setting itself has a more diffuse range of aims, and it had been hoped that issues such as the social determinants of health could be better tackled by local governments than by an NHS body </w:t>
      </w:r>
      <w:r w:rsidRPr="00F10391">
        <w:fldChar w:fldCharType="begin"/>
      </w:r>
      <w:r w:rsidR="00700267">
        <w:instrText xml:space="preserve"> ADDIN EN.CITE &lt;EndNote&gt;&lt;Cite&gt;&lt;Author&gt;Riches&lt;/Author&gt;&lt;Year&gt;2015&lt;/Year&gt;&lt;RecNum&gt;413&lt;/RecNum&gt;&lt;DisplayText&gt;[318]&lt;/DisplayText&gt;&lt;record&gt;&lt;rec-number&gt;413&lt;/rec-number&gt;&lt;foreign-keys&gt;&lt;key app="EN" db-id="sz9092dv2s5fpze9wpgx0zxgv5ar00aezrvf" timestamp="1460137849"&gt;413&lt;/key&gt;&lt;/foreign-keys&gt;&lt;ref-type name="Generic"&gt;13&lt;/ref-type&gt;&lt;contributors&gt;&lt;authors&gt;&lt;author&gt;Riches, Nicholas&lt;/author&gt;&lt;author&gt;Coleman, Anna&lt;/author&gt;&lt;author&gt;Gadsby, Erica W&lt;/author&gt;&lt;author&gt;Peckham, Stephen&lt;/author&gt;&lt;/authors&gt;&lt;/contributors&gt;&lt;titles&gt;&lt;title&gt;The Role of Local Authorities in Health Issues: A Policy Document Analysis&lt;/title&gt;&lt;/titles&gt;&lt;dates&gt;&lt;year&gt;2015&lt;/year&gt;&lt;/dates&gt;&lt;publisher&gt;PRUComm&lt;/publisher&gt;&lt;urls&gt;&lt;/urls&gt;&lt;/record&gt;&lt;/Cite&gt;&lt;/EndNote&gt;</w:instrText>
      </w:r>
      <w:r w:rsidRPr="00F10391">
        <w:fldChar w:fldCharType="separate"/>
      </w:r>
      <w:r w:rsidR="00700267">
        <w:rPr>
          <w:noProof/>
        </w:rPr>
        <w:t>[318]</w:t>
      </w:r>
      <w:r w:rsidRPr="00F10391">
        <w:fldChar w:fldCharType="end"/>
      </w:r>
      <w:r w:rsidRPr="00F10391">
        <w:t>.</w:t>
      </w:r>
    </w:p>
    <w:p w14:paraId="1FC9FF89" w14:textId="77777777" w:rsidR="00D22CE3" w:rsidRPr="00F10391" w:rsidRDefault="00D22CE3">
      <w:r w:rsidRPr="00F10391">
        <w:t xml:space="preserve">NICE appears to recognise that they will need to meet the expectations of the decision-makers with priorities other than health. CCA and CBA have always previously been allowed when appropriate in economic evaluations, but very much in a secondary role to CUA. The 2012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appears to offer them a much more prominent position in the future, though CUA remains necessary if only to allow comparisons of cost-effectiveness across NICE areas. As PHACs were only starting to produce results towards the end of the review period, it is unclear as to how much of an impact these changes will have in practice, though CBA and CCA appeared to be becoming more common.</w:t>
      </w:r>
    </w:p>
    <w:p w14:paraId="235CF8EC" w14:textId="77777777" w:rsidR="00D22CE3" w:rsidRPr="00F10391" w:rsidRDefault="00D22CE3">
      <w:bookmarkStart w:id="555" w:name="_Toc304640269"/>
      <w:bookmarkStart w:id="556" w:name="_Toc283984180"/>
    </w:p>
    <w:p w14:paraId="40C63A85" w14:textId="77777777" w:rsidR="00D22CE3" w:rsidRPr="00F10391" w:rsidRDefault="00D22CE3">
      <w:pPr>
        <w:pStyle w:val="Heading3"/>
        <w:numPr>
          <w:ilvl w:val="2"/>
          <w:numId w:val="37"/>
        </w:numPr>
      </w:pPr>
      <w:bookmarkStart w:id="557" w:name="_Toc441508990"/>
      <w:bookmarkStart w:id="558" w:name="_Toc453235430"/>
      <w:bookmarkStart w:id="559" w:name="_Toc453595503"/>
      <w:bookmarkStart w:id="560" w:name="_Toc476241600"/>
      <w:r w:rsidRPr="00F10391">
        <w:t>5.4.1</w:t>
      </w:r>
      <w:r w:rsidRPr="00F10391">
        <w:tab/>
      </w:r>
      <w:r w:rsidRPr="00F10391">
        <w:tab/>
      </w:r>
      <w:bookmarkStart w:id="561" w:name="_Toc441508991"/>
      <w:bookmarkStart w:id="562" w:name="_Toc304640270"/>
      <w:bookmarkStart w:id="563" w:name="_Toc283984181"/>
      <w:bookmarkEnd w:id="555"/>
      <w:bookmarkEnd w:id="556"/>
      <w:bookmarkEnd w:id="557"/>
      <w:r w:rsidRPr="00F10391">
        <w:t>Ambiguity of economic evaluation approaches in practice</w:t>
      </w:r>
      <w:bookmarkEnd w:id="558"/>
      <w:bookmarkEnd w:id="559"/>
      <w:bookmarkEnd w:id="560"/>
      <w:bookmarkEnd w:id="561"/>
      <w:bookmarkEnd w:id="562"/>
      <w:bookmarkEnd w:id="563"/>
    </w:p>
    <w:p w14:paraId="0FBFD06B" w14:textId="77777777" w:rsidR="00D22CE3" w:rsidRPr="00F10391" w:rsidRDefault="00D22CE3">
      <w:r w:rsidRPr="00F10391">
        <w:t>The use of different methodologies may not lead to as many changes as one might think, as there is a large amount of overlap and ambiguity between approaches at times.  CBA and net financial benefit appear to be for all intents and purposes equivalent approaches. Both apply monetary valuations to costs and benefits arising from implementation of the approach, in order to arrive at estimations of the net benefit arising from it. The main difference appears to be that net financial benefit was used as the term of choice when an employer perspective was used. As such, it has been maintained in the tables above as initially described, but it is worth bearing this in mind.</w:t>
      </w:r>
    </w:p>
    <w:p w14:paraId="4CAB5304" w14:textId="77777777" w:rsidR="00D22CE3" w:rsidRPr="00F10391" w:rsidRDefault="00D22CE3">
      <w:r w:rsidRPr="00F10391">
        <w:t xml:space="preserve">CBA also has links to CEA (and ultimately CUA). Guidance on </w:t>
      </w:r>
      <w:r w:rsidRPr="00F10391">
        <w:rPr>
          <w:i/>
        </w:rPr>
        <w:t xml:space="preserve">Contraceptive services with a focus on young people up to the age of 25 </w:t>
      </w:r>
      <w:r w:rsidRPr="00F10391">
        <w:t xml:space="preserve">(PH51 </w:t>
      </w:r>
      <w:r w:rsidRPr="00F10391">
        <w:fldChar w:fldCharType="begin"/>
      </w:r>
      <w:r w:rsidR="00700267">
        <w:instrText xml:space="preserve"> ADDIN EN.CITE &lt;EndNote&gt;&lt;Cite&gt;&lt;Author&gt;NICE&lt;/Author&gt;&lt;Year&gt;2014&lt;/Year&gt;&lt;RecNum&gt;249&lt;/RecNum&gt;&lt;DisplayText&gt;[306]&lt;/DisplayText&gt;&lt;record&gt;&lt;rec-number&gt;249&lt;/rec-number&gt;&lt;foreign-keys&gt;&lt;key app="EN" db-id="sz9092dv2s5fpze9wpgx0zxgv5ar00aezrvf" timestamp="0"&gt;249&lt;/key&gt;&lt;/foreign-keys&gt;&lt;ref-type name="Report"&gt;27&lt;/ref-type&gt;&lt;contributors&gt;&lt;authors&gt;&lt;author&gt;NICE&lt;/author&gt;&lt;/authors&gt;&lt;/contributors&gt;&lt;titles&gt;&lt;title&gt;Contraceptive services with a focus on young people up to the age of 25&lt;/title&gt;&lt;secondary-title&gt;PH51&lt;/secondary-title&gt;&lt;/titles&gt;&lt;dates&gt;&lt;year&gt;2014&lt;/year&gt;&lt;/dates&gt;&lt;pub-location&gt;London&lt;/pub-location&gt;&lt;publisher&gt;National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[306]</w:t>
      </w:r>
      <w:r w:rsidRPr="00F10391">
        <w:fldChar w:fldCharType="end"/>
      </w:r>
      <w:r w:rsidRPr="00F10391">
        <w:t xml:space="preserve">) used a CBA approach which was built up upon the cost per negative outcome avoided (i.e. CEA) on a range of criteria , such as costs of maternity care, miscarriage, ectopic pregnancy and stillbirth, which had all previously been estimated in prior NICE research. The model estimated probabilities of each event occurring with and without the intervention. These could be combined formally (including the costs arising to future governments of benefit pay outs) to calculate the cost savings attributed to the intervention. The approach was found to be dominant. It would therefore similarly be dominant for CUA, regardless of any conceivable threshold used (assuming the same costs were taken into account in both cases). A similar approach was used for </w:t>
      </w:r>
      <w:r w:rsidRPr="00F10391">
        <w:rPr>
          <w:i/>
        </w:rPr>
        <w:t xml:space="preserve">Domestic violence and abuse: how health services, social care and the organisations they work with can respond effectively </w:t>
      </w:r>
      <w:r w:rsidRPr="00F10391">
        <w:t xml:space="preserve">(PH50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xml:space="preserve">), in which all conceivable costs and benefits were calculated on a societal level and the interventions modelled were found to be dominant. While it was described as a CUA, in such a scenario there is no clear line between CBA and CUA. </w:t>
      </w:r>
    </w:p>
    <w:p w14:paraId="639C987E" w14:textId="77777777" w:rsidR="00D22CE3" w:rsidRPr="00F10391" w:rsidRDefault="00D22CE3">
      <w:r w:rsidRPr="00F10391">
        <w:t xml:space="preserve">Such an approach nonetheless poses challenges. CUA has more often than not been used as part of an NHS and PSS perspective, and extending it to a public sector or societal perspective makes it unclear how to draw a threshold when non-health expenditure becomes involved. This can (rightly or wrongly) be ignored in the particular cases of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Excellence&lt;/publisher&gt;&lt;urls&gt;&lt;/urls&gt;&lt;/record&gt;&lt;/Cite&gt;&lt;Cite&gt;&lt;Author&gt;NICE&lt;/Author&gt;&lt;Year&gt;2014&lt;/Year&gt;&lt;RecNum&gt;248&lt;/RecNum&gt;&lt;record&gt;&lt;rec-number&gt;248&lt;/rec-number&gt;&lt;foreign-keys&gt;&lt;key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xml:space="preserve"> and PH51 </w:t>
      </w:r>
      <w:r w:rsidRPr="00F10391">
        <w:fldChar w:fldCharType="begin"/>
      </w:r>
      <w:r w:rsidR="00700267">
        <w:instrText xml:space="preserve"> ADDIN EN.CITE &lt;EndNote&gt;&lt;Cite&gt;&lt;Author&gt;NICE&lt;/Author&gt;&lt;Year&gt;2014&lt;/Year&gt;&lt;RecNum&gt;249&lt;/RecNum&gt;&lt;DisplayText&gt;[306]&lt;/DisplayText&gt;&lt;record&gt;&lt;rec-number&gt;249&lt;/rec-number&gt;&lt;foreign-keys&gt;&lt;key app="EN" db-id="sz9092dv2s5fpze9wpgx0zxgv5ar00aezrvf" timestamp="0"&gt;249&lt;/key&gt;&lt;/foreign-keys&gt;&lt;ref-type name="Report"&gt;27&lt;/ref-type&gt;&lt;contributors&gt;&lt;authors&gt;&lt;author&gt;NICE&lt;/author&gt;&lt;/authors&gt;&lt;/contributors&gt;&lt;titles&gt;&lt;title&gt;Contraceptive services with a focus on young people up to the age of 25&lt;/title&gt;&lt;secondary-title&gt;PH51&lt;/secondary-title&gt;&lt;/titles&gt;&lt;dates&gt;&lt;year&gt;2014&lt;/year&gt;&lt;/dates&gt;&lt;pub-location&gt;London&lt;/pub-location&gt;&lt;publisher&gt;National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[306]</w:t>
      </w:r>
      <w:r w:rsidRPr="00F10391">
        <w:fldChar w:fldCharType="end"/>
      </w:r>
      <w:r w:rsidRPr="00F10391">
        <w:t xml:space="preserve">, where the interventions were found to be dominant anyway. But if this was not found to be the case, it is not clear if the normally used threshold would be applicable. Would it be acceptable, for example, to approve an intervention with an ICER of £35,000, but where there are broader implications outside of healthcare? Such questions will need further revisiting in future if CBA does become more common in CPH modelling. </w:t>
      </w:r>
    </w:p>
    <w:p w14:paraId="09930407" w14:textId="77777777" w:rsidR="00D22CE3" w:rsidRPr="00F10391" w:rsidRDefault="00D22CE3">
      <w:r w:rsidRPr="00F10391">
        <w:t>There is also the risk that in giving modellers free rein over which of the intervention’s consequences to include when using a societal perspective, that they may (unconsciously or otherwise) cherry-pick effects which will help their case in ensuring the guidance is approved. Even if similar risks are possible using a healthcare perspective, there will be clearer borders and experience in terms of what is and is not relevant. In a societal approach, aspects relating to criminal justice, education, or even tourism or the arts could feasibly be included or excluded at the whim of modellers, and if and when the PHAC members fail to query the position then these factors will influence all future decision-making. Even if the 2014 methods guidance allows other directorates to use such perspectives, if they are not widely adopted outside of public health it may make like-for-like comparisons of the cost-effectiveness of interventions more difficult between directorates.</w:t>
      </w:r>
    </w:p>
    <w:p w14:paraId="680E2362" w14:textId="77777777" w:rsidR="00D22CE3" w:rsidRPr="00F10391" w:rsidRDefault="00D22CE3">
      <w:pPr>
        <w:rPr>
          <w:i/>
        </w:rPr>
      </w:pPr>
      <w:r w:rsidRPr="00F10391">
        <w:t xml:space="preserve">On a more positive note, the ambiguity between CBA/CUA/CEA (and potentially CCA) does offer potential advantages. Where there is evidence that an approach is effective but no evidence of its magnitude, in the past this has generally been omitted from modelling entirely. CCA could be used to measure the direction of such issues and checked for dominance or what-if analyses to investigate whether the required effectiveness of interventions was plausible. But PH51 </w:t>
      </w:r>
      <w:r w:rsidRPr="00F10391">
        <w:fldChar w:fldCharType="begin"/>
      </w:r>
      <w:r w:rsidR="00700267">
        <w:instrText xml:space="preserve"> ADDIN EN.CITE &lt;EndNote&gt;&lt;Cite&gt;&lt;Author&gt;NICE&lt;/Author&gt;&lt;Year&gt;2014&lt;/Year&gt;&lt;RecNum&gt;249&lt;/RecNum&gt;&lt;DisplayText&gt;[306]&lt;/DisplayText&gt;&lt;record&gt;&lt;rec-number&gt;249&lt;/rec-number&gt;&lt;foreign-keys&gt;&lt;key app="EN" db-id="sz9092dv2s5fpze9wpgx0zxgv5ar00aezrvf" timestamp="0"&gt;249&lt;/key&gt;&lt;/foreign-keys&gt;&lt;ref-type name="Report"&gt;27&lt;/ref-type&gt;&lt;contributors&gt;&lt;authors&gt;&lt;author&gt;NICE&lt;/author&gt;&lt;/authors&gt;&lt;/contributors&gt;&lt;titles&gt;&lt;title&gt;Contraceptive services with a focus on young people up to the age of 25&lt;/title&gt;&lt;secondary-title&gt;PH51&lt;/secondary-title&gt;&lt;/titles&gt;&lt;dates&gt;&lt;year&gt;2014&lt;/year&gt;&lt;/dates&gt;&lt;pub-location&gt;London&lt;/pub-location&gt;&lt;publisher&gt;National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[306]</w:t>
      </w:r>
      <w:r w:rsidRPr="00F10391">
        <w:fldChar w:fldCharType="end"/>
      </w:r>
      <w:r w:rsidRPr="00F10391">
        <w:t xml:space="preserve"> offers what appears to be an equivalent way of structuring the problem. It implicitly assumed that the outcome of the intervention was better than the alternative (e.g. no ectopic pregnancy is better than an ectopic pregnancy), making intuitive sense, despite the fact that mortality estimates for these were zero and utility measurements for each were not available. Such an approach could be further extended where committees are willing to explain the logic of their assumptions, allowing formal quantitative approaches to be used in settings where they are not currently available.</w:t>
      </w:r>
    </w:p>
    <w:p w14:paraId="01705234" w14:textId="77777777" w:rsidR="00D22CE3" w:rsidRPr="00F10391" w:rsidRDefault="00D22CE3">
      <w:bookmarkStart w:id="564" w:name="_Toc313523542"/>
      <w:bookmarkStart w:id="565" w:name="_Toc304640239"/>
    </w:p>
    <w:p w14:paraId="4D0E4212" w14:textId="77777777" w:rsidR="00D22CE3" w:rsidRPr="00F10391" w:rsidRDefault="00D22CE3">
      <w:pPr>
        <w:pStyle w:val="Heading3"/>
        <w:numPr>
          <w:ilvl w:val="2"/>
          <w:numId w:val="37"/>
        </w:numPr>
      </w:pPr>
      <w:bookmarkStart w:id="566" w:name="_Toc441508992"/>
      <w:bookmarkStart w:id="567" w:name="_Toc453235431"/>
      <w:bookmarkStart w:id="568" w:name="_Toc453595504"/>
      <w:bookmarkStart w:id="569" w:name="_Toc476241601"/>
      <w:r w:rsidRPr="00F10391">
        <w:t>5.4.2</w:t>
      </w:r>
      <w:r w:rsidRPr="00F10391">
        <w:tab/>
      </w:r>
      <w:r w:rsidRPr="00F10391">
        <w:tab/>
        <w:t>MCDA and NICE</w:t>
      </w:r>
      <w:bookmarkEnd w:id="564"/>
      <w:bookmarkEnd w:id="565"/>
      <w:bookmarkEnd w:id="566"/>
      <w:bookmarkEnd w:id="567"/>
      <w:bookmarkEnd w:id="568"/>
      <w:bookmarkEnd w:id="569"/>
    </w:p>
    <w:p w14:paraId="37099AB0" w14:textId="77777777" w:rsidR="00D22CE3" w:rsidRPr="00F10391" w:rsidRDefault="00D22CE3">
      <w:r w:rsidRPr="00F10391">
        <w:t xml:space="preserve">NICE’s decision processes are now well established and widely accepted amongst stakeholders, though some stages of the process are better codified than others. While analytic techniques are used at various stages within the process, within certain sub-processes there is the potential to incorporate formal decision analytic techniques to better appraise the range of concerns under investigation. There are a number of reasons why we may wish to do this. The coming section describes the role that MCDA could feasibly play in improving decision-making process with respect to practical problems described in section 4.3 of the previous chapter. </w:t>
      </w:r>
    </w:p>
    <w:p w14:paraId="06801155" w14:textId="77777777" w:rsidR="00D22CE3" w:rsidRPr="00F10391" w:rsidRDefault="00D22CE3"/>
    <w:p w14:paraId="7A25909D" w14:textId="77777777" w:rsidR="00D22CE3" w:rsidRPr="00F10391" w:rsidRDefault="00D22CE3">
      <w:pPr>
        <w:pStyle w:val="Heading4"/>
      </w:pPr>
      <w:bookmarkStart w:id="570" w:name="_Toc441508993"/>
      <w:bookmarkStart w:id="571" w:name="_Toc313523543"/>
      <w:bookmarkStart w:id="572" w:name="_Toc453235432"/>
      <w:bookmarkStart w:id="573" w:name="_Toc453595505"/>
      <w:bookmarkStart w:id="574" w:name="_Toc476241602"/>
      <w:r w:rsidRPr="00F10391">
        <w:t xml:space="preserve">5.4.2.1 </w:t>
      </w:r>
      <w:r w:rsidRPr="00F10391">
        <w:tab/>
        <w:t>MCDA and issues with NICE decision-making processes</w:t>
      </w:r>
      <w:bookmarkEnd w:id="570"/>
      <w:bookmarkEnd w:id="571"/>
      <w:bookmarkEnd w:id="572"/>
      <w:bookmarkEnd w:id="573"/>
      <w:bookmarkEnd w:id="574"/>
    </w:p>
    <w:p w14:paraId="0E29D3B8" w14:textId="77777777" w:rsidR="00D22CE3" w:rsidRPr="00F10391" w:rsidRDefault="00D22CE3">
      <w:pPr>
        <w:pStyle w:val="Heading5"/>
        <w:numPr>
          <w:ilvl w:val="4"/>
          <w:numId w:val="37"/>
        </w:numPr>
      </w:pPr>
      <w:bookmarkStart w:id="575" w:name="_Toc441508994"/>
      <w:bookmarkStart w:id="576" w:name="_Toc304640240"/>
      <w:bookmarkStart w:id="577" w:name="_Toc453235433"/>
      <w:bookmarkStart w:id="578" w:name="_Toc453595506"/>
      <w:bookmarkStart w:id="579" w:name="_Toc476241603"/>
      <w:r w:rsidRPr="00F10391">
        <w:t>5.4.2.1.1</w:t>
      </w:r>
      <w:r w:rsidRPr="00F10391">
        <w:tab/>
        <w:t>Ensuring consistency and accountability for complex multi-criteria decisions</w:t>
      </w:r>
      <w:bookmarkEnd w:id="575"/>
      <w:bookmarkEnd w:id="576"/>
      <w:bookmarkEnd w:id="577"/>
      <w:bookmarkEnd w:id="578"/>
      <w:bookmarkEnd w:id="579"/>
    </w:p>
    <w:p w14:paraId="75ABF6E8" w14:textId="77777777" w:rsidR="00D22CE3" w:rsidRPr="00F10391" w:rsidRDefault="00D22CE3">
      <w:r w:rsidRPr="00F10391">
        <w:t xml:space="preserve">Because conflicting concerns and consequences are currently weighed up implicitly, it is unclear for any piece of guidance how some aspects of final decisions are made. This misses the opportunity to increase the accountability of decisions, which could feasibly over time undermine public confidence in the findings. It also risks issuing guidance that has misinterpreted the facts, which is hardly good either.  </w:t>
      </w:r>
    </w:p>
    <w:p w14:paraId="612C23E8" w14:textId="77777777" w:rsidR="00D22CE3" w:rsidRPr="00F10391" w:rsidRDefault="00D22CE3">
      <w:r w:rsidRPr="00F10391">
        <w:t xml:space="preserve">The previous chapter described over 30 factors to be incorporated into the decision process by deliberation, a particularly complex decision to carry out without some kind of analytical model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There are a range of MCDA techniques that might be used in order to structure some version of this process. Though the reference case and CUA do already go a long way towards putting some framework in place in certain circumstances, it is naïve to suggest there is never further room for improvement, especially in the context of evaluation techniques already being matched on a case by case basis with the nature of the problem.</w:t>
      </w:r>
    </w:p>
    <w:p w14:paraId="756A5E69" w14:textId="3D70A918" w:rsidR="00D22CE3" w:rsidRPr="00F10391" w:rsidRDefault="00D22CE3">
      <w:r w:rsidRPr="00F10391">
        <w:t xml:space="preserve">For complex decision problems, some methodology is generally required to help streamline the decision. Informal models, as argued for by Gigerenzer </w:t>
      </w:r>
      <w:r w:rsidRPr="00F10391">
        <w:fldChar w:fldCharType="begin"/>
      </w:r>
      <w:r w:rsidR="00700267">
        <w:instrText xml:space="preserve"> ADDIN EN.CITE &lt;EndNote&gt;&lt;Cite&gt;&lt;Author&gt;Gigerenzer&lt;/Author&gt;&lt;Year&gt;1999&lt;/Year&gt;&lt;RecNum&gt;283&lt;/RecNum&gt;&lt;DisplayText&gt;[319]&lt;/DisplayText&gt;&lt;record&gt;&lt;rec-number&gt;283&lt;/rec-number&gt;&lt;foreign-keys&gt;&lt;key app="EN" db-id="sz9092dv2s5fpze9wpgx0zxgv5ar00aezrvf" timestamp="0"&gt;283&lt;/key&gt;&lt;/foreign-keys&gt;&lt;ref-type name="Book"&gt;6&lt;/ref-type&gt;&lt;contributors&gt;&lt;authors&gt;&lt;author&gt;Gigerenzer, Gerd&lt;/author&gt;&lt;author&gt;Todd, Peter M&lt;/author&gt;&lt;/authors&gt;&lt;/contributors&gt;&lt;titles&gt;&lt;title&gt;Simple heuristics that make us smart&lt;/title&gt;&lt;/titles&gt;&lt;dates&gt;&lt;year&gt;1999&lt;/year&gt;&lt;/dates&gt;&lt;publisher&gt;Oxford University Press&lt;/publisher&gt;&lt;isbn&gt;0195143817&lt;/isbn&gt;&lt;urls&gt;&lt;/urls&gt;&lt;/record&gt;&lt;/Cite&gt;&lt;/EndNote&gt;</w:instrText>
      </w:r>
      <w:r w:rsidRPr="00F10391">
        <w:fldChar w:fldCharType="separate"/>
      </w:r>
      <w:r w:rsidR="00700267">
        <w:rPr>
          <w:noProof/>
        </w:rPr>
        <w:t>[319]</w:t>
      </w:r>
      <w:r w:rsidRPr="00F10391">
        <w:fldChar w:fldCharType="end"/>
      </w:r>
      <w:r w:rsidRPr="00F10391">
        <w:t xml:space="preserve">, require decision-makers to simplify the decision using their intuition. In practice this can mean that as some criteria are ignored, the risk and the impact of certain outcomes are misjudged and other predictable biases are likely to creep in </w:t>
      </w:r>
      <w:r w:rsidRPr="00F10391">
        <w:fldChar w:fldCharType="begin">
          <w:fldData xml:space="preserve">PEVuZE5vdGU+PENpdGU+PEF1dGhvcj5UdmVyc2t5PC9BdXRob3I+PFllYXI+MTk3NDwvWWVhcj48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</w:fldData>
        </w:fldChar>
      </w:r>
      <w:r w:rsidR="00700267">
        <w:instrText xml:space="preserve"> ADDIN EN.CITE </w:instrText>
      </w:r>
      <w:r w:rsidR="00700267">
        <w:fldChar w:fldCharType="begin">
          <w:fldData xml:space="preserve">PEVuZE5vdGU+PENpdGU+PEF1dGhvcj5UdmVyc2t5PC9BdXRob3I+PFllYXI+MTk3NDwvWWVhcj48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</w:fldData>
        </w:fldChar>
      </w:r>
      <w:r w:rsidR="00700267">
        <w:instrText xml:space="preserve"> ADDIN EN.CITE.DATA </w:instrText>
      </w:r>
      <w:r w:rsidR="00700267">
        <w:fldChar w:fldCharType="end"/>
      </w:r>
      <w:r w:rsidRPr="00F10391">
        <w:fldChar w:fldCharType="separate"/>
      </w:r>
      <w:r w:rsidR="00700267">
        <w:rPr>
          <w:noProof/>
        </w:rPr>
        <w:t>[55, 76, 320]</w:t>
      </w:r>
      <w:r w:rsidRPr="00F10391">
        <w:fldChar w:fldCharType="end"/>
      </w:r>
      <w:r w:rsidRPr="00F10391">
        <w:t xml:space="preserve">. This may impact upon how interventions are prioritised, as ultimately “there is generally no applicable dynamic relationship between perceived risk and actual risk” </w:t>
      </w:r>
      <w:r w:rsidR="00AB1335">
        <w:fldChar w:fldCharType="begin"/>
      </w:r>
      <w:r w:rsidR="00700267">
        <w:instrText xml:space="preserve"> ADDIN EN.CITE &lt;EndNote&gt;&lt;Cite&gt;&lt;Author&gt;Loewenstein&lt;/Author&gt;&lt;Year&gt;1990&lt;/Year&gt;&lt;RecNum&gt;271&lt;/RecNum&gt;&lt;DisplayText&gt;[321]&lt;/DisplayText&gt;&lt;record&gt;&lt;rec-number&gt;271&lt;/rec-number&gt;&lt;foreign-keys&gt;&lt;key app="EN" db-id="sz9092dv2s5fpze9wpgx0zxgv5ar00aezrvf" timestamp="0"&gt;271&lt;/key&gt;&lt;/foreign-keys&gt;&lt;ref-type name="Journal Article"&gt;17&lt;/ref-type&gt;&lt;contributors&gt;&lt;authors&gt;&lt;author&gt;Loewenstein, George&lt;/author&gt;&lt;author&gt;Mather, Jane&lt;/author&gt;&lt;/authors&gt;&lt;/contributors&gt;&lt;titles&gt;&lt;title&gt;Dynamic processes in risk perception&lt;/title&gt;&lt;secondary-title&gt;Journal of Risk and Uncertainty&lt;/secondary-title&gt;&lt;/titles&gt;&lt;periodical&gt;&lt;full-title&gt;Journal of Risk and Uncertainty&lt;/full-title&gt;&lt;/periodical&gt;&lt;pages&gt;155-175&lt;/pages&gt;&lt;volume&gt;3&lt;/volume&gt;&lt;number&gt;2&lt;/number&gt;&lt;dates&gt;&lt;year&gt;1990&lt;/year&gt;&lt;/dates&gt;&lt;isbn&gt;0895-5646&lt;/isbn&gt;&lt;urls&gt;&lt;/urls&gt;&lt;/record&gt;&lt;/Cite&gt;&lt;/EndNote&gt;</w:instrText>
      </w:r>
      <w:r w:rsidR="00AB1335">
        <w:fldChar w:fldCharType="separate"/>
      </w:r>
      <w:r w:rsidR="00700267">
        <w:rPr>
          <w:noProof/>
        </w:rPr>
        <w:t>[321]</w:t>
      </w:r>
      <w:r w:rsidR="00AB1335">
        <w:fldChar w:fldCharType="end"/>
      </w:r>
      <w:r w:rsidR="00AB1335">
        <w:t xml:space="preserve"> (p.156</w:t>
      </w:r>
      <w:r w:rsidR="00112B4A">
        <w:t>)</w:t>
      </w:r>
      <w:r w:rsidRPr="00F10391">
        <w:t xml:space="preserve">, arising from Simon’s model of bounded rationality </w:t>
      </w:r>
      <w:r w:rsidRPr="00F10391">
        <w:fldChar w:fldCharType="begin"/>
      </w:r>
      <w:r w:rsidR="00700267">
        <w:instrText xml:space="preserve"> ADDIN EN.CITE &lt;EndNote&gt;&lt;Cite&gt;&lt;Author&gt;Simon&lt;/Author&gt;&lt;Year&gt;1955&lt;/Year&gt;&lt;RecNum&gt;134&lt;/RecNum&gt;&lt;DisplayText&gt;[59]&lt;/DisplayText&gt;&lt;record&gt;&lt;rec-number&gt;134&lt;/rec-number&gt;&lt;foreign-keys&gt;&lt;key app="EN" db-id="sz9092dv2s5fpze9wpgx0zxgv5ar00aezrvf" timestamp="0"&gt;134&lt;/key&gt;&lt;/foreign-keys&gt;&lt;ref-type name="Journal Article"&gt;17&lt;/ref-type&gt;&lt;contributors&gt;&lt;authors&gt;&lt;author&gt;Simon, Herbert A&lt;/author&gt;&lt;/authors&gt;&lt;/contributors&gt;&lt;titles&gt;&lt;title&gt;A behavioral model of rational choice&lt;/title&gt;&lt;secondary-title&gt;The quarterly journal of economics&lt;/secondary-title&gt;&lt;/titles&gt;&lt;pages&gt;99-118&lt;/pages&gt;&lt;dates&gt;&lt;year&gt;1955&lt;/year&gt;&lt;/dates&gt;&lt;isbn&gt;0033-5533&lt;/isbn&gt;&lt;urls&gt;&lt;/urls&gt;&lt;/record&gt;&lt;/Cite&gt;&lt;/EndNote&gt;</w:instrText>
      </w:r>
      <w:r w:rsidRPr="00F10391">
        <w:fldChar w:fldCharType="separate"/>
      </w:r>
      <w:r w:rsidR="00700267">
        <w:rPr>
          <w:noProof/>
        </w:rPr>
        <w:t>[59]</w:t>
      </w:r>
      <w:r w:rsidRPr="00F10391">
        <w:fldChar w:fldCharType="end"/>
      </w:r>
      <w:r w:rsidRPr="00F10391">
        <w:t xml:space="preserve">. NICE obviously already bases decisions on evidence-based approaches, but weighing up cost-effectiveness against other criteria remains at risk of such irrationality. There is a time and a place for intuition and deliberative models </w:t>
      </w:r>
      <w:r w:rsidRPr="00F10391">
        <w:fldChar w:fldCharType="begin"/>
      </w:r>
      <w:r w:rsidR="00700267">
        <w:instrText xml:space="preserve"> ADDIN EN.CITE &lt;EndNote&gt;&lt;Cite&gt;&lt;Author&gt;Kahneman&lt;/Author&gt;&lt;Year&gt;2011&lt;/Year&gt;&lt;RecNum&gt;69&lt;/RecNum&gt;&lt;DisplayText&gt;[315]&lt;/DisplayText&gt;&lt;record&gt;&lt;rec-number&gt;69&lt;/rec-number&gt;&lt;foreign-keys&gt;&lt;key app="EN" db-id="sz9092dv2s5fpze9wpgx0zxgv5ar00aezrvf" timestamp="0"&gt;69&lt;/key&gt;&lt;/foreign-keys&gt;&lt;ref-type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F10391">
        <w:fldChar w:fldCharType="separate"/>
      </w:r>
      <w:r w:rsidR="00700267">
        <w:rPr>
          <w:noProof/>
        </w:rPr>
        <w:t>[315]</w:t>
      </w:r>
      <w:r w:rsidRPr="00F10391">
        <w:fldChar w:fldCharType="end"/>
      </w:r>
      <w:r w:rsidRPr="00F10391">
        <w:t xml:space="preserve"> but given the nature and magnitude of NICE decisions, it may be better if an approach incorporating multiple criteria could be used to help structure this process.</w:t>
      </w:r>
    </w:p>
    <w:p w14:paraId="0CB4C7E7" w14:textId="5A8936C1" w:rsidR="00D22CE3" w:rsidRPr="00F10391" w:rsidRDefault="00D22CE3">
      <w:pPr>
        <w:pStyle w:val="Caption"/>
      </w:pPr>
      <w:bookmarkStart w:id="580" w:name="_Toc476241456"/>
      <w:bookmarkStart w:id="581" w:name="_Toc304643526"/>
      <w:bookmarkStart w:id="582" w:name="_Toc444180819"/>
      <w:r w:rsidRPr="00F10391">
        <w:t xml:space="preserve">Figure </w:t>
      </w:r>
      <w:r w:rsidR="000F1034">
        <w:fldChar w:fldCharType="begin"/>
      </w:r>
      <w:r w:rsidR="000F1034">
        <w:instrText xml:space="preserve"> STYLEREF 1 \s </w:instrText>
      </w:r>
      <w:r w:rsidR="000F1034">
        <w:fldChar w:fldCharType="separate"/>
      </w:r>
      <w:r w:rsidR="00B37229">
        <w:rPr>
          <w:noProof/>
        </w:rPr>
        <w:t>5</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3</w:t>
      </w:r>
      <w:r w:rsidR="000F1034">
        <w:rPr>
          <w:noProof/>
        </w:rPr>
        <w:fldChar w:fldCharType="end"/>
      </w:r>
      <w:r w:rsidRPr="00F10391">
        <w:t xml:space="preserve"> – Decision-making using ad hoc and formal MCDA techniques, taken from Baltussen and Niessen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bookmarkEnd w:id="581"/>
      <w:bookmarkEnd w:id="582"/>
      <w:r w:rsidRPr="00F10391">
        <w:t>[6]</w:t>
      </w:r>
      <w:bookmarkEnd w:id="580"/>
      <w:r w:rsidRPr="00F10391">
        <w:fldChar w:fldCharType="end"/>
      </w:r>
    </w:p>
    <w:p w14:paraId="0E658FCF" w14:textId="77777777" w:rsidR="00D22CE3" w:rsidRPr="00F10391" w:rsidRDefault="00D22CE3">
      <w:r w:rsidRPr="00F10391">
        <w:rPr>
          <w:noProof/>
          <w:lang w:val="en-IE" w:eastAsia="en-IE"/>
        </w:rPr>
        <w:drawing>
          <wp:inline distT="0" distB="0" distL="0" distR="0" wp14:anchorId="57BCA11D" wp14:editId="7A7DC360">
            <wp:extent cx="5486400" cy="29819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981960"/>
                    </a:xfrm>
                    <a:prstGeom prst="rect">
                      <a:avLst/>
                    </a:prstGeom>
                    <a:noFill/>
                    <a:ln>
                      <a:noFill/>
                    </a:ln>
                  </pic:spPr>
                </pic:pic>
              </a:graphicData>
            </a:graphic>
          </wp:inline>
        </w:drawing>
      </w:r>
    </w:p>
    <w:p w14:paraId="694AB616" w14:textId="1B3EC800" w:rsidR="00D22CE3" w:rsidRPr="00F10391" w:rsidRDefault="00D22CE3">
      <w:r w:rsidRPr="00F10391">
        <w:t xml:space="preserve">Such a model may also allow consensus to be reached sooner. However much the process of devising guidance is evidence-led, no such process can be wholly objective, so that interpretation and </w:t>
      </w:r>
      <w:r w:rsidR="001B7ADD">
        <w:t>judgment</w:t>
      </w:r>
      <w:r w:rsidRPr="00F10391">
        <w:t xml:space="preserve"> are intrinsic to this. The models used may also better illustrate to the public how the conclusions were arrived at, leading to a greater awareness and more consistent decision-making along with “improve[d] stakeholders understanding of priority setting and of the rationales for the decisions, and therefore their acceptance and overall satisfaction”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r w:rsidR="00AB1335">
        <w:t xml:space="preserve"> (p.134)</w:t>
      </w:r>
      <w:r w:rsidRPr="00F10391">
        <w:t xml:space="preserve">. This may also lead to fairer decisions, which require that “the priority setting process, decisions and rationales are accessible and relevant” </w:t>
      </w:r>
      <w:r w:rsidRPr="00F10391">
        <w:fldChar w:fldCharType="begin"/>
      </w:r>
      <w:r w:rsidR="00700267">
        <w:instrText xml:space="preserve"> ADDIN EN.CITE &lt;EndNote&gt;&lt;Cite&gt;&lt;Author&gt;Daniels&lt;/Author&gt;&lt;Year&gt;1998&lt;/Year&gt;&lt;RecNum&gt;31&lt;/RecNum&gt;&lt;DisplayText&gt;[62]&lt;/DisplayText&gt;&lt;record&gt;&lt;rec-number&gt;31&lt;/rec-number&gt;&lt;foreign-keys&gt;&lt;key app="EN" db-id="sz9092dv2s5fpze9wpgx0zxgv5ar00aezrvf" timestamp="0"&gt;31&lt;/key&gt;&lt;/foreign-keys&gt;&lt;ref-type name="Journal Article"&gt;17&lt;/ref-type&gt;&lt;contributors&gt;&lt;authors&gt;&lt;author&gt;Daniels, Norman&lt;/author&gt;&lt;author&gt;Sabin, James&lt;/author&gt;&lt;/authors&gt;&lt;/contributors&gt;&lt;titles&gt;&lt;title&gt;The ethics of accountability in managed care reform&lt;/title&gt;&lt;secondary-title&gt;Health affairs&lt;/secondary-title&gt;&lt;/titles&gt;&lt;pages&gt;50-64&lt;/pages&gt;&lt;volume&gt;17&lt;/volume&gt;&lt;number&gt;5&lt;/number&gt;&lt;dates&gt;&lt;year&gt;1998&lt;/year&gt;&lt;/dates&gt;&lt;isbn&gt;0278-2715&lt;/isbn&gt;&lt;urls&gt;&lt;related-urls&gt;&lt;url&gt;http://content.healthaffairs.org/content/17/5/50.full.pdf&lt;/url&gt;&lt;/related-urls&gt;&lt;/urls&gt;&lt;/record&gt;&lt;/Cite&gt;&lt;/EndNote&gt;</w:instrText>
      </w:r>
      <w:r w:rsidRPr="00F10391">
        <w:fldChar w:fldCharType="separate"/>
      </w:r>
      <w:r w:rsidR="00700267">
        <w:rPr>
          <w:noProof/>
        </w:rPr>
        <w:t>[62]</w:t>
      </w:r>
      <w:r w:rsidRPr="00F10391">
        <w:fldChar w:fldCharType="end"/>
      </w:r>
      <w:r w:rsidR="00942A9E">
        <w:t xml:space="preserve"> (p.8</w:t>
      </w:r>
      <w:r w:rsidR="00AB1335">
        <w:t>)</w:t>
      </w:r>
      <w:r w:rsidRPr="00F10391">
        <w:t xml:space="preserve">. </w:t>
      </w:r>
    </w:p>
    <w:p w14:paraId="72386B8A" w14:textId="77777777" w:rsidR="00D22CE3" w:rsidRPr="00F10391" w:rsidRDefault="00D22CE3">
      <w:r w:rsidRPr="00F10391">
        <w:t>Despite the dangers of explicitly showing the public the complexity and uncertainty inherent in the decision, using a model may well lead to more consistent and reproducible results than are currently possible. Using current approaches, NICE has previously had issues regarding the consistency of its findings using the unstructured discussion approach. Clinical guidance on</w:t>
      </w:r>
      <w:r w:rsidRPr="00F10391">
        <w:rPr>
          <w:i/>
        </w:rPr>
        <w:t xml:space="preserve"> Donepezil, galantamine, rivastigmine and memantine for the treatment of Alzheimer's disease</w:t>
      </w:r>
      <w:r w:rsidRPr="00F10391">
        <w:t xml:space="preserve">, for example, has been issued twice, with two further amendments in between, and on all four occasions has come up with different answers. </w:t>
      </w:r>
    </w:p>
    <w:p w14:paraId="79828F81" w14:textId="77777777" w:rsidR="00D22CE3" w:rsidRPr="00F10391" w:rsidRDefault="00D22CE3"/>
    <w:p w14:paraId="20C84A2A" w14:textId="77777777" w:rsidR="00D22CE3" w:rsidRPr="00F10391" w:rsidRDefault="00D22CE3">
      <w:pPr>
        <w:pStyle w:val="Heading5"/>
        <w:numPr>
          <w:ilvl w:val="4"/>
          <w:numId w:val="37"/>
        </w:numPr>
      </w:pPr>
      <w:bookmarkStart w:id="583" w:name="_Toc441508995"/>
      <w:bookmarkStart w:id="584" w:name="_Toc453235434"/>
      <w:bookmarkStart w:id="585" w:name="_Toc453595507"/>
      <w:bookmarkStart w:id="586" w:name="_Toc476241604"/>
      <w:r w:rsidRPr="00F10391">
        <w:t>5.4.2.1.2</w:t>
      </w:r>
      <w:r w:rsidRPr="00F10391">
        <w:tab/>
        <w:t>Defining the limits of health</w:t>
      </w:r>
      <w:bookmarkEnd w:id="583"/>
      <w:bookmarkEnd w:id="584"/>
      <w:bookmarkEnd w:id="585"/>
      <w:bookmarkEnd w:id="586"/>
    </w:p>
    <w:p w14:paraId="3ED2024D" w14:textId="77777777" w:rsidR="00D22CE3" w:rsidRPr="00F10391" w:rsidRDefault="00D22CE3">
      <w:r w:rsidRPr="00F10391">
        <w:t xml:space="preserve">NICE’s standard process can be thought of as considering the ICER of an intervention, alongside any health-related factors that are taken into account in subsequent deliberations </w:t>
      </w:r>
      <w:r w:rsidRPr="00F10391">
        <w:fldChar w:fldCharType="begin"/>
      </w:r>
      <w:r w:rsidR="00700267">
        <w:instrText xml:space="preserve"> ADDIN EN.CITE &lt;EndNote&gt;&lt;Cite&gt;&lt;Author&gt;NICE&lt;/Author&gt;&lt;RecNum&gt;388&lt;/RecNum&gt;&lt;DisplayText&gt;[85]&lt;/DisplayText&gt;&lt;record&gt;&lt;rec-number&gt;388&lt;/rec-number&gt;&lt;foreign-keys&gt;&lt;key app="EN" db-id="sz9092dv2s5fpze9wpgx0zxgv5ar00aezrvf" timestamp="1457542391"&gt;388&lt;/key&gt;&lt;/foreign-keys&gt;&lt;ref-type name="Government Document"&gt;46&lt;/ref-type&gt;&lt;contributors&gt;&lt;authors&gt;&lt;author&gt;NICE&lt;/author&gt;&lt;/authors&gt;&lt;/contributors&gt;&lt;titles&gt;&lt;title&gt;Developing NICE guidelines: the manual&lt;/title&gt;&lt;/titles&gt;&lt;number&gt;Oct 2014&lt;/number&gt;&lt;dates&gt;&lt;/dates&gt;&lt;urls&gt;&lt;/urls&gt;&lt;/record&gt;&lt;/Cite&gt;&lt;/EndNote&gt;</w:instrText>
      </w:r>
      <w:r w:rsidRPr="00F10391">
        <w:fldChar w:fldCharType="separate"/>
      </w:r>
      <w:r w:rsidR="00700267">
        <w:rPr>
          <w:noProof/>
        </w:rPr>
        <w:t>[85]</w:t>
      </w:r>
      <w:r w:rsidRPr="00F10391">
        <w:fldChar w:fldCharType="end"/>
      </w:r>
      <w:r w:rsidRPr="00F10391">
        <w:t xml:space="preserve"> and resulting in an approach which seeks to broadly maximise QALYs </w:t>
      </w:r>
      <w:r w:rsidRPr="00F10391">
        <w:fldChar w:fldCharType="begin"/>
      </w:r>
      <w:r w:rsidR="00700267">
        <w:instrText xml:space="preserve"> ADDIN EN.CITE &lt;EndNote&gt;&lt;Cite&gt;&lt;Author&gt;Cookson&lt;/Author&gt;&lt;Year&gt;2009&lt;/Year&gt;&lt;RecNum&gt;418&lt;/RecNum&gt;&lt;DisplayText&gt;[322]&lt;/DisplayText&gt;&lt;record&gt;&lt;rec-number&gt;418&lt;/rec-number&gt;&lt;foreign-keys&gt;&lt;key app="EN" db-id="sz9092dv2s5fpze9wpgx0zxgv5ar00aezrvf" timestamp="1460635401"&gt;418&lt;/key&gt;&lt;/foreign-keys&gt;&lt;ref-type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02&lt;/number&gt;&lt;dates&gt;&lt;year&gt;2009&lt;/year&gt;&lt;/dates&gt;&lt;isbn&gt;1744-134X&lt;/isbn&gt;&lt;urls&gt;&lt;/urls&gt;&lt;/record&gt;&lt;/Cite&gt;&lt;/EndNote&gt;</w:instrText>
      </w:r>
      <w:r w:rsidRPr="00F10391">
        <w:fldChar w:fldCharType="separate"/>
      </w:r>
      <w:r w:rsidR="00700267">
        <w:rPr>
          <w:noProof/>
        </w:rPr>
        <w:t>[322]</w:t>
      </w:r>
      <w:r w:rsidRPr="00F10391">
        <w:fldChar w:fldCharType="end"/>
      </w:r>
      <w:r w:rsidRPr="00F10391">
        <w:t>. In public health, whether an intervention is an appropriate use of resources often further takes into account factors outside of health – as demonstrated by the results in this chapter - making such deliberations even more complex.</w:t>
      </w:r>
    </w:p>
    <w:p w14:paraId="19AF2409" w14:textId="77777777" w:rsidR="00D22CE3" w:rsidRPr="00F10391" w:rsidRDefault="00D22CE3">
      <w:r w:rsidRPr="00F10391">
        <w:t xml:space="preserve">In this sense, while NICE’s approaches can be considered as primarily extra-welfarist, (considering solely the intervention’s impact on health </w:t>
      </w:r>
      <w:r w:rsidRPr="00F10391">
        <w:fldChar w:fldCharType="begin"/>
      </w:r>
      <w:r w:rsidR="00700267">
        <w:instrText xml:space="preserve"> ADDIN EN.CITE &lt;EndNote&gt;&lt;Cite&gt;&lt;Author&gt;Coast&lt;/Author&gt;&lt;Year&gt;2008&lt;/Year&gt;&lt;RecNum&gt;340&lt;/RecNum&gt;&lt;DisplayText&gt;[95]&lt;/DisplayText&gt;&lt;record&gt;&lt;rec-number&gt;340&lt;/rec-number&gt;&lt;foreign-keys&gt;&lt;key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EndNote&gt;</w:instrText>
      </w:r>
      <w:r w:rsidRPr="00F10391">
        <w:fldChar w:fldCharType="separate"/>
      </w:r>
      <w:r w:rsidR="00700267">
        <w:rPr>
          <w:noProof/>
        </w:rPr>
        <w:t>[95]</w:t>
      </w:r>
      <w:r w:rsidRPr="00F10391">
        <w:fldChar w:fldCharType="end"/>
      </w:r>
      <w:r w:rsidRPr="00F10391">
        <w:t xml:space="preserve">, corresponding to a QALY-maximisation strategy) in practice there is more nuance involved and non-health factors are (at least occasionally) taken into account implicitly. On the other hand, it may be an exaggeration to say that NICE’s implied objective function is welfarist, given the emphasis placed upon the ICER as the primary hurdle in the decision-making process and the paternalistic manner in which such decisions are made. </w:t>
      </w:r>
    </w:p>
    <w:p w14:paraId="6F061B7F" w14:textId="77777777" w:rsidR="00D22CE3" w:rsidRPr="00F10391" w:rsidRDefault="00D22CE3">
      <w:r w:rsidRPr="00F10391">
        <w:t xml:space="preserve">MCDA approaches are flexible and are in principle paired with whatever context necessitates them. An expanded list of factors relevant to health-related quality of life could be formulated if desired; similar to the current EQ-5D approach and following an extra-welfarist paradigm. While CCA is neither welfarist nor extra-welfarist (reporting “objective facts” </w:t>
      </w:r>
      <w:r w:rsidRPr="00F10391">
        <w:fldChar w:fldCharType="begin"/>
      </w:r>
      <w:r w:rsidR="00700267">
        <w:instrText xml:space="preserve"> ADDIN EN.CITE &lt;EndNote&gt;&lt;Cite&gt;&lt;Author&gt;Drummond M&lt;/Author&gt;&lt;Year&gt;2007&lt;/Year&gt;&lt;RecNum&gt;425&lt;/RecNum&gt;&lt;DisplayText&gt;[311]&lt;/DisplayText&gt;&lt;record&gt;&lt;rec-number&gt;425&lt;/rec-number&gt;&lt;foreign-keys&gt;&lt;key app="EN" db-id="sz9092dv2s5fpze9wpgx0zxgv5ar00aezrvf" timestamp="1461077156"&gt;425&lt;/key&gt;&lt;/foreign-keys&gt;&lt;ref-type name="Report"&gt;27&lt;/ref-type&gt;&lt;contributors&gt;&lt;authors&gt;&lt;author&gt;Drummond M, Weatherly H, Claxton K, Cookson R, Ferguson B, Godfrey C, Rice N, Sculpher M, Sowden A&lt;/author&gt;&lt;/authors&gt;&lt;/contributors&gt;&lt;titles&gt;&lt;title&gt;Assessing the challenges of applying standard methods of economic evaluation to public health interventions: Final report&lt;/title&gt;&lt;secondary-title&gt;Public Health Research Consortium (PHRC)&lt;/secondary-title&gt;&lt;/titles&gt;&lt;dates&gt;&lt;year&gt;2007&lt;/year&gt;&lt;/dates&gt;&lt;pub-location&gt;York&lt;/pub-location&gt;&lt;publisher&gt;University of York&lt;/publisher&gt;&lt;urls&gt;&lt;related-urls&gt;&lt;url&gt;http://phrc.lshtm.ac.uk/papers/PHRC_D1-05_Final_Report.pdf&lt;/url&gt;&lt;/related-urls&gt;&lt;/urls&gt;&lt;/record&gt;&lt;/Cite&gt;&lt;/EndNote&gt;</w:instrText>
      </w:r>
      <w:r w:rsidRPr="00F10391">
        <w:fldChar w:fldCharType="separate"/>
      </w:r>
      <w:r w:rsidR="00700267">
        <w:rPr>
          <w:noProof/>
        </w:rPr>
        <w:t>[311]</w:t>
      </w:r>
      <w:r w:rsidRPr="00F10391">
        <w:fldChar w:fldCharType="end"/>
      </w:r>
      <w:r w:rsidRPr="00F10391">
        <w:t xml:space="preserve">),  it could be argued that an MCDA approach which formally considered non-health factors quantitatively could be considered as proposing an ersatz welfarist approach (limited in that individuals cannot indicate their own welfare-maximising choice via their willingness to pay or by the direct rating of their own welfare) or perhaps more accurately a capabilities approach  </w:t>
      </w:r>
      <w:r w:rsidRPr="00F10391">
        <w:fldChar w:fldCharType="begin"/>
      </w:r>
      <w:r w:rsidR="00700267">
        <w:instrText xml:space="preserve"> ADDIN EN.CITE &lt;EndNote&gt;&lt;Cite&gt;&lt;Author&gt;Coast&lt;/Author&gt;&lt;Year&gt;2008&lt;/Year&gt;&lt;RecNum&gt;340&lt;/RecNum&gt;&lt;DisplayText&gt;[86, 95]&lt;/DisplayText&gt;&lt;record&gt;&lt;rec-number&gt;340&lt;/rec-number&gt;&lt;foreign-keys&gt;&lt;key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Cite&gt;&lt;Author&gt;Sen&lt;/Author&gt;&lt;Year&gt;1999&lt;/Year&gt;&lt;RecNum&gt;130&lt;/RecNum&gt;&lt;record&gt;&lt;rec-number&gt;130&lt;/rec-number&gt;&lt;foreign-keys&gt;&lt;key app="EN" db-id="sz9092dv2s5fpze9wpgx0zxgv5ar00aezrvf" timestamp="0"&gt;130&lt;/key&gt;&lt;/foreign-keys&gt;&lt;ref-type name="Book"&gt;6&lt;/ref-type&gt;&lt;contributors&gt;&lt;authors&gt;&lt;author&gt;Sen, Amartya&lt;/author&gt;&lt;/authors&gt;&lt;/contributors&gt;&lt;titles&gt;&lt;title&gt;Development as freedom&lt;/title&gt;&lt;/titles&gt;&lt;dates&gt;&lt;year&gt;1999&lt;/year&gt;&lt;/dates&gt;&lt;publisher&gt;Oxford University Press&lt;/publisher&gt;&lt;isbn&gt;0198297580&lt;/isbn&gt;&lt;urls&gt;&lt;/urls&gt;&lt;/record&gt;&lt;/Cite&gt;&lt;/EndNote&gt;</w:instrText>
      </w:r>
      <w:r w:rsidRPr="00F10391">
        <w:fldChar w:fldCharType="separate"/>
      </w:r>
      <w:r w:rsidR="00700267">
        <w:rPr>
          <w:noProof/>
        </w:rPr>
        <w:t>[86, 95]</w:t>
      </w:r>
      <w:r w:rsidRPr="00F10391">
        <w:fldChar w:fldCharType="end"/>
      </w:r>
      <w:r w:rsidRPr="00F10391">
        <w:t xml:space="preserve"> (though confusingly, extra-welfarist approaches can be considered as being derived from capabilities approaches, considering health as the sole capability </w:t>
      </w:r>
      <w:r w:rsidRPr="00F10391">
        <w:fldChar w:fldCharType="begin"/>
      </w:r>
      <w:r w:rsidR="00700267">
        <w:instrText xml:space="preserve"> ADDIN EN.CITE &lt;EndNote&gt;&lt;Cite&gt;&lt;Author&gt;Coast&lt;/Author&gt;&lt;Year&gt;2008&lt;/Year&gt;&lt;RecNum&gt;340&lt;/RecNum&gt;&lt;DisplayText&gt;[95, 100]&lt;/DisplayText&gt;&lt;record&gt;&lt;rec-number&gt;340&lt;/rec-number&gt;&lt;foreign-keys&gt;&lt;key app="EN" db-id="sz9092dv2s5fpze9wpgx0zxgv5ar00aezrvf" timestamp="0"&gt;340&lt;/key&gt;&lt;/foreign-keys&gt;&lt;ref-type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related-urls&gt;&lt;url&gt;http://www.sciencedirect.com/science/article/pii/S027795360800333X&lt;/url&gt;&lt;/related-urls&gt;&lt;/urls&gt;&lt;/record&gt;&lt;/Cite&gt;&lt;Cite&gt;&lt;Author&gt;Brouwer&lt;/Author&gt;&lt;Year&gt;2008&lt;/Year&gt;&lt;RecNum&gt;339&lt;/RecNum&gt;&lt;record&gt;&lt;rec-number&gt;339&lt;/rec-number&gt;&lt;foreign-keys&gt;&lt;key app="EN" db-id="sz9092dv2s5fpze9wpgx0zxgv5ar00aezrvf" timestamp="0"&gt;339&lt;/key&gt;&lt;/foreign-keys&gt;&lt;ref-type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ages&gt;325-338&lt;/pages&gt;&lt;volume&gt;27&lt;/volume&gt;&lt;number&gt;2&lt;/number&gt;&lt;dates&gt;&lt;year&gt;2008&lt;/year&gt;&lt;/dates&gt;&lt;isbn&gt;0167-6296&lt;/isbn&gt;&lt;urls&gt;&lt;related-urls&gt;&lt;url&gt;http://www.sciencedirect.com/science/article/pii/S0167629607000902&lt;/url&gt;&lt;/related-urls&gt;&lt;/urls&gt;&lt;/record&gt;&lt;/Cite&gt;&lt;/EndNote&gt;</w:instrText>
      </w:r>
      <w:r w:rsidRPr="00F10391">
        <w:fldChar w:fldCharType="separate"/>
      </w:r>
      <w:r w:rsidR="00700267">
        <w:rPr>
          <w:noProof/>
        </w:rPr>
        <w:t>[95, 100]</w:t>
      </w:r>
      <w:r w:rsidRPr="00F10391">
        <w:fldChar w:fldCharType="end"/>
      </w:r>
      <w:r w:rsidRPr="00F10391">
        <w:t xml:space="preserve">). On a theoretical level, there is obviously some ambiguity between where each approach starts and ends, as there was between the economic evaluation techniques described earlier in the chapter. Regardless, and on a more pragmatic level, there may be some merit in allowing some non-health factors to be included at some stage in the decision process to allow quantitative techniques to be used to help ensure rational decisions are made, given that such criteria are going to be used anyway. No such technique could be realistically expected to capture all potentially relevant factors in all potential circumstances (and the choice of criteria to use is itself potentially a normative one), potentially leading to overly prescriptive decisions that lack face validity if implemented rigidly. Some deliberative process will still be required to counter such deficiencies in any such approach, and throughout this thesis I argue that MCDA’s likely role is in helping to better inform actors in this process, rather than to replace this stage. </w:t>
      </w:r>
    </w:p>
    <w:p w14:paraId="5859DA1C" w14:textId="77777777" w:rsidR="00D22CE3" w:rsidRPr="00F10391" w:rsidRDefault="00D22CE3">
      <w:r w:rsidRPr="00F10391">
        <w:t xml:space="preserve">The establishment of an explicit checklist of other factors that were considered as part of each guidance process would at least ensure that the public can be confident that the most common or important ‘other factors’ have been taken into account in deliberations each time (even if no such list can be comprehensive). While such a checklist would offer a simple framework to improve decision-making, on its own it would not constitute an MCDA method according to the definition used in the introductory chapter of the thesis, which required weighting. Without such a weighting process, this process might still allow for increased confidence in the process, and explicitly acknowledge the role for non-QALY factors in such decisions. After a sufficient number of such appraisals had been carried out, they could then be subject to subsequent analysis to estimate the effect of the presence of such criteria on prior decisions, in a similar manner to Schmitz et al. </w:t>
      </w:r>
      <w:r w:rsidRPr="00F10391">
        <w:fldChar w:fldCharType="begin"/>
      </w:r>
      <w:r w:rsidR="00700267">
        <w:instrText xml:space="preserve"> ADDIN EN.CITE &lt;EndNote&gt;&lt;Cite&gt;&lt;Author&gt;Schmitz&lt;/Author&gt;&lt;Year&gt;2016&lt;/Year&gt;&lt;RecNum&gt;415&lt;/RecNum&gt;&lt;DisplayText&gt;[323]&lt;/DisplayText&gt;&lt;record&gt;&lt;rec-number&gt;415&lt;/rec-number&gt;&lt;foreign-keys&gt;&lt;key app="EN" db-id="sz9092dv2s5fpze9wpgx0zxgv5ar00aezrvf" timestamp="1460400266"&gt;415&lt;/key&gt;&lt;/foreign-keys&gt;&lt;ref-type name="Journal Article"&gt;17&lt;/ref-type&gt;&lt;contributors&gt;&lt;authors&gt;&lt;author&gt;Schmitz, Susanne&lt;/author&gt;&lt;author&gt;McCullagh, Laura&lt;/author&gt;&lt;author&gt;Adams, Roisin&lt;/author&gt;&lt;author&gt;Barry, Michael&lt;/author&gt;&lt;author&gt;Walsh, Cathal&lt;/author&gt;&lt;/authors&gt;&lt;/contributors&gt;&lt;titles&gt;&lt;title&gt;Identifying and Revealing the Importance of Decision-Making Criteria for Health Technology Assessment: A Retrospective Analysis of Reimbursement Recommendations in Ireland&lt;/title&gt;&lt;secondary-title&gt;PharmacoEconomics&lt;/secondary-title&gt;&lt;/titles&gt;&lt;periodical&gt;&lt;full-title&gt;Pharmacoeconomics&lt;/full-title&gt;&lt;/periodical&gt;&lt;pages&gt;1-13&lt;/pages&gt;&lt;dates&gt;&lt;year&gt;2016&lt;/year&gt;&lt;/dates&gt;&lt;isbn&gt;1170-7690&lt;/isbn&gt;&lt;urls&gt;&lt;/urls&gt;&lt;/record&gt;&lt;/Cite&gt;&lt;/EndNote&gt;</w:instrText>
      </w:r>
      <w:r w:rsidRPr="00F10391">
        <w:fldChar w:fldCharType="separate"/>
      </w:r>
      <w:r w:rsidR="00700267">
        <w:rPr>
          <w:noProof/>
        </w:rPr>
        <w:t>[323]</w:t>
      </w:r>
      <w:r w:rsidRPr="00F10391">
        <w:fldChar w:fldCharType="end"/>
      </w:r>
      <w:r w:rsidRPr="00F10391">
        <w:t>.</w:t>
      </w:r>
    </w:p>
    <w:p w14:paraId="0A11517F" w14:textId="77777777" w:rsidR="00D22CE3" w:rsidRPr="00F10391" w:rsidRDefault="00D22CE3">
      <w:r w:rsidRPr="00F10391">
        <w:t xml:space="preserve">If weights were to be used pre-imposing these on each criterion might not necessarily be appropriate, given in some circumstances certain factors will be much more important than others (and in many cases no such factors will be relevant). As such, swing weighting could be used to allow case by case weighting of importance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This would allow for a simple to follow explanation of decisions, while allowing other factors to be explicitly stated and weighted at the discretion of the PHAC.</w:t>
      </w:r>
    </w:p>
    <w:p w14:paraId="55702923" w14:textId="77777777" w:rsidR="00D22CE3" w:rsidRPr="00F10391" w:rsidRDefault="00D22CE3">
      <w:r w:rsidRPr="00F10391">
        <w:t xml:space="preserve">Ignoring the normative specifics of such an approach (such as who should decide the criteria, their weights and so on), it might allow for a more realistic appraisal of topic areas at the margin of what constitutes health by allowing such analysis to take into account non-health factors in an explicit way – thereby </w:t>
      </w:r>
      <w:r w:rsidRPr="00F10391">
        <w:rPr>
          <w:i/>
        </w:rPr>
        <w:t>better</w:t>
      </w:r>
      <w:r w:rsidRPr="00F10391">
        <w:t xml:space="preserve"> highlighting the opportunity costs associated with such decisions than current processes are characterised with at present. It seems appropriate that in such circumstances the (health-only) ICER calculations are also calculated as a form of sensitivity analysis in order to ensure that such results are not deemed too cost-ineffective from an NHS perspective. Such analyses could even facilitate discussion with other government departments to allow collaboration and cost-sharing (even if in practice such agreements may prove difficult).</w:t>
      </w:r>
    </w:p>
    <w:p w14:paraId="4AE6FFCD" w14:textId="77777777" w:rsidR="00D22CE3" w:rsidRPr="00F10391" w:rsidRDefault="00D22CE3">
      <w:r w:rsidRPr="00F10391">
        <w:t xml:space="preserve">Equity concerns – which are in theory fundamentally important to CPH decision-making – could also be given some formal weighting. Such a process may force the PHAC to define the equity impacts of their decisions that, again, have traditionally been considered in camera in deliberations. Where equity factors are seen to influence the results of the guidance this will likely lead to some controversy – but it is worth bearing in mind that such considerations are </w:t>
      </w:r>
      <w:r w:rsidRPr="00F10391">
        <w:rPr>
          <w:i/>
        </w:rPr>
        <w:t>already carried out without the help of a formal model and in secret</w:t>
      </w:r>
      <w:r w:rsidRPr="00F10391">
        <w:t xml:space="preserve">, and that opening such decisions up to some level of scrutiny seems entirely appropriate. </w:t>
      </w:r>
    </w:p>
    <w:p w14:paraId="1AF03E61" w14:textId="77777777" w:rsidR="00D22CE3" w:rsidRPr="00F10391" w:rsidRDefault="00D22CE3">
      <w:r w:rsidRPr="00F10391">
        <w:t xml:space="preserve">Even if a workable definition of equity was defined </w:t>
      </w:r>
      <w:r w:rsidRPr="00F10391">
        <w:fldChar w:fldCharType="begin"/>
      </w:r>
      <w:r w:rsidR="00700267">
        <w:instrText xml:space="preserve"> ADDIN EN.CITE &lt;EndNote&gt;&lt;Cite&gt;&lt;Author&gt;Braveman&lt;/Author&gt;&lt;Year&gt;2003&lt;/Year&gt;&lt;RecNum&gt;16&lt;/RecNum&gt;&lt;DisplayText&gt;[38]&lt;/DisplayText&gt;&lt;record&gt;&lt;rec-number&gt;16&lt;/rec-number&gt;&lt;foreign-keys&gt;&lt;key app="EN" db-id="sz9092dv2s5fpze9wpgx0zxgv5ar00aezrvf" timestamp="0"&gt;16&lt;/key&gt;&lt;/foreign-keys&gt;&lt;ref-type name="Journal Article"&gt;17&lt;/ref-type&gt;&lt;contributors&gt;&lt;authors&gt;&lt;author&gt;Braveman, Paula&lt;/author&gt;&lt;author&gt;Gruskin, Sofia&lt;/author&gt;&lt;/authors&gt;&lt;/contributors&gt;&lt;titles&gt;&lt;title&gt;Defining equity in health&lt;/title&gt;&lt;secondary-title&gt;Journal of epidemiology and community health&lt;/secondary-title&gt;&lt;/titles&gt;&lt;periodical&gt;&lt;full-title&gt;Journal of epidemiology and community health&lt;/full-title&gt;&lt;/periodical&gt;&lt;pages&gt;254-258&lt;/pages&gt;&lt;volume&gt;57&lt;/volume&gt;&lt;number&gt;4&lt;/number&gt;&lt;dates&gt;&lt;year&gt;2003&lt;/year&gt;&lt;/dates&gt;&lt;isbn&gt;1470-2738&lt;/isbn&gt;&lt;urls&gt;&lt;related-urls&gt;&lt;url&gt;http://www.ncbi.nlm.nih.gov/pmc/articles/PMC1732430/pdf/v057p00254.pdf&lt;/url&gt;&lt;/related-urls&gt;&lt;/urls&gt;&lt;/record&gt;&lt;/Cite&gt;&lt;/EndNote&gt;</w:instrText>
      </w:r>
      <w:r w:rsidRPr="00F10391">
        <w:fldChar w:fldCharType="separate"/>
      </w:r>
      <w:r w:rsidR="00700267">
        <w:rPr>
          <w:noProof/>
        </w:rPr>
        <w:t>[38]</w:t>
      </w:r>
      <w:r w:rsidRPr="00F10391">
        <w:fldChar w:fldCharType="end"/>
      </w:r>
      <w:r w:rsidRPr="00F10391">
        <w:t xml:space="preserve">, then assessing what weight is appropriate for equity is not immediately clear </w:t>
      </w:r>
      <w:r w:rsidRPr="00F10391">
        <w:fldChar w:fldCharType="begin"/>
      </w:r>
      <w:r w:rsidR="00700267">
        <w:instrText xml:space="preserve"> ADDIN EN.CITE &lt;EndNote&gt;&lt;Cite&gt;&lt;Author&gt;Cookson&lt;/Author&gt;&lt;Year&gt;2009&lt;/Year&gt;&lt;RecNum&gt;418&lt;/RecNum&gt;&lt;DisplayText&gt;[322]&lt;/DisplayText&gt;&lt;record&gt;&lt;rec-number&gt;418&lt;/rec-number&gt;&lt;foreign-keys&gt;&lt;key app="EN" db-id="sz9092dv2s5fpze9wpgx0zxgv5ar00aezrvf" timestamp="1460635401"&gt;418&lt;/key&gt;&lt;/foreign-keys&gt;&lt;ref-type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02&lt;/number&gt;&lt;dates&gt;&lt;year&gt;2009&lt;/year&gt;&lt;/dates&gt;&lt;isbn&gt;1744-134X&lt;/isbn&gt;&lt;urls&gt;&lt;/urls&gt;&lt;/record&gt;&lt;/Cite&gt;&lt;/EndNote&gt;</w:instrText>
      </w:r>
      <w:r w:rsidRPr="00F10391">
        <w:fldChar w:fldCharType="separate"/>
      </w:r>
      <w:r w:rsidR="00700267">
        <w:rPr>
          <w:noProof/>
        </w:rPr>
        <w:t>[322]</w:t>
      </w:r>
      <w:r w:rsidRPr="00F10391">
        <w:fldChar w:fldCharType="end"/>
      </w:r>
      <w:r w:rsidRPr="00F10391">
        <w:t>. It is plausible that this might not be necessary however, if MCDA could be used as part of a what-if style analysis. If, for example, an intervention would only be worth investing in if equity concerns made up 90% of the total decision, then this might provide a clear justification to decision-makers for refusing to invest. Over time, a de facto threshold level may emerge through precedent and prior experience, though this step may not be necessary to improve decision-making processes. If the equity concerns are seen to be too influential and costly in terms of societal health, or vice versa, then the implicit weighting on equity for future appraisals could be adjusted. At present the decisions of PHACs cannot be held to the same level of accountability in such circumstances.</w:t>
      </w:r>
    </w:p>
    <w:p w14:paraId="0D95E017" w14:textId="77777777" w:rsidR="00D22CE3" w:rsidRPr="00F10391" w:rsidRDefault="00D22CE3"/>
    <w:p w14:paraId="49C28575" w14:textId="77777777" w:rsidR="00D22CE3" w:rsidRPr="00F10391" w:rsidRDefault="00D22CE3">
      <w:pPr>
        <w:pStyle w:val="Heading5"/>
        <w:numPr>
          <w:ilvl w:val="4"/>
          <w:numId w:val="37"/>
        </w:numPr>
      </w:pPr>
      <w:bookmarkStart w:id="587" w:name="_Toc441508996"/>
      <w:bookmarkStart w:id="588" w:name="_Toc453235435"/>
      <w:bookmarkStart w:id="589" w:name="_Toc453595508"/>
      <w:bookmarkStart w:id="590" w:name="_Toc476241605"/>
      <w:r w:rsidRPr="00F10391">
        <w:t>5.4.2.1.3</w:t>
      </w:r>
      <w:r w:rsidRPr="00F10391">
        <w:tab/>
        <w:t>Local decision-making and democracy</w:t>
      </w:r>
      <w:bookmarkEnd w:id="587"/>
      <w:bookmarkEnd w:id="588"/>
      <w:bookmarkEnd w:id="589"/>
      <w:bookmarkEnd w:id="590"/>
    </w:p>
    <w:p w14:paraId="4686AEB3" w14:textId="77777777" w:rsidR="00D22CE3" w:rsidRPr="00F10391" w:rsidRDefault="00D22CE3">
      <w:r w:rsidRPr="00F10391">
        <w:t xml:space="preserve">Democratic policy-making requires compromise and discretion and is ultimately built around building up sufficient consensus </w:t>
      </w:r>
      <w:r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Pr="00F10391">
        <w:fldChar w:fldCharType="separate"/>
      </w:r>
      <w:r w:rsidR="00700267">
        <w:rPr>
          <w:noProof/>
        </w:rPr>
        <w:t>[91]</w:t>
      </w:r>
      <w:r w:rsidRPr="00F10391">
        <w:fldChar w:fldCharType="end"/>
      </w:r>
      <w:r w:rsidRPr="00F10391">
        <w:t>. It is therefore not possible to wholly separate it from the realm of politics. Any model used to inform policy-making is of course just an approximation – but just because it is not perfect does not mean it has no merit. MCDA approaches could allow for clearer investigation and scrutiny of policy decisions and for reduced conflict between analytical approaches and policy formulation.</w:t>
      </w:r>
    </w:p>
    <w:p w14:paraId="37E8D0A9" w14:textId="77777777" w:rsidR="00D22CE3" w:rsidRPr="00F10391" w:rsidRDefault="00D22CE3">
      <w:r w:rsidRPr="00F10391">
        <w:t xml:space="preserve">This should be tailored to specific circumstances and the role of relevant decision-makers. Different settings require different levels of rigour and evidence </w:t>
      </w:r>
      <w:r w:rsidRPr="00F10391">
        <w:fldChar w:fldCharType="begin"/>
      </w:r>
      <w:r w:rsidR="00700267">
        <w:instrText xml:space="preserve"> ADDIN EN.CITE &lt;EndNote&gt;&lt;Cite&gt;&lt;Author&gt;Reddy&lt;/Author&gt;&lt;Year&gt;2016&lt;/Year&gt;&lt;RecNum&gt;444&lt;/RecNum&gt;&lt;DisplayText&gt;[324]&lt;/DisplayText&gt;&lt;record&gt;&lt;rec-number&gt;444&lt;/rec-number&gt;&lt;foreign-keys&gt;&lt;key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Processes&lt;/full-title&gt;&lt;/periodical&gt;&lt;pages&gt;1-21&lt;/pages&gt;&lt;dates&gt;&lt;year&gt;2016&lt;/year&gt;&lt;/dates&gt;&lt;isbn&gt;2193-9438&lt;/isbn&gt;&lt;urls&gt;&lt;/urls&gt;&lt;/record&gt;&lt;/Cite&gt;&lt;/EndNote&gt;</w:instrText>
      </w:r>
      <w:r w:rsidRPr="00F10391">
        <w:fldChar w:fldCharType="separate"/>
      </w:r>
      <w:r w:rsidR="00700267">
        <w:rPr>
          <w:noProof/>
        </w:rPr>
        <w:t>[324]</w:t>
      </w:r>
      <w:r w:rsidRPr="00F10391">
        <w:fldChar w:fldCharType="end"/>
      </w:r>
      <w:r w:rsidRPr="00F10391">
        <w:t>. MCDA approaches could feasibly be used to facilitate brainstorming at the start of a process, provide final rankings, or to better inform or align relevant factors as part of a sub-decision. Other factors may also be relevant, such as how much evidence is available, or if there are other processes to follow which may act as a safety net. Each combination of factors will require different approaches, and potentially different MCDA techniques, which must be carefully weighed up. An example of this how to design such a process at local government level and given a specific set of challenges, is described in Chapter 7.</w:t>
      </w:r>
    </w:p>
    <w:p w14:paraId="7999AFBE" w14:textId="77777777" w:rsidR="00D22CE3" w:rsidRPr="00F10391" w:rsidRDefault="00D22CE3">
      <w:r w:rsidRPr="00F10391">
        <w:t xml:space="preserve">NICE has reached out to local authorities with toolboxes to facilitate local decision-making using agreed national standards </w:t>
      </w:r>
      <w:r w:rsidRPr="00F10391">
        <w:fldChar w:fldCharType="begin"/>
      </w:r>
      <w:r w:rsidR="00700267">
        <w:instrText xml:space="preserve"> ADDIN EN.CITE &lt;EndNote&gt;&lt;Cite&gt;&lt;Author&gt;NICE&lt;/Author&gt;&lt;Year&gt;2015&lt;/Year&gt;&lt;RecNum&gt;363&lt;/RecNum&gt;&lt;DisplayText&gt;[241-243]&lt;/DisplayText&gt;&lt;record&gt;&lt;rec-number&gt;363&lt;/rec-number&gt;&lt;foreign-keys&gt;&lt;key app="EN" db-id="septax0fnz0ppweaftoxwaf8dwt952vtx2we" timestamp="1451745803"&gt;363&lt;/key&gt;&lt;/foreign-keys&gt;&lt;ref-type name="Web Page"&gt;12&lt;/ref-type&gt;&lt;contributors&gt;&lt;authors&gt;&lt;author&gt;NICE&lt;/author&gt;&lt;/authors&gt;&lt;/contributors&gt;&lt;titles&gt;&lt;title&gt;Physical activity return on investment tool&lt;/title&gt;&lt;/titles&gt;&lt;volume&gt;2016&lt;/volume&gt;&lt;number&gt;Jan 1&lt;/number&gt;&lt;dates&gt;&lt;year&gt;2015&lt;/year&gt;&lt;/dates&gt;&lt;urls&gt;&lt;related-urls&gt;&lt;url&gt;http://www.nice.org.uk/About/What-we-do/Into-practice/Return-on-investment-tools/Physical-activity-return-on-investment-tool&lt;/url&gt;&lt;/related-urls&gt;&lt;/urls&gt;&lt;/record&gt;&lt;/Cite&gt;&lt;Cite&gt;&lt;Author&gt;NICE&lt;/Author&gt;&lt;Year&gt;2015&lt;/Year&gt;&lt;RecNum&gt;364&lt;/RecNum&gt;&lt;record&gt;&lt;rec-number&gt;364&lt;/rec-number&gt;&lt;foreign-keys&gt;&lt;key app="EN" db-id="septax0fnz0ppweaftoxwaf8dwt952vtx2we" timestamp="1451745884"&gt;364&lt;/key&gt;&lt;/foreign-keys&gt;&lt;ref-type name="Web Page"&gt;12&lt;/ref-type&gt;&lt;contributors&gt;&lt;authors&gt;&lt;author&gt;NICE&lt;/author&gt;&lt;/authors&gt;&lt;/contributors&gt;&lt;titles&gt;&lt;title&gt;Tobacco return on investment tool&lt;/title&gt;&lt;/titles&gt;&lt;volume&gt;2016&lt;/volume&gt;&lt;number&gt;Jan 1&lt;/number&gt;&lt;dates&gt;&lt;year&gt;2015&lt;/year&gt;&lt;/dates&gt;&lt;urls&gt;&lt;related-urls&gt;&lt;url&gt;http://www.nice.org.uk/About/What-we-do/Into-practice/Return-on-investment-tools/Tobacco-Return-on-Investment-tool&lt;/url&gt;&lt;/related-urls&gt;&lt;/urls&gt;&lt;/record&gt;&lt;/Cite&gt;&lt;Cite&gt;&lt;Author&gt;NICE&lt;/Author&gt;&lt;Year&gt;2015&lt;/Year&gt;&lt;RecNum&gt;365&lt;/RecNum&gt;&lt;record&gt;&lt;rec-number&gt;365&lt;/rec-number&gt;&lt;foreign-keys&gt;&lt;key app="EN" db-id="septax0fnz0ppweaftoxwaf8dwt952vtx2we" timestamp="1451745939"&gt;365&lt;/key&gt;&lt;/foreign-keys&gt;&lt;ref-type name="Web Page"&gt;12&lt;/ref-type&gt;&lt;contributors&gt;&lt;authors&gt;&lt;author&gt;NICE&lt;/author&gt;&lt;/authors&gt;&lt;/contributors&gt;&lt;titles&gt;&lt;title&gt;Alcohol return on investment tool&lt;/title&gt;&lt;/titles&gt;&lt;volume&gt;2016&lt;/volume&gt;&lt;number&gt;Jan 1&lt;/number&gt;&lt;dates&gt;&lt;year&gt;2015&lt;/year&gt;&lt;/dates&gt;&lt;urls&gt;&lt;related-urls&gt;&lt;url&gt;http://www.nice.org.uk/About/What-we-do/Into-practice/Return-on-investment-tools/Alcohol-return-on-investment-tool&lt;/url&gt;&lt;/related-urls&gt;&lt;/urls&gt;&lt;/record&gt;&lt;/Cite&gt;&lt;/EndNote&gt;</w:instrText>
      </w:r>
      <w:r w:rsidRPr="00F10391">
        <w:fldChar w:fldCharType="separate"/>
      </w:r>
      <w:r w:rsidR="00700267">
        <w:rPr>
          <w:noProof/>
        </w:rPr>
        <w:t>[241-243]</w:t>
      </w:r>
      <w:r w:rsidRPr="00F10391">
        <w:fldChar w:fldCharType="end"/>
      </w:r>
      <w:r w:rsidRPr="00F10391">
        <w:t>. It may be possible similarly to attempt to use its influence to set the standard approach by which local governments could weigh up and report how their decisions were made.  For example, a small step in this direction would be for NICE-level decision-makers to specify the criteria they have taken into account in their guidance and the expected effects of interventions on each, much like a CCA. Local authorities could potentially place weights on these according to their own circumstances, whether made public or not. Even without such weighting, some alternatives may be clearly dominated and no longer considered. In other cases, without strict dominance, other alternatives might be excluded if the criteria weightings required to choose them lacked face validity or plausibility, and such an approach would provide clearer accountability than is currently possible. The risk of gaming would remain – unscrupulous decision-makers could choose their preferred option and only subsequently choose the criteria to back this up, though there may be processes possible to mitigate some of this risk. It may still be worth pursuing in that dominated options would be difficult to justify and the extra level of explicitness would add a level of accountability. This is similar to the approach advocated in ‘Approach 2’ in section 5.4.2.1.5.</w:t>
      </w:r>
    </w:p>
    <w:p w14:paraId="17F80FC0" w14:textId="77777777" w:rsidR="00D22CE3" w:rsidRPr="00F10391" w:rsidRDefault="00D22CE3">
      <w:r w:rsidRPr="00F10391">
        <w:t>The use of models (even imperfect ones) is fundamental to the decision-making process in the CPH – but encouraging such MCDA-inspired techniques at local government level may allow for some degree of structured decision-making to what is potentially an ad hoc process centred on deliberation and politics. Such an approach could feasibly maintain a similar spirit of formal prioritisation as with NICE-led approaches and allow for comparability between local governmental areas, while allowing for legitimate local variation in priorities.</w:t>
      </w:r>
    </w:p>
    <w:p w14:paraId="2280F8D1" w14:textId="77777777" w:rsidR="00D22CE3" w:rsidRPr="00F10391" w:rsidRDefault="00D22CE3"/>
    <w:p w14:paraId="48D62904" w14:textId="77777777" w:rsidR="00D22CE3" w:rsidRPr="00F10391" w:rsidRDefault="00D22CE3">
      <w:pPr>
        <w:pStyle w:val="Heading5"/>
        <w:numPr>
          <w:ilvl w:val="4"/>
          <w:numId w:val="37"/>
        </w:numPr>
      </w:pPr>
      <w:bookmarkStart w:id="591" w:name="_Toc441508997"/>
      <w:bookmarkStart w:id="592" w:name="_Toc453235436"/>
      <w:bookmarkStart w:id="593" w:name="_Toc453595509"/>
      <w:bookmarkStart w:id="594" w:name="_Toc476241606"/>
      <w:r w:rsidRPr="00F10391">
        <w:t>5.4.2.1.4</w:t>
      </w:r>
      <w:r w:rsidRPr="00F10391">
        <w:tab/>
        <w:t>Inconclusive evidence</w:t>
      </w:r>
      <w:bookmarkEnd w:id="591"/>
      <w:bookmarkEnd w:id="592"/>
      <w:bookmarkEnd w:id="593"/>
      <w:bookmarkEnd w:id="594"/>
    </w:p>
    <w:p w14:paraId="5AF0560B" w14:textId="38989368" w:rsidR="00D22CE3" w:rsidRPr="00F10391" w:rsidRDefault="00D22CE3">
      <w:r w:rsidRPr="00F10391">
        <w:t xml:space="preserve">Where limited reliable evidence is available, the CPH rely on expert evidence from testimony and expert </w:t>
      </w:r>
      <w:r w:rsidR="001B7ADD">
        <w:t>judgment</w:t>
      </w:r>
      <w:r w:rsidRPr="00F10391">
        <w:t xml:space="preserve"> in the form of deliberation in formulating guidance. There is no formal decision analysis approach used to incorporate these, even though such techniques can result in remarkably accurate results. Figure 5.4 below shows one example, where Saaty asked attendees at a US beverage conference to make a series of pair-wise comparisons as to which drink was more commonly consumed nationally, using AHP </w:t>
      </w:r>
      <w:r w:rsidRPr="00F10391">
        <w:fldChar w:fldCharType="begin"/>
      </w:r>
      <w:r w:rsidR="00700267">
        <w:instrText xml:space="preserve"> ADDIN EN.CITE &lt;EndNote&gt;&lt;Cite&gt;&lt;Author&gt;Saaty&lt;/Author&gt;&lt;Year&gt;2008&lt;/Year&gt;&lt;RecNum&gt;124&lt;/RecNum&gt;&lt;DisplayText&gt;[129]&lt;/DisplayText&gt;&lt;record&gt;&lt;rec-number&gt;124&lt;/rec-number&gt;&lt;foreign-keys&gt;&lt;key app="EN" db-id="sz9092dv2s5fpze9wpgx0zxgv5ar00aezrvf" timestamp="0"&gt;124&lt;/key&gt;&lt;/foreign-keys&gt;&lt;ref-type name="Journal Article"&gt;17&lt;/ref-type&gt;&lt;contributors&gt;&lt;authors&gt;&lt;author&gt;Saaty, Thomas L&lt;/author&gt;&lt;/authors&gt;&lt;/contributors&gt;&lt;titles&gt;&lt;title&gt;Decision making with the analytic hierarchy process&lt;/title&gt;&lt;secondary-title&gt;International journal of services sciences&lt;/secondary-title&gt;&lt;/titles&gt;&lt;pages&gt;83-98&lt;/pages&gt;&lt;volume&gt;1&lt;/volume&gt;&lt;number&gt;1&lt;/number&gt;&lt;dates&gt;&lt;year&gt;2008&lt;/year&gt;&lt;/dates&gt;&lt;isbn&gt;1753-1446&lt;/isbn&gt;&lt;urls&gt;&lt;/urls&gt;&lt;/record&gt;&lt;/Cite&gt;&lt;/EndNote&gt;</w:instrText>
      </w:r>
      <w:r w:rsidRPr="00F10391">
        <w:fldChar w:fldCharType="separate"/>
      </w:r>
      <w:r w:rsidR="00700267">
        <w:rPr>
          <w:noProof/>
        </w:rPr>
        <w:t>[129]</w:t>
      </w:r>
      <w:r w:rsidRPr="00F10391">
        <w:fldChar w:fldCharType="end"/>
      </w:r>
      <w:r w:rsidRPr="00F10391">
        <w:t>. The implied results correspond closely to those of the actual statistical sources, using nothing more than expert knowledge and consensus. It is plausible that in health settings, similar structured approaches could harness the expertise of suitable stakeholders such as PHAC committees and translate these into meaningful quantitative data.</w:t>
      </w:r>
    </w:p>
    <w:p w14:paraId="5121CACC" w14:textId="63B5EE26" w:rsidR="00D22CE3" w:rsidRPr="00F10391" w:rsidRDefault="00D22CE3">
      <w:pPr>
        <w:pStyle w:val="Caption"/>
      </w:pPr>
      <w:bookmarkStart w:id="595" w:name="_Toc476241457"/>
      <w:bookmarkStart w:id="596" w:name="_Toc444180820"/>
      <w:r w:rsidRPr="00F10391">
        <w:t>Figure 5.</w:t>
      </w:r>
      <w:r w:rsidR="000F1034">
        <w:fldChar w:fldCharType="begin"/>
      </w:r>
      <w:r w:rsidR="000F1034">
        <w:instrText xml:space="preserve"> SEQ Figure \* ARABIC \s 1 </w:instrText>
      </w:r>
      <w:r w:rsidR="000F1034">
        <w:fldChar w:fldCharType="separate"/>
      </w:r>
      <w:r w:rsidR="00B37229">
        <w:rPr>
          <w:noProof/>
        </w:rPr>
        <w:t>4</w:t>
      </w:r>
      <w:r w:rsidR="000F1034">
        <w:rPr>
          <w:noProof/>
        </w:rPr>
        <w:fldChar w:fldCharType="end"/>
      </w:r>
      <w:r w:rsidRPr="00F10391">
        <w:t xml:space="preserve"> – Example of how MCDA can be used to derive quantitative results from experts </w:t>
      </w:r>
      <w:r w:rsidRPr="00F10391">
        <w:fldChar w:fldCharType="begin"/>
      </w:r>
      <w:r w:rsidR="00700267">
        <w:instrText xml:space="preserve"> ADDIN EN.CITE &lt;EndNote&gt;&lt;Cite&gt;&lt;Author&gt;Saaty&lt;/Author&gt;&lt;Year&gt;2008&lt;/Year&gt;&lt;RecNum&gt;124&lt;/RecNum&gt;&lt;DisplayText&gt;[129]&lt;/DisplayText&gt;&lt;record&gt;&lt;rec-number&gt;124&lt;/rec-number&gt;&lt;foreign-keys&gt;&lt;key app="EN" db-id="sz9092dv2s5fpze9wpgx0zxgv5ar00aezrvf" timestamp="0"&gt;124&lt;/key&gt;&lt;/foreign-keys&gt;&lt;ref-type name="Journal Article"&gt;17&lt;/ref-type&gt;&lt;contributors&gt;&lt;authors&gt;&lt;author&gt;Saaty, Thomas L&lt;/author&gt;&lt;/authors&gt;&lt;/contributors&gt;&lt;titles&gt;&lt;title&gt;Decision making with the analytic hierarchy process&lt;/title&gt;&lt;secondary-title&gt;International journal of services sciences&lt;/secondary-title&gt;&lt;/titles&gt;&lt;pages&gt;83-98&lt;/pages&gt;&lt;volume&gt;1&lt;/volume&gt;&lt;number&gt;1&lt;/number&gt;&lt;dates&gt;&lt;year&gt;2008&lt;/year&gt;&lt;/dates&gt;&lt;isbn&gt;1753-1446&lt;/isbn&gt;&lt;urls&gt;&lt;/urls&gt;&lt;/record&gt;&lt;/Cite&gt;&lt;/EndNote&gt;</w:instrText>
      </w:r>
      <w:r w:rsidRPr="00F10391">
        <w:fldChar w:fldCharType="separate"/>
      </w:r>
      <w:bookmarkEnd w:id="596"/>
      <w:r w:rsidR="00700267">
        <w:rPr>
          <w:noProof/>
        </w:rPr>
        <w:t>[129]</w:t>
      </w:r>
      <w:bookmarkEnd w:id="595"/>
      <w:r w:rsidRPr="00F10391">
        <w:fldChar w:fldCharType="end"/>
      </w:r>
      <w:r w:rsidRPr="00F10391">
        <w:t xml:space="preserve"> </w:t>
      </w:r>
    </w:p>
    <w:p w14:paraId="186DD60B" w14:textId="77777777" w:rsidR="00D22CE3" w:rsidRPr="00F10391" w:rsidRDefault="00D22CE3">
      <w:r w:rsidRPr="00F10391">
        <w:rPr>
          <w:noProof/>
          <w:lang w:val="en-IE" w:eastAsia="en-IE"/>
        </w:rPr>
        <w:drawing>
          <wp:inline distT="0" distB="0" distL="0" distR="0" wp14:anchorId="45BD4504" wp14:editId="090D9022">
            <wp:extent cx="5725160" cy="3100705"/>
            <wp:effectExtent l="0" t="0" r="889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3100705"/>
                    </a:xfrm>
                    <a:prstGeom prst="rect">
                      <a:avLst/>
                    </a:prstGeom>
                    <a:noFill/>
                    <a:ln>
                      <a:noFill/>
                    </a:ln>
                  </pic:spPr>
                </pic:pic>
              </a:graphicData>
            </a:graphic>
          </wp:inline>
        </w:drawing>
      </w:r>
    </w:p>
    <w:p w14:paraId="48B926FB" w14:textId="77777777" w:rsidR="00D22CE3" w:rsidRPr="00F10391" w:rsidRDefault="00D22CE3">
      <w:r w:rsidRPr="00F10391">
        <w:t xml:space="preserve">Such approaches are not necessarily fool-proof and over-fitting of the limited data is possible, which could lead to spurious conclusions </w:t>
      </w:r>
      <w:r w:rsidRPr="00F10391">
        <w:fldChar w:fldCharType="begin"/>
      </w:r>
      <w:r w:rsidR="00700267">
        <w:instrText xml:space="preserve"> ADDIN EN.CITE &lt;EndNote&gt;&lt;Cite&gt;&lt;Author&gt;Gigerenzer&lt;/Author&gt;&lt;Year&gt;2009&lt;/Year&gt;&lt;RecNum&gt;52&lt;/RecNum&gt;&lt;DisplayText&gt;[325]&lt;/DisplayText&gt;&lt;record&gt;&lt;rec-number&gt;52&lt;/rec-number&gt;&lt;foreign-keys&gt;&lt;key app="EN" db-id="sz9092dv2s5fpze9wpgx0zxgv5ar00aezrvf" timestamp="0"&gt;52&lt;/key&gt;&lt;/foreign-keys&gt;&lt;ref-type name="Journal Article"&gt;17&lt;/ref-type&gt;&lt;contributors&gt;&lt;authors&gt;&lt;author&gt;Gigerenzer, Gerd&lt;/author&gt;&lt;author&gt;Brighton, Henry&lt;/author&gt;&lt;/authors&gt;&lt;/contributors&gt;&lt;titles&gt;&lt;title&gt;Homo heuristicus: Why biased minds make better inferences&lt;/title&gt;&lt;secondary-title&gt;Topics in Cognitive Science&lt;/secondary-title&gt;&lt;/titles&gt;&lt;pages&gt;107-143&lt;/pages&gt;&lt;volume&gt;1&lt;/volume&gt;&lt;number&gt;1&lt;/number&gt;&lt;dates&gt;&lt;year&gt;2009&lt;/year&gt;&lt;/dates&gt;&lt;isbn&gt;1756-8765&lt;/isbn&gt;&lt;urls&gt;&lt;/urls&gt;&lt;/record&gt;&lt;/Cite&gt;&lt;/EndNote&gt;</w:instrText>
      </w:r>
      <w:r w:rsidRPr="00F10391">
        <w:fldChar w:fldCharType="separate"/>
      </w:r>
      <w:r w:rsidR="00700267">
        <w:rPr>
          <w:noProof/>
        </w:rPr>
        <w:t>[325]</w:t>
      </w:r>
      <w:r w:rsidRPr="00F10391">
        <w:fldChar w:fldCharType="end"/>
      </w:r>
      <w:r w:rsidRPr="00F10391">
        <w:t xml:space="preserve">. In such scenarios, satisficing may lead to results that are not just more accurate but that take less time to calculate </w:t>
      </w:r>
      <w:r w:rsidRPr="00F10391">
        <w:fldChar w:fldCharType="begin"/>
      </w:r>
      <w:r w:rsidR="00700267">
        <w:instrText xml:space="preserve"> ADDIN EN.CITE &lt;EndNote&gt;&lt;Cite&gt;&lt;Author&gt;Gigerenzer&lt;/Author&gt;&lt;Year&gt;1996&lt;/Year&gt;&lt;RecNum&gt;53&lt;/RecNum&gt;&lt;DisplayText&gt;[78]&lt;/DisplayText&gt;&lt;record&gt;&lt;rec-number&gt;53&lt;/rec-number&gt;&lt;foreign-keys&gt;&lt;key app="EN" db-id="sz9092dv2s5fpze9wpgx0zxgv5ar00aezrvf" timestamp="0"&gt;53&lt;/key&gt;&lt;/foreign-keys&gt;&lt;ref-type name="Journal Article"&gt;17&lt;/ref-type&gt;&lt;contributors&gt;&lt;authors&gt;&lt;author&gt;Gigerenzer, Gerd&lt;/author&gt;&lt;author&gt;Goldstein, Daniel G&lt;/author&gt;&lt;/authors&gt;&lt;/contributors&gt;&lt;titles&gt;&lt;title&gt;Reasoning the fast and frugal way: models of bounded rationality&lt;/title&gt;&lt;secondary-title&gt;Psychological review&lt;/secondary-title&gt;&lt;/titles&gt;&lt;pages&gt;650&lt;/pages&gt;&lt;volume&gt;103&lt;/volume&gt;&lt;number&gt;4&lt;/number&gt;&lt;dates&gt;&lt;year&gt;1996&lt;/year&gt;&lt;/dates&gt;&lt;isbn&gt;1939-1471&lt;/isbn&gt;&lt;urls&gt;&lt;related-urls&gt;&lt;url&gt;http://psycnet.apa.org/journals/rev/103/4/650/&lt;/url&gt;&lt;/related-urls&gt;&lt;/urls&gt;&lt;/record&gt;&lt;/Cite&gt;&lt;/EndNote&gt;</w:instrText>
      </w:r>
      <w:r w:rsidRPr="00F10391">
        <w:fldChar w:fldCharType="separate"/>
      </w:r>
      <w:r w:rsidR="00700267">
        <w:rPr>
          <w:noProof/>
        </w:rPr>
        <w:t>[78]</w:t>
      </w:r>
      <w:r w:rsidRPr="00F10391">
        <w:fldChar w:fldCharType="end"/>
      </w:r>
      <w:r w:rsidRPr="00F10391">
        <w:t xml:space="preserve">. NICE is not necessarily under immediate time pressure for every decision, some reasonable level of data is generally available (even in public health) and it might be perceived inappropriate to rely solely on expert evidence and intuition to lead to conclusions regardless. But MCDA approaches could play a role in organising and streamlining these discussion processes. </w:t>
      </w:r>
    </w:p>
    <w:p w14:paraId="021953DD" w14:textId="26429A3C" w:rsidR="00D22CE3" w:rsidRPr="00F10391" w:rsidRDefault="001B7ADD">
      <w:r>
        <w:t>Judgment</w:t>
      </w:r>
      <w:r w:rsidR="00D22CE3" w:rsidRPr="00F10391">
        <w:t xml:space="preserve"> is also used at stages throughout the guidance process </w:t>
      </w:r>
      <w:r w:rsidR="00D22CE3"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00D22CE3" w:rsidRPr="00F10391">
        <w:fldChar w:fldCharType="separate"/>
      </w:r>
      <w:r w:rsidR="00700267">
        <w:rPr>
          <w:noProof/>
        </w:rPr>
        <w:t>[237]</w:t>
      </w:r>
      <w:r w:rsidR="00D22CE3" w:rsidRPr="00F10391">
        <w:fldChar w:fldCharType="end"/>
      </w:r>
      <w:r w:rsidR="00D22CE3" w:rsidRPr="00F10391">
        <w:t>, including before health economic modelling results are available. For the time being, it seems wise to avoid using MCDA to facilitate direct comparisons of ICERs vs. other factors. ICERs confound costs and benefits into a single figure and it would likely be less contentious to use MCDA to derive an aggregate score of benefits alone (as in Chapter 7) or to altogether avoid health economic questions (as in Chapter 6). There may be a time to compare ICERs against other factors at some point in future - after all, this is what PHACs do on some level at present during deliberations - but until decision-makers are comfortable using MCDA approaches in less complex settings, it seems needlessly reckless to attempt to apply a prescriptive, mathematical looking approach to a process that currently clearly requires a degree of nuance and careful consideration. How this might (eventually) be approached is discussed in the next section.</w:t>
      </w:r>
    </w:p>
    <w:p w14:paraId="20B2EF3F" w14:textId="77777777" w:rsidR="00D22CE3" w:rsidRPr="00F10391" w:rsidRDefault="00D22CE3"/>
    <w:p w14:paraId="0B9112F1" w14:textId="77777777" w:rsidR="00D22CE3" w:rsidRPr="00F10391" w:rsidRDefault="00D22CE3" w:rsidP="0063065F">
      <w:pPr>
        <w:pStyle w:val="Heading5"/>
        <w:numPr>
          <w:ilvl w:val="4"/>
          <w:numId w:val="37"/>
        </w:numPr>
      </w:pPr>
      <w:bookmarkStart w:id="597" w:name="_Toc441508998"/>
      <w:bookmarkStart w:id="598" w:name="_Toc453235437"/>
      <w:bookmarkStart w:id="599" w:name="_Toc453595510"/>
      <w:bookmarkStart w:id="600" w:name="_Toc476241607"/>
      <w:r w:rsidRPr="00F10391">
        <w:t>5.4.2.1.5</w:t>
      </w:r>
      <w:r w:rsidRPr="00F10391">
        <w:tab/>
        <w:t>Considering the cost-effectiveness threshold</w:t>
      </w:r>
      <w:bookmarkEnd w:id="597"/>
      <w:r w:rsidRPr="00F10391">
        <w:t xml:space="preserve"> as part of the broader decision</w:t>
      </w:r>
      <w:bookmarkEnd w:id="598"/>
      <w:bookmarkEnd w:id="599"/>
      <w:bookmarkEnd w:id="600"/>
    </w:p>
    <w:p w14:paraId="579063DE" w14:textId="77777777" w:rsidR="00D22CE3" w:rsidRPr="00F10391" w:rsidRDefault="00D22CE3" w:rsidP="00494A9A">
      <w:r w:rsidRPr="00F10391">
        <w:t xml:space="preserve">NICE faces extremely challenging decisions for a range of reasons, politically and ethically, incorporating a wide range of conflicts and challenges as well as the balance that needs to be struck between efficiency and other concerns. It is clear from the review in this chapter that multiple criteria are used in the economic modelling stage – and we know from elsewhere that equity is also considered later in the process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So it seems appropriate that in the longer term they move towards using appropriate decision analytic models to better structure these processes where this is deemed necessary. This may be a controversial process, but the current threshold already faces much methodological criticism as seen in the York report on the estimation of the threshold </w:t>
      </w:r>
      <w:r w:rsidRPr="00F10391">
        <w:fldChar w:fldCharType="begin"/>
      </w:r>
      <w:r w:rsidR="00700267">
        <w:instrText xml:space="preserve"> ADDIN EN.CITE &lt;EndNote&gt;&lt;Cite&gt;&lt;Author&gt;Claxton&lt;/Author&gt;&lt;Year&gt;2013&lt;/Year&gt;&lt;RecNum&gt;20&lt;/RecNum&gt;&lt;DisplayText&gt;[236]&lt;/DisplayText&gt;&lt;record&gt;&lt;rec-number&gt;20&lt;/rec-number&gt;&lt;foreign-keys&gt;&lt;key app="EN" db-id="sz9092dv2s5fpze9wpgx0zxgv5ar00aezrvf" timestamp="0"&gt;20&lt;/key&gt;&lt;/foreign-keys&gt;&lt;ref-type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NICE cost effectiveness threshold&lt;/title&gt;&lt;secondary-title&gt;York: University of York&lt;/secondary-title&gt;&lt;/titles&gt;&lt;dates&gt;&lt;year&gt;2013&lt;/year&gt;&lt;/dates&gt;&lt;urls&gt;&lt;/urls&gt;&lt;/record&gt;&lt;/Cite&gt;&lt;/EndNote&gt;</w:instrText>
      </w:r>
      <w:r w:rsidRPr="00F10391">
        <w:fldChar w:fldCharType="separate"/>
      </w:r>
      <w:r w:rsidR="00700267">
        <w:rPr>
          <w:noProof/>
        </w:rPr>
        <w:t>[236]</w:t>
      </w:r>
      <w:r w:rsidRPr="00F10391">
        <w:fldChar w:fldCharType="end"/>
      </w:r>
      <w:r w:rsidRPr="00F10391">
        <w:t xml:space="preserve"> (and this report is controversial </w:t>
      </w:r>
      <w:r w:rsidR="00F10391" w:rsidRPr="00F10391">
        <w:t>itself</w:t>
      </w:r>
      <w:r w:rsidRPr="00F10391">
        <w:t>, as evidenced by the fact that the plenary to discuss it at European ISPOR meeting in 2013 had to be cancelled). But given that the ICER is not the sole criterion of note in all decisions anyway, nuance and careful consideration (and hence some form of deliberation) may always be required.</w:t>
      </w:r>
    </w:p>
    <w:p w14:paraId="59541DF4" w14:textId="77777777" w:rsidR="00D22CE3" w:rsidRPr="00F10391" w:rsidRDefault="00D22CE3" w:rsidP="00494A9A"/>
    <w:p w14:paraId="0B0DFF79" w14:textId="5FEB7585" w:rsidR="00D22CE3" w:rsidRPr="00F10391" w:rsidRDefault="00D22CE3" w:rsidP="00494A9A">
      <w:pPr>
        <w:pStyle w:val="Heading6"/>
        <w:numPr>
          <w:ilvl w:val="5"/>
          <w:numId w:val="37"/>
        </w:numPr>
      </w:pPr>
      <w:r w:rsidRPr="00F10391">
        <w:t xml:space="preserve">Approach 1: Replacement of the QALY with expanded </w:t>
      </w:r>
      <w:r w:rsidR="00C4401A">
        <w:t>‘</w:t>
      </w:r>
      <w:r w:rsidRPr="00F10391">
        <w:t>welfare score</w:t>
      </w:r>
      <w:r w:rsidR="00C4401A">
        <w:t>’</w:t>
      </w:r>
    </w:p>
    <w:p w14:paraId="330E72AA" w14:textId="77777777" w:rsidR="00D22CE3" w:rsidRPr="00F10391" w:rsidRDefault="00D22CE3" w:rsidP="00490B5D">
      <w:r w:rsidRPr="00F10391">
        <w:t xml:space="preserve">One potential approach is formulating a broader MCDA approach to replace the QALY; one which incorporates all relevant concerns and not confined to health alone. This could in principle be used as with the ICER, calculating the total cost-effectiveness of the calculated ‘benefit’. This approach is similar in principle to the STAR approach </w:t>
      </w:r>
      <w:r w:rsidRPr="00F10391">
        <w:fldChar w:fldCharType="begin"/>
      </w:r>
      <w:r w:rsidR="00700267">
        <w:instrText xml:space="preserve"> ADDIN EN.CITE &lt;EndNote&gt;&lt;Cite&gt;&lt;Author&gt;Airoldi&lt;/Author&gt;&lt;Year&gt;2011&lt;/Year&gt;&lt;RecNum&gt;3&lt;/RecNum&gt;&lt;DisplayText&gt;[68, 326]&lt;/DisplayText&gt;&lt;record&gt;&lt;rec-number&gt;3&lt;/rec-number&gt;&lt;foreign-keys&gt;&lt;key app="EN" db-id="sz9092dv2s5fpze9wpgx0zxgv5ar00aezrvf" timestamp="0"&gt;3&lt;/key&gt;&lt;/foreign-keys&gt;&lt;ref-type name="Journal Article"&gt;17&lt;/ref-type&gt;&lt;contributors&gt;&lt;authors&gt;&lt;author&gt;Airoldi, M&lt;/author&gt;&lt;author&gt;Morton, A&lt;/author&gt;&lt;author&gt;Smith, J&lt;/author&gt;&lt;author&gt;Bevan, G&lt;/author&gt;&lt;/authors&gt;&lt;/contributors&gt;&lt;titles&gt;&lt;title&gt;Healthcare prioritisation at the local level: a socio-technical approach&lt;/title&gt;&lt;secondary-title&gt;Priority-setting for Population Health Working Paper Series, Working Paper&lt;/secondary-title&gt;&lt;/titles&gt;&lt;number&gt;7&lt;/number&gt;&lt;dates&gt;&lt;year&gt;2011&lt;/year&gt;&lt;/dates&gt;&lt;urls&gt;&lt;/urls&gt;&lt;/record&gt;&lt;/Cite&gt;&lt;Cite&gt;&lt;Author&gt;Airoldi&lt;/Author&gt;&lt;Year&gt;2014&lt;/Year&gt;&lt;RecNum&gt;319&lt;/RecNum&gt;&lt;record&gt;&lt;rec-number&gt;319&lt;/rec-number&gt;&lt;foreign-keys&gt;&lt;key app="EN" db-id="sz9092dv2s5fpze9wpgx0zxgv5ar00aezrvf" timestamp="0"&gt;319&lt;/key&gt;&lt;/foreign-keys&gt;&lt;ref-type name="Journal Article"&gt;17&lt;/ref-type&gt;&lt;contributors&gt;&lt;authors&gt;&lt;author&gt;Airoldi, Mara&lt;/author&gt;&lt;author&gt;Morton, Alec&lt;/author&gt;&lt;author&gt;Smith, Jenifer AE&lt;/author&gt;&lt;author&gt;Bevan, Gwyn&lt;/author&gt;&lt;/authors&gt;&lt;/contributors&gt;&lt;titles&gt;&lt;title&gt;STAR—People-Powered Prioritization A 21st-Century Solution to Allocation Headaches&lt;/title&gt;&lt;secondary-title&gt;Medical Decision Making&lt;/secondary-title&gt;&lt;/titles&gt;&lt;periodical&gt;&lt;full-title&gt;Medical Decision Making&lt;/full-title&gt;&lt;/periodical&gt;&lt;pages&gt;965-975&lt;/pages&gt;&lt;volume&gt;34&lt;/volume&gt;&lt;number&gt;8&lt;/number&gt;&lt;dates&gt;&lt;year&gt;2014&lt;/year&gt;&lt;/dates&gt;&lt;isbn&gt;0272-989X&lt;/isbn&gt;&lt;urls&gt;&lt;related-urls&gt;&lt;url&gt;http://mdm.sagepub.com/content/34/8/965.full.pdf&lt;/url&gt;&lt;/related-urls&gt;&lt;/urls&gt;&lt;/record&gt;&lt;/Cite&gt;&lt;/EndNote&gt;</w:instrText>
      </w:r>
      <w:r w:rsidRPr="00F10391">
        <w:fldChar w:fldCharType="separate"/>
      </w:r>
      <w:r w:rsidR="00700267">
        <w:rPr>
          <w:noProof/>
        </w:rPr>
        <w:t>[68, 326]</w:t>
      </w:r>
      <w:r w:rsidRPr="00F10391">
        <w:fldChar w:fldCharType="end"/>
      </w:r>
      <w:r w:rsidRPr="00F10391">
        <w:t>,  though much broader in scope (and given that the same approach would be used each time, PHAC members would not be involved in designing it or in deliberating on the model’s findings). Such a ‘super-QALY’ approach would likely be altogether more challenging than the current process in NICE. Attempting to incorporate all relevant information at all levels would establish the approach as effectively a broader-scale start-to-finish MCDA technique to guide the entire process.</w:t>
      </w:r>
    </w:p>
    <w:p w14:paraId="4C51B5F4" w14:textId="77777777" w:rsidR="00D22CE3" w:rsidRPr="00F10391" w:rsidRDefault="00D22CE3" w:rsidP="00490B5D">
      <w:r w:rsidRPr="00F10391">
        <w:t xml:space="preserve">If the current approach is already sometimes seen as being too prescriptive </w:t>
      </w:r>
      <w:r w:rsidRPr="00F10391">
        <w:fldChar w:fldCharType="begin"/>
      </w:r>
      <w:r w:rsidR="00700267">
        <w:instrText xml:space="preserve"> ADDIN EN.CITE &lt;EndNote&gt;&lt;Cite&gt;&lt;Author&gt;Whitehead&lt;/Author&gt;&lt;Year&gt;2010&lt;/Year&gt;&lt;RecNum&gt;272&lt;/RecNum&gt;&lt;DisplayText&gt;[65]&lt;/DisplayText&gt;&lt;record&gt;&lt;rec-number&gt;272&lt;/rec-number&gt;&lt;foreign-keys&gt;&lt;key app="EN" db-id="sz9092dv2s5fpze9wpgx0zxgv5ar00aezrvf" timestamp="0"&gt;272&lt;/key&gt;&lt;/foreign-keys&gt;&lt;ref-type name="Journal Article"&gt;17&lt;/ref-type&gt;&lt;contributors&gt;&lt;authors&gt;&lt;author&gt;Whitehead, Sarah J&lt;/author&gt;&lt;author&gt;Ali, Shehzad&lt;/author&gt;&lt;/authors&gt;&lt;/contributors&gt;&lt;titles&gt;&lt;title&gt;Health outcomes in economic evaluation: the QALY and utilities&lt;/title&gt;&lt;secondary-title&gt;British medical bulletin&lt;/secondary-title&gt;&lt;/titles&gt;&lt;pages&gt;5-21&lt;/pages&gt;&lt;volume&gt;96&lt;/volume&gt;&lt;number&gt;1&lt;/number&gt;&lt;dates&gt;&lt;year&gt;2010&lt;/year&gt;&lt;/dates&gt;&lt;isbn&gt;0007-1420&lt;/isbn&gt;&lt;urls&gt;&lt;/urls&gt;&lt;/record&gt;&lt;/Cite&gt;&lt;/EndNote&gt;</w:instrText>
      </w:r>
      <w:r w:rsidRPr="00F10391">
        <w:fldChar w:fldCharType="separate"/>
      </w:r>
      <w:r w:rsidR="00700267">
        <w:rPr>
          <w:noProof/>
        </w:rPr>
        <w:t>[65]</w:t>
      </w:r>
      <w:r w:rsidRPr="00F10391">
        <w:fldChar w:fldCharType="end"/>
      </w:r>
      <w:r w:rsidRPr="00F10391">
        <w:t xml:space="preserve">, it is very possible that an extended MCDA approach incorporating a super-QALY could be even more at risk of this. In public health in particular it is unlikely that any one-size-fits-all approach is likely to be appropriate given the range of possible issues that might need to be appraised. These issues are not new and have been considered since NICE’s foundation </w:t>
      </w:r>
      <w:r w:rsidRPr="00F10391">
        <w:fldChar w:fldCharType="begin"/>
      </w:r>
      <w:r w:rsidR="00700267">
        <w:instrText xml:space="preserve"> ADDIN EN.CITE &lt;EndNote&gt;&lt;Cite&gt;&lt;Author&gt;Towse A&lt;/Author&gt;&lt;Year&gt;2002&lt;/Year&gt;&lt;RecNum&gt;195&lt;/RecNum&gt;&lt;DisplayText&gt;[327]&lt;/DisplayText&gt;&lt;record&gt;&lt;rec-number&gt;195&lt;/rec-number&gt;&lt;foreign-keys&gt;&lt;key app="EN" db-id="sz9092dv2s5fpze9wpgx0zxgv5ar00aezrvf" timestamp="0"&gt;195&lt;/key&gt;&lt;/foreign-keys&gt;&lt;ref-type name="Book Section"&gt;5&lt;/ref-type&gt;&lt;contributors&gt;&lt;authors&gt;&lt;author&gt;Towse A, Pritchard C   &lt;/author&gt;&lt;/authors&gt;&lt;secondary-authors&gt;&lt;author&gt;Towse A, Pritchard C, Devlin N&lt;/author&gt;&lt;/secondary-authors&gt;&lt;/contributors&gt;&lt;titles&gt;&lt;title&gt;Does NICE have a threshold? An external view. &lt;/title&gt;&lt;secondary-title&gt;Cost-effectiveness thresholds: economic and ethical issues.&lt;/secondary-title&gt;&lt;/titles&gt;&lt;dates&gt;&lt;year&gt;2002&lt;/year&gt;&lt;/dates&gt;&lt;pub-location&gt;London&lt;/pub-location&gt;&lt;publisher&gt;King’s Fund&lt;/publisher&gt;&lt;urls&gt;&lt;/urls&gt;&lt;/record&gt;&lt;/Cite&gt;&lt;/EndNote&gt;</w:instrText>
      </w:r>
      <w:r w:rsidRPr="00F10391">
        <w:fldChar w:fldCharType="separate"/>
      </w:r>
      <w:r w:rsidR="00700267">
        <w:rPr>
          <w:noProof/>
        </w:rPr>
        <w:t>[327]</w:t>
      </w:r>
      <w:r w:rsidRPr="00F10391">
        <w:fldChar w:fldCharType="end"/>
      </w:r>
      <w:r w:rsidRPr="00F10391">
        <w:t>.</w:t>
      </w:r>
    </w:p>
    <w:p w14:paraId="75BE3571" w14:textId="77777777" w:rsidR="00D22CE3" w:rsidRPr="00F10391" w:rsidRDefault="00D22CE3" w:rsidP="006942ED">
      <w:r w:rsidRPr="00F10391">
        <w:t xml:space="preserve">The super-QALY approach would require a </w:t>
      </w:r>
      <w:r w:rsidRPr="00F10391">
        <w:rPr>
          <w:i/>
        </w:rPr>
        <w:t>de novo</w:t>
      </w:r>
      <w:r w:rsidRPr="00F10391">
        <w:t xml:space="preserve"> estimation of the cost-effectiveness threshold (assumedly in terms of this hypothetical total welfare score), which would be a major challenge in and of itself, but which would also likely be hugely controversial once interventions start to be refused reimbursement on this basis. </w:t>
      </w:r>
    </w:p>
    <w:p w14:paraId="1D152E28" w14:textId="77777777" w:rsidR="00D22CE3" w:rsidRPr="00F10391" w:rsidRDefault="00D22CE3">
      <w:r w:rsidRPr="00F10391">
        <w:t xml:space="preserve">The model’s rigid transparency may also pose issues. One of the first notes I took at a PDG meeting was a line from the chair announcing that “Today is an opportunity to ask the questions we can’t write down”. Whether such a statement is a reflection of pragmatism or cause for concern is not immediately clear. However, the discussion process is currently the only approach available in attempting to balance the range of concerns in any given guidance topic. No two such topics are ever exactly the same, particularly in public health, so such deliberation is vital to ensure that all perspectives are considered. Because any proposed super-QALY model could not realistically always capture all factors, deliberation would likely still be required anyway, undermining the perceived advantage of such an approach of being objective. It is possible that the status quo deliberative approach already performs well enough, despite its flaws. It is deeply engrained and would be potentially foolhardy to make such fundamental changes to a system that is seen to broadly work.  </w:t>
      </w:r>
    </w:p>
    <w:p w14:paraId="509882FB" w14:textId="77777777" w:rsidR="00D22CE3" w:rsidRPr="00F10391" w:rsidRDefault="00D22CE3"/>
    <w:p w14:paraId="05E5B7D8" w14:textId="77777777" w:rsidR="00D22CE3" w:rsidRPr="00F10391" w:rsidRDefault="00D22CE3">
      <w:pPr>
        <w:pStyle w:val="Heading6"/>
        <w:numPr>
          <w:ilvl w:val="5"/>
          <w:numId w:val="37"/>
        </w:numPr>
      </w:pPr>
      <w:r w:rsidRPr="00F10391">
        <w:t>Approach 2: Better structuring the deliberation process</w:t>
      </w:r>
    </w:p>
    <w:p w14:paraId="58CA9915" w14:textId="77777777" w:rsidR="00D22CE3" w:rsidRPr="00F10391" w:rsidRDefault="00D22CE3">
      <w:r w:rsidRPr="00F10391">
        <w:t xml:space="preserve">A carefully designed MCDA-type approach could still play a role in informing discussion, even if it should not replace HTA processes for the foreseeable future. CCA may offer a suitable approach for highlighting the opportunity costs of providing ‘more equitable, less cost-effective’ interventions, as suggested by Weatherly et al. </w:t>
      </w:r>
      <w:r w:rsidRPr="00F10391">
        <w:fldChar w:fldCharType="begin"/>
      </w:r>
      <w:r w:rsidR="00700267">
        <w:instrText xml:space="preserve"> ADDIN EN.CITE &lt;EndNote&gt;&lt;Cite&gt;&lt;Author&gt;Weatherly&lt;/Author&gt;&lt;Year&gt;2009&lt;/Year&gt;&lt;RecNum&gt;152&lt;/RecNum&gt;&lt;DisplayText&gt;[105]&lt;/DisplayText&gt;&lt;record&gt;&lt;rec-number&gt;152&lt;/rec-number&gt;&lt;foreign-keys&gt;&lt;key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Cite&gt;&lt;Author&gt;Weatherly&lt;/Author&gt;&lt;Year&gt;2009&lt;/Year&gt;&lt;RecNum&gt;152&lt;/RecNum&gt;&lt;record&gt;&lt;rec-number&gt;152&lt;/rec-number&gt;&lt;foreign-keys&gt;&lt;key app="EN" db-id="sz9092dv2s5fpze9wpgx0zxgv5ar00aezrvf" timestamp="0"&gt;152&lt;/key&gt;&lt;/foreign-keys&gt;&lt;ref-type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lt;/number&gt;&lt;dates&gt;&lt;year&gt;2009&lt;/year&gt;&lt;/dates&gt;&lt;isbn&gt;0168-8510&lt;/isbn&gt;&lt;urls&gt;&lt;/urls&gt;&lt;/record&gt;&lt;/Cite&gt;&lt;/EndNote&gt;</w:instrText>
      </w:r>
      <w:r w:rsidRPr="00F10391">
        <w:fldChar w:fldCharType="separate"/>
      </w:r>
      <w:r w:rsidR="00700267">
        <w:rPr>
          <w:noProof/>
        </w:rPr>
        <w:t>[105]</w:t>
      </w:r>
      <w:r w:rsidRPr="00F10391">
        <w:fldChar w:fldCharType="end"/>
      </w:r>
      <w:r w:rsidRPr="00F10391">
        <w:t xml:space="preserve">. It may also better describe the challenges presented by inter-sectoral effects, which are now made more obvious and relevant than previously due to local government focus. Short term, medium term and long term effects could then be presented simultaneously, so that the local authority can prioritise – or discount costs and benefits – as it sees fit. These may not of course be in line with the previously used reference case, but this is to be expected in allowing local decision-makers control over their own decisions. </w:t>
      </w:r>
    </w:p>
    <w:p w14:paraId="6F5F9CA2" w14:textId="77777777" w:rsidR="00D22CE3" w:rsidRPr="00F10391" w:rsidRDefault="00D22CE3">
      <w:r w:rsidRPr="00F10391">
        <w:t xml:space="preserve">It is worth reiterating that NICE already takes multiple criteria into account in a variety of ways (and itself deviates from the reference case, as seen in this chapter’s review). Health-related quality of life is normally derived from the five criteria used in EQ-5D techniques. The QALY itself is based on both length of- and health-related quality of life. The ICER merges this combined figure with that of cost. Capabilities approaches have been advocated and increasingly used (such as ICECAP, measuring well-being </w:t>
      </w:r>
      <w:r w:rsidRPr="00F10391">
        <w:fldChar w:fldCharType="begin"/>
      </w:r>
      <w:r w:rsidR="00700267">
        <w:instrText xml:space="preserve"> ADDIN EN.CITE &lt;EndNote&gt;&lt;Cite&gt;&lt;Author&gt;Al-Janabi&lt;/Author&gt;&lt;Year&gt;2012&lt;/Year&gt;&lt;RecNum&gt;4&lt;/RecNum&gt;&lt;DisplayText&gt;[328]&lt;/DisplayText&gt;&lt;record&gt;&lt;rec-number&gt;4&lt;/rec-number&gt;&lt;foreign-keys&gt;&lt;key app="EN" db-id="sz9092dv2s5fpze9wpgx0zxgv5ar00aezrvf" timestamp="0"&gt;4&lt;/key&gt;&lt;/foreign-keys&gt;&lt;ref-type name="Journal Article"&gt;17&lt;/ref-type&gt;&lt;contributors&gt;&lt;authors&gt;&lt;author&gt;Al-Janabi, Hareth&lt;/author&gt;&lt;author&gt;Flynn, Terry N&lt;/author&gt;&lt;author&gt;Coast, Joanna&lt;/author&gt;&lt;/authors&gt;&lt;/contributors&gt;&lt;titles&gt;&lt;title&gt;Development of a self-report measure of capability wellbeing for adults: the ICECAP-A&lt;/title&gt;&lt;secondary-title&gt;Quality of Life Research&lt;/secondary-title&gt;&lt;/titles&gt;&lt;pages&gt;167-176&lt;/pages&gt;&lt;volume&gt;21&lt;/volume&gt;&lt;number&gt;1&lt;/number&gt;&lt;dates&gt;&lt;year&gt;2012&lt;/year&gt;&lt;/dates&gt;&lt;isbn&gt;0962-9343&lt;/isbn&gt;&lt;urls&gt;&lt;related-urls&gt;&lt;url&gt;http://www.ncbi.nlm.nih.gov/pmc/articles/PMC3254872/pdf/11136_2011_Article_9927.pdf&lt;/url&gt;&lt;/related-urls&gt;&lt;/urls&gt;&lt;/record&gt;&lt;/Cite&gt;&lt;/EndNote&gt;</w:instrText>
      </w:r>
      <w:r w:rsidRPr="00F10391">
        <w:fldChar w:fldCharType="separate"/>
      </w:r>
      <w:r w:rsidR="00700267">
        <w:rPr>
          <w:noProof/>
        </w:rPr>
        <w:t>[328]</w:t>
      </w:r>
      <w:r w:rsidRPr="00F10391">
        <w:fldChar w:fldCharType="end"/>
      </w:r>
      <w:r w:rsidRPr="00F10391">
        <w:t xml:space="preserve">). The deliberative process allows for more qualitative concerns to be taken into account. However, none of these is an MCDA technique in the conventional sense, which share a range of necessary steps outlined in Chapter 2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Some of these are already used in the public health decision-making process, which are shown in Table 5.3. Others are not yet carried out formally.</w:t>
      </w:r>
      <w:r w:rsidRPr="00F10391">
        <w:rPr>
          <w:sz w:val="18"/>
          <w:szCs w:val="18"/>
        </w:rPr>
        <w:t xml:space="preserve"> </w:t>
      </w:r>
    </w:p>
    <w:p w14:paraId="4208E32B" w14:textId="3FF09EE2" w:rsidR="00D22CE3" w:rsidRPr="00F10391" w:rsidRDefault="000127DD">
      <w:pPr>
        <w:pStyle w:val="Caption"/>
      </w:pPr>
      <w:bookmarkStart w:id="601" w:name="_Toc476241432"/>
      <w:bookmarkStart w:id="602" w:name="_Toc304643504"/>
      <w:bookmarkStart w:id="603" w:name="_Toc444180796"/>
      <w:r w:rsidRPr="00F10391">
        <w:t>Table 5.</w:t>
      </w:r>
      <w:r w:rsidR="000F1034">
        <w:fldChar w:fldCharType="begin"/>
      </w:r>
      <w:r w:rsidR="000F1034">
        <w:instrText xml:space="preserve"> SEQ Table \* ARABIC \s 1 </w:instrText>
      </w:r>
      <w:r w:rsidR="000F1034">
        <w:fldChar w:fldCharType="separate"/>
      </w:r>
      <w:r w:rsidR="00B37229">
        <w:rPr>
          <w:noProof/>
        </w:rPr>
        <w:t>3</w:t>
      </w:r>
      <w:r w:rsidR="000F1034">
        <w:rPr>
          <w:noProof/>
        </w:rPr>
        <w:fldChar w:fldCharType="end"/>
      </w:r>
      <w:r w:rsidR="00D22CE3" w:rsidRPr="00F10391">
        <w:t xml:space="preserve"> – Formal stages required in MCDA approaches </w:t>
      </w:r>
      <w:r w:rsidR="00D22CE3"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00D22CE3" w:rsidRPr="00F10391">
        <w:fldChar w:fldCharType="separate"/>
      </w:r>
      <w:bookmarkEnd w:id="602"/>
      <w:bookmarkEnd w:id="603"/>
      <w:r w:rsidR="00700267">
        <w:rPr>
          <w:noProof/>
        </w:rPr>
        <w:t>[125]</w:t>
      </w:r>
      <w:bookmarkEnd w:id="601"/>
      <w:r w:rsidR="00D22CE3" w:rsidRPr="00F10391">
        <w:fldChar w:fldCharType="end"/>
      </w:r>
      <w:r w:rsidR="00D22CE3" w:rsidRPr="00F10391">
        <w:t xml:space="preserve"> </w:t>
      </w:r>
    </w:p>
    <w:p w14:paraId="69FFCD3F" w14:textId="77777777" w:rsidR="00D22CE3" w:rsidRPr="00F10391" w:rsidRDefault="00D22CE3">
      <w:r w:rsidRPr="00F10391">
        <w:rPr>
          <w:noProof/>
          <w:lang w:val="en-IE" w:eastAsia="en-IE"/>
        </w:rPr>
        <w:drawing>
          <wp:inline distT="0" distB="0" distL="0" distR="0" wp14:anchorId="685F2E7B" wp14:editId="2687257D">
            <wp:extent cx="5271770" cy="323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1770" cy="3235960"/>
                    </a:xfrm>
                    <a:prstGeom prst="rect">
                      <a:avLst/>
                    </a:prstGeom>
                    <a:noFill/>
                    <a:ln>
                      <a:noFill/>
                    </a:ln>
                  </pic:spPr>
                </pic:pic>
              </a:graphicData>
            </a:graphic>
          </wp:inline>
        </w:drawing>
      </w:r>
    </w:p>
    <w:p w14:paraId="1571E7EB" w14:textId="77777777" w:rsidR="00D22CE3" w:rsidRPr="00F10391" w:rsidRDefault="00D22CE3">
      <w:r w:rsidRPr="00F10391">
        <w:t xml:space="preserve">CCA use in NICE settings has been advocated for, for some time </w:t>
      </w:r>
      <w:r w:rsidRPr="00F10391">
        <w:fldChar w:fldCharType="begin"/>
      </w:r>
      <w:r w:rsidR="00700267">
        <w:instrText xml:space="preserve"> ADDIN EN.CITE &lt;EndNote&gt;&lt;Cite&gt;&lt;Author&gt;Coast&lt;/Author&gt;&lt;Year&gt;2004&lt;/Year&gt;&lt;RecNum&gt;2&lt;/RecNum&gt;&lt;DisplayText&gt;[82]&lt;/DisplayText&gt;&lt;record&gt;&lt;rec-number&gt;2&lt;/rec-number&gt;&lt;foreign-keys&gt;&lt;key app="EN" db-id="sz9092dv2s5fpze9wpgx0zxgv5ar00aezrvf" timestamp="0"&gt;2&lt;/key&gt;&lt;/foreign-keys&gt;&lt;ref-type name="Journal Article"&gt;17&lt;/ref-type&gt;&lt;contributors&gt;&lt;authors&gt;&lt;author&gt;Coast, Joanna&lt;/author&gt;&lt;/authors&gt;&lt;/contributors&gt;&lt;titles&gt;&lt;title&gt;Is economic evaluation in touch with society&amp;apos;s health values?&lt;/title&gt;&lt;secondary-title&gt;BMJ: British Medical Journal&lt;/secondary-title&gt;&lt;/titles&gt;&lt;pages&gt;1233&lt;/pages&gt;&lt;volume&gt;329&lt;/volume&gt;&lt;number&gt;7476&lt;/number&gt;&lt;dates&gt;&lt;year&gt;2004&lt;/year&gt;&lt;/dates&gt;&lt;urls&gt;&lt;related-urls&gt;&lt;url&gt;http://www.ncbi.nlm.nih.gov/pmc/articles/PMC529373/pdf/bmj32901233.pdf&lt;/url&gt;&lt;/related-urls&gt;&lt;/urls&gt;&lt;/record&gt;&lt;/Cite&gt;&lt;/EndNote&gt;</w:instrText>
      </w:r>
      <w:r w:rsidRPr="00F10391">
        <w:fldChar w:fldCharType="separate"/>
      </w:r>
      <w:r w:rsidR="00700267">
        <w:rPr>
          <w:noProof/>
        </w:rPr>
        <w:t>[82]</w:t>
      </w:r>
      <w:r w:rsidRPr="00F10391">
        <w:fldChar w:fldCharType="end"/>
      </w:r>
      <w:r w:rsidRPr="00F10391">
        <w:t xml:space="preserve">. The 2012 methods manual outlined a series of steps that appear to have been designed to allow CCA criteria to be combined into a more formal MCDA approach. </w:t>
      </w:r>
    </w:p>
    <w:p w14:paraId="4DDAE9C7" w14:textId="45D3FF38" w:rsidR="00D22CE3" w:rsidRPr="00F10391" w:rsidRDefault="00D22CE3">
      <w:pPr>
        <w:ind w:left="720"/>
      </w:pPr>
      <w:r w:rsidRPr="00F10391">
        <w:t xml:space="preserve">“NICE committees should ensure that, where possible, the different sets of consequences do not double count costs or benefits. The way that the sets of consequences have been implicitly weighted should be recorded as openly, transparently and as accurately as possible. CCA then requires the decision-maker to decide which interventions represent the best value, preferably using [a] systematic and transparent process. Various tools are available to support this part of the process”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w:t>
      </w:r>
      <w:r w:rsidR="008533CC">
        <w:t>p.</w:t>
      </w:r>
      <w:r w:rsidRPr="00F10391">
        <w:t>118)</w:t>
      </w:r>
      <w:r w:rsidR="00EF7608">
        <w:t>.</w:t>
      </w:r>
    </w:p>
    <w:p w14:paraId="6247551A" w14:textId="77777777" w:rsidR="00D22CE3" w:rsidRPr="00F10391" w:rsidRDefault="00D22CE3" w:rsidP="00494A9A">
      <w:r w:rsidRPr="00F10391">
        <w:t xml:space="preserve">These “various tools” seem to most obviously relate to MCDA techniques, which almost by definition are approaches for combining criteria in this way. As previously discussed, each MCDA method has its own advantages and disadvantages. Some structure direct trade-offs while others simply highlight better choices (or remove dominated options). Various levels of MCDA-derived approaches could play a role in informing decision-makers (though not all would fit into this thesis’ definition of MCDA techniques). </w:t>
      </w:r>
    </w:p>
    <w:p w14:paraId="6598B02B" w14:textId="77777777" w:rsidR="00D22CE3" w:rsidRPr="00F10391" w:rsidRDefault="00D22CE3" w:rsidP="00494A9A">
      <w:r w:rsidRPr="00F10391">
        <w:t xml:space="preserve">CCA-derived techniques that eschew weighting are effectively equivalent to performance matrices and could be useful in ensuring that decision-makers are fully informed on the range of consequences likely to occur for each decision. A simple example is shown in Table 5.4, with criteria representing the benefits arising from each intervention. These have been normalised to indicate to decision-makers their effects more clearly. These benefits could be considered in aggregate and compared against the cost of each intervention. For certain decisions, this could highlight dominated options, ensuring that common sense decisions are chosen. In others, even without explicit weighting, it may be clear to decision-makers that one intervention performs much better on all key criteria and hence indicating a clear preferred choice (even without formal dominance). </w:t>
      </w:r>
    </w:p>
    <w:p w14:paraId="2DAB46C7" w14:textId="15A25A1F" w:rsidR="00D22CE3" w:rsidRPr="00F10391" w:rsidRDefault="000127DD" w:rsidP="00490B5D">
      <w:pPr>
        <w:pStyle w:val="Caption"/>
      </w:pPr>
      <w:bookmarkStart w:id="604" w:name="_Toc476241433"/>
      <w:r w:rsidRPr="00F10391">
        <w:t>Table 5</w:t>
      </w:r>
      <w:r w:rsidR="000E04E1" w:rsidRPr="00F10391">
        <w:t>.</w:t>
      </w:r>
      <w:r w:rsidR="000F1034">
        <w:fldChar w:fldCharType="begin"/>
      </w:r>
      <w:r w:rsidR="000F1034">
        <w:instrText xml:space="preserve"> SEQ Table \* ARABIC \s 1 </w:instrText>
      </w:r>
      <w:r w:rsidR="000F1034">
        <w:fldChar w:fldCharType="separate"/>
      </w:r>
      <w:r w:rsidR="00B37229">
        <w:rPr>
          <w:noProof/>
        </w:rPr>
        <w:t>4</w:t>
      </w:r>
      <w:r w:rsidR="000F1034">
        <w:rPr>
          <w:noProof/>
        </w:rPr>
        <w:fldChar w:fldCharType="end"/>
      </w:r>
      <w:r w:rsidR="00D22CE3" w:rsidRPr="00F10391">
        <w:t xml:space="preserve"> - An example normalised CCA-style performance matrix</w:t>
      </w:r>
      <w:bookmarkEnd w:id="604"/>
    </w:p>
    <w:tbl>
      <w:tblPr>
        <w:tblStyle w:val="LightShading1"/>
        <w:tblW w:w="8778" w:type="dxa"/>
        <w:tblLook w:val="04A0" w:firstRow="1" w:lastRow="0" w:firstColumn="1" w:lastColumn="0" w:noHBand="0" w:noVBand="1"/>
      </w:tblPr>
      <w:tblGrid>
        <w:gridCol w:w="1747"/>
        <w:gridCol w:w="2304"/>
        <w:gridCol w:w="1762"/>
        <w:gridCol w:w="2303"/>
        <w:gridCol w:w="705"/>
      </w:tblGrid>
      <w:tr w:rsidR="00D22CE3" w:rsidRPr="00F10391" w14:paraId="79122044" w14:textId="77777777" w:rsidTr="00D22C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7" w:type="dxa"/>
            <w:tcBorders>
              <w:bottom w:val="nil"/>
            </w:tcBorders>
            <w:noWrap/>
            <w:hideMark/>
          </w:tcPr>
          <w:p w14:paraId="1EC6FC03" w14:textId="77777777" w:rsidR="00D22CE3" w:rsidRPr="00F10391" w:rsidRDefault="00D22CE3" w:rsidP="00490B5D"/>
        </w:tc>
        <w:tc>
          <w:tcPr>
            <w:tcW w:w="2304" w:type="dxa"/>
            <w:tcBorders>
              <w:right w:val="dashed" w:sz="4" w:space="0" w:color="auto"/>
            </w:tcBorders>
            <w:noWrap/>
            <w:hideMark/>
          </w:tcPr>
          <w:p w14:paraId="52BED003" w14:textId="77777777" w:rsidR="00D22CE3" w:rsidRPr="00F10391" w:rsidRDefault="00D22CE3" w:rsidP="0063065F">
            <w:pPr>
              <w:cnfStyle w:val="100000000000" w:firstRow="1" w:lastRow="0" w:firstColumn="0" w:lastColumn="0" w:oddVBand="0" w:evenVBand="0" w:oddHBand="0" w:evenHBand="0" w:firstRowFirstColumn="0" w:firstRowLastColumn="0" w:lastRowFirstColumn="0" w:lastRowLastColumn="0"/>
              <w:rPr>
                <w:lang w:eastAsia="en-IE"/>
              </w:rPr>
            </w:pPr>
            <w:r w:rsidRPr="00F10391">
              <w:rPr>
                <w:lang w:eastAsia="en-IE"/>
              </w:rPr>
              <w:t>Health</w:t>
            </w:r>
          </w:p>
        </w:tc>
        <w:tc>
          <w:tcPr>
            <w:tcW w:w="4065" w:type="dxa"/>
            <w:gridSpan w:val="2"/>
            <w:tcBorders>
              <w:left w:val="dashed" w:sz="4" w:space="0" w:color="auto"/>
              <w:bottom w:val="single" w:sz="4" w:space="0" w:color="auto"/>
            </w:tcBorders>
            <w:noWrap/>
            <w:hideMark/>
          </w:tcPr>
          <w:p w14:paraId="7D3EE385" w14:textId="77777777" w:rsidR="00D22CE3" w:rsidRPr="00F10391" w:rsidRDefault="00D22CE3" w:rsidP="0063065F">
            <w:pPr>
              <w:cnfStyle w:val="100000000000" w:firstRow="1" w:lastRow="0" w:firstColumn="0" w:lastColumn="0" w:oddVBand="0" w:evenVBand="0" w:oddHBand="0" w:evenHBand="0" w:firstRowFirstColumn="0" w:firstRowLastColumn="0" w:lastRowFirstColumn="0" w:lastRowLastColumn="0"/>
              <w:rPr>
                <w:lang w:eastAsia="en-IE"/>
              </w:rPr>
            </w:pPr>
            <w:r w:rsidRPr="00F10391">
              <w:rPr>
                <w:lang w:eastAsia="en-IE"/>
              </w:rPr>
              <w:t>Non-health</w:t>
            </w:r>
          </w:p>
        </w:tc>
        <w:tc>
          <w:tcPr>
            <w:tcW w:w="662" w:type="dxa"/>
            <w:vMerge w:val="restart"/>
            <w:tcBorders>
              <w:left w:val="doubleWave" w:sz="6" w:space="0" w:color="auto"/>
              <w:bottom w:val="double" w:sz="4" w:space="0" w:color="auto"/>
            </w:tcBorders>
            <w:vAlign w:val="center"/>
            <w:hideMark/>
          </w:tcPr>
          <w:p w14:paraId="70AB5CC0" w14:textId="77777777" w:rsidR="00D22CE3" w:rsidRPr="00F10391" w:rsidRDefault="00D22CE3" w:rsidP="0063065F">
            <w:pPr>
              <w:cnfStyle w:val="100000000000" w:firstRow="1" w:lastRow="0" w:firstColumn="0" w:lastColumn="0" w:oddVBand="0" w:evenVBand="0" w:oddHBand="0" w:evenHBand="0" w:firstRowFirstColumn="0" w:firstRowLastColumn="0" w:lastRowFirstColumn="0" w:lastRowLastColumn="0"/>
              <w:rPr>
                <w:lang w:eastAsia="en-IE"/>
              </w:rPr>
            </w:pPr>
            <w:r w:rsidRPr="00F10391">
              <w:rPr>
                <w:lang w:eastAsia="en-IE"/>
              </w:rPr>
              <w:t>Cost</w:t>
            </w:r>
          </w:p>
        </w:tc>
      </w:tr>
      <w:tr w:rsidR="00D22CE3" w:rsidRPr="00F10391" w14:paraId="02DA1EE7" w14:textId="77777777" w:rsidTr="00D22C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7" w:type="dxa"/>
            <w:tcBorders>
              <w:top w:val="nil"/>
              <w:bottom w:val="double" w:sz="4" w:space="0" w:color="auto"/>
            </w:tcBorders>
            <w:noWrap/>
            <w:hideMark/>
          </w:tcPr>
          <w:p w14:paraId="476CCDE8" w14:textId="77777777" w:rsidR="00D22CE3" w:rsidRPr="00F10391" w:rsidRDefault="00D22CE3" w:rsidP="00494A9A">
            <w:pPr>
              <w:rPr>
                <w:lang w:eastAsia="en-IE"/>
              </w:rPr>
            </w:pPr>
          </w:p>
        </w:tc>
        <w:tc>
          <w:tcPr>
            <w:tcW w:w="2304" w:type="dxa"/>
            <w:tcBorders>
              <w:top w:val="nil"/>
              <w:bottom w:val="double" w:sz="4" w:space="0" w:color="auto"/>
              <w:right w:val="dashed" w:sz="4" w:space="0" w:color="auto"/>
            </w:tcBorders>
            <w:noWrap/>
            <w:hideMark/>
          </w:tcPr>
          <w:p w14:paraId="34242B34"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Cumulative QALYs gained</w:t>
            </w:r>
          </w:p>
        </w:tc>
        <w:tc>
          <w:tcPr>
            <w:tcW w:w="1762" w:type="dxa"/>
            <w:tcBorders>
              <w:top w:val="single" w:sz="4" w:space="0" w:color="auto"/>
              <w:left w:val="dashed" w:sz="4" w:space="0" w:color="auto"/>
              <w:bottom w:val="double" w:sz="4" w:space="0" w:color="auto"/>
            </w:tcBorders>
            <w:noWrap/>
            <w:hideMark/>
          </w:tcPr>
          <w:p w14:paraId="6A9A2F46"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Equity impact</w:t>
            </w:r>
          </w:p>
        </w:tc>
        <w:tc>
          <w:tcPr>
            <w:tcW w:w="2303" w:type="dxa"/>
            <w:tcBorders>
              <w:top w:val="single" w:sz="4" w:space="0" w:color="auto"/>
              <w:bottom w:val="double" w:sz="4" w:space="0" w:color="auto"/>
              <w:right w:val="dashed" w:sz="4" w:space="0" w:color="auto"/>
            </w:tcBorders>
            <w:noWrap/>
            <w:hideMark/>
          </w:tcPr>
          <w:p w14:paraId="381471EA"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Cumulative educational impact</w:t>
            </w:r>
          </w:p>
        </w:tc>
        <w:tc>
          <w:tcPr>
            <w:tcW w:w="0" w:type="auto"/>
            <w:vMerge/>
            <w:tcBorders>
              <w:top w:val="single" w:sz="8" w:space="0" w:color="000000"/>
              <w:left w:val="doubleWave" w:sz="6" w:space="0" w:color="auto"/>
              <w:bottom w:val="double" w:sz="4" w:space="0" w:color="auto"/>
            </w:tcBorders>
            <w:vAlign w:val="center"/>
            <w:hideMark/>
          </w:tcPr>
          <w:p w14:paraId="0362DD8D"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p>
        </w:tc>
      </w:tr>
      <w:tr w:rsidR="00D22CE3" w:rsidRPr="00F10391" w14:paraId="20714298" w14:textId="77777777" w:rsidTr="00D22CE3">
        <w:trPr>
          <w:trHeight w:val="300"/>
        </w:trPr>
        <w:tc>
          <w:tcPr>
            <w:cnfStyle w:val="001000000000" w:firstRow="0" w:lastRow="0" w:firstColumn="1" w:lastColumn="0" w:oddVBand="0" w:evenVBand="0" w:oddHBand="0" w:evenHBand="0" w:firstRowFirstColumn="0" w:firstRowLastColumn="0" w:lastRowFirstColumn="0" w:lastRowLastColumn="0"/>
            <w:tcW w:w="1747" w:type="dxa"/>
            <w:tcBorders>
              <w:top w:val="double" w:sz="4" w:space="0" w:color="auto"/>
              <w:left w:val="nil"/>
              <w:bottom w:val="nil"/>
              <w:right w:val="nil"/>
            </w:tcBorders>
            <w:noWrap/>
            <w:hideMark/>
          </w:tcPr>
          <w:p w14:paraId="04E02BA2" w14:textId="77777777" w:rsidR="00D22CE3" w:rsidRPr="00F10391" w:rsidRDefault="00D22CE3" w:rsidP="0063065F">
            <w:pPr>
              <w:rPr>
                <w:lang w:eastAsia="en-IE"/>
              </w:rPr>
            </w:pPr>
            <w:r w:rsidRPr="00F10391">
              <w:rPr>
                <w:lang w:eastAsia="en-IE"/>
              </w:rPr>
              <w:t>Intervention A</w:t>
            </w:r>
          </w:p>
        </w:tc>
        <w:tc>
          <w:tcPr>
            <w:tcW w:w="2304" w:type="dxa"/>
            <w:tcBorders>
              <w:top w:val="double" w:sz="4" w:space="0" w:color="auto"/>
              <w:left w:val="nil"/>
              <w:bottom w:val="nil"/>
              <w:right w:val="dashed" w:sz="4" w:space="0" w:color="auto"/>
            </w:tcBorders>
            <w:noWrap/>
            <w:hideMark/>
          </w:tcPr>
          <w:p w14:paraId="26F6A3AC" w14:textId="77777777" w:rsidR="00D22CE3" w:rsidRPr="00F10391" w:rsidRDefault="00D22CE3" w:rsidP="0063065F">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100</w:t>
            </w:r>
          </w:p>
        </w:tc>
        <w:tc>
          <w:tcPr>
            <w:tcW w:w="1762" w:type="dxa"/>
            <w:tcBorders>
              <w:top w:val="double" w:sz="4" w:space="0" w:color="auto"/>
              <w:left w:val="dashed" w:sz="4" w:space="0" w:color="auto"/>
              <w:bottom w:val="nil"/>
              <w:right w:val="nil"/>
            </w:tcBorders>
            <w:noWrap/>
            <w:hideMark/>
          </w:tcPr>
          <w:p w14:paraId="5EF1C255" w14:textId="77777777" w:rsidR="00D22CE3" w:rsidRPr="00F10391" w:rsidRDefault="00D22CE3" w:rsidP="0063065F">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10</w:t>
            </w:r>
          </w:p>
        </w:tc>
        <w:tc>
          <w:tcPr>
            <w:tcW w:w="2303" w:type="dxa"/>
            <w:tcBorders>
              <w:top w:val="double" w:sz="4" w:space="0" w:color="auto"/>
              <w:left w:val="nil"/>
              <w:bottom w:val="nil"/>
              <w:right w:val="dashed" w:sz="4" w:space="0" w:color="auto"/>
            </w:tcBorders>
            <w:noWrap/>
            <w:hideMark/>
          </w:tcPr>
          <w:p w14:paraId="7BB9250F" w14:textId="77777777" w:rsidR="00D22CE3" w:rsidRPr="00F10391" w:rsidRDefault="00D22CE3" w:rsidP="0063065F">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100</w:t>
            </w:r>
          </w:p>
        </w:tc>
        <w:tc>
          <w:tcPr>
            <w:tcW w:w="662" w:type="dxa"/>
            <w:tcBorders>
              <w:top w:val="double" w:sz="4" w:space="0" w:color="auto"/>
              <w:left w:val="doubleWave" w:sz="6" w:space="0" w:color="auto"/>
              <w:bottom w:val="nil"/>
              <w:right w:val="nil"/>
            </w:tcBorders>
            <w:hideMark/>
          </w:tcPr>
          <w:p w14:paraId="08CFA172" w14:textId="77777777" w:rsidR="00D22CE3" w:rsidRPr="00F10391" w:rsidRDefault="00D22CE3" w:rsidP="0063065F">
            <w:pPr>
              <w:cnfStyle w:val="000000000000" w:firstRow="0" w:lastRow="0" w:firstColumn="0" w:lastColumn="0" w:oddVBand="0" w:evenVBand="0" w:oddHBand="0" w:evenHBand="0" w:firstRowFirstColumn="0" w:firstRowLastColumn="0" w:lastRowFirstColumn="0" w:lastRowLastColumn="0"/>
              <w:rPr>
                <w:lang w:eastAsia="en-IE"/>
              </w:rPr>
            </w:pPr>
            <w:r w:rsidRPr="00F10391">
              <w:rPr>
                <w:lang w:eastAsia="en-IE"/>
              </w:rPr>
              <w:t>90</w:t>
            </w:r>
          </w:p>
        </w:tc>
      </w:tr>
      <w:tr w:rsidR="00D22CE3" w:rsidRPr="00F10391" w14:paraId="378F14B7" w14:textId="77777777" w:rsidTr="00D22C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7" w:type="dxa"/>
            <w:tcBorders>
              <w:top w:val="nil"/>
              <w:bottom w:val="single" w:sz="8" w:space="0" w:color="000000"/>
            </w:tcBorders>
            <w:noWrap/>
            <w:hideMark/>
          </w:tcPr>
          <w:p w14:paraId="34149331" w14:textId="77777777" w:rsidR="00D22CE3" w:rsidRPr="00F10391" w:rsidRDefault="00D22CE3" w:rsidP="0063065F">
            <w:pPr>
              <w:rPr>
                <w:lang w:eastAsia="en-IE"/>
              </w:rPr>
            </w:pPr>
            <w:r w:rsidRPr="00F10391">
              <w:rPr>
                <w:lang w:eastAsia="en-IE"/>
              </w:rPr>
              <w:t>Intervention B</w:t>
            </w:r>
          </w:p>
        </w:tc>
        <w:tc>
          <w:tcPr>
            <w:tcW w:w="2304" w:type="dxa"/>
            <w:tcBorders>
              <w:top w:val="nil"/>
              <w:bottom w:val="single" w:sz="8" w:space="0" w:color="000000"/>
              <w:right w:val="dashed" w:sz="4" w:space="0" w:color="auto"/>
            </w:tcBorders>
            <w:noWrap/>
            <w:hideMark/>
          </w:tcPr>
          <w:p w14:paraId="145F8DB4"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95</w:t>
            </w:r>
          </w:p>
        </w:tc>
        <w:tc>
          <w:tcPr>
            <w:tcW w:w="1762" w:type="dxa"/>
            <w:tcBorders>
              <w:top w:val="nil"/>
              <w:left w:val="dashed" w:sz="4" w:space="0" w:color="auto"/>
              <w:bottom w:val="single" w:sz="8" w:space="0" w:color="000000"/>
            </w:tcBorders>
            <w:noWrap/>
            <w:hideMark/>
          </w:tcPr>
          <w:p w14:paraId="30CBF022"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100</w:t>
            </w:r>
          </w:p>
        </w:tc>
        <w:tc>
          <w:tcPr>
            <w:tcW w:w="2303" w:type="dxa"/>
            <w:tcBorders>
              <w:top w:val="nil"/>
              <w:bottom w:val="single" w:sz="8" w:space="0" w:color="000000"/>
              <w:right w:val="dashed" w:sz="4" w:space="0" w:color="auto"/>
            </w:tcBorders>
            <w:noWrap/>
            <w:hideMark/>
          </w:tcPr>
          <w:p w14:paraId="1AC8159B"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80</w:t>
            </w:r>
          </w:p>
        </w:tc>
        <w:tc>
          <w:tcPr>
            <w:tcW w:w="662" w:type="dxa"/>
            <w:tcBorders>
              <w:top w:val="nil"/>
              <w:left w:val="doubleWave" w:sz="6" w:space="0" w:color="auto"/>
              <w:bottom w:val="single" w:sz="8" w:space="0" w:color="000000"/>
            </w:tcBorders>
            <w:hideMark/>
          </w:tcPr>
          <w:p w14:paraId="08F19934" w14:textId="77777777" w:rsidR="00D22CE3" w:rsidRPr="00F10391" w:rsidRDefault="00D22CE3" w:rsidP="0063065F">
            <w:pPr>
              <w:cnfStyle w:val="000000100000" w:firstRow="0" w:lastRow="0" w:firstColumn="0" w:lastColumn="0" w:oddVBand="0" w:evenVBand="0" w:oddHBand="1" w:evenHBand="0" w:firstRowFirstColumn="0" w:firstRowLastColumn="0" w:lastRowFirstColumn="0" w:lastRowLastColumn="0"/>
              <w:rPr>
                <w:lang w:eastAsia="en-IE"/>
              </w:rPr>
            </w:pPr>
            <w:r w:rsidRPr="00F10391">
              <w:rPr>
                <w:lang w:eastAsia="en-IE"/>
              </w:rPr>
              <w:t>100</w:t>
            </w:r>
          </w:p>
        </w:tc>
      </w:tr>
    </w:tbl>
    <w:p w14:paraId="071A8C7F" w14:textId="77777777" w:rsidR="00D22CE3" w:rsidRPr="00F10391" w:rsidRDefault="00D22CE3" w:rsidP="00494A9A"/>
    <w:p w14:paraId="208C99B6" w14:textId="77777777" w:rsidR="00D22CE3" w:rsidRPr="00F10391" w:rsidRDefault="00D22CE3" w:rsidP="00494A9A">
      <w:r w:rsidRPr="00F10391">
        <w:t xml:space="preserve">The 2012 methods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stated that CCA had been previously used “implicitly” for trade-offs between cost-effectiveness and equity (and other concerns) at other stages of the guideline development process, but has since been adopted more formally. Even within the economic modelling stage, a type of pseudo-CCA was used in</w:t>
      </w:r>
      <w:r w:rsidRPr="00F10391">
        <w:rPr>
          <w:color w:val="000000"/>
          <w:sz w:val="16"/>
          <w:szCs w:val="16"/>
        </w:rPr>
        <w:t xml:space="preserve"> </w:t>
      </w:r>
      <w:r w:rsidRPr="00F10391">
        <w:rPr>
          <w:i/>
        </w:rPr>
        <w:t>Alcohol-use disorders – preventing harmful drinking</w:t>
      </w:r>
      <w:r w:rsidRPr="00F10391">
        <w:t xml:space="preserve"> (PH24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The first time it was used more formally was in PH44 </w:t>
      </w:r>
      <w:r w:rsidRPr="00F10391">
        <w:fldChar w:fldCharType="begin"/>
      </w:r>
      <w:r w:rsidR="00700267">
        <w:instrText xml:space="preserve"> ADDIN EN.CITE &lt;EndNote&gt;&lt;Cite&gt;&lt;Author&gt;NICE&lt;/Author&gt;&lt;Year&gt;2010&lt;/Year&gt;&lt;RecNum&gt;222&lt;/RecNum&gt;&lt;DisplayText&gt;[212]&lt;/DisplayText&gt;&lt;record&gt;&lt;rec-number&gt;222&lt;/rec-number&gt;&lt;foreign-keys&gt;&lt;key app="EN" db-id="sz9092dv2s5fpze9wpgx0zxgv5ar00aezrvf" timestamp="0"&gt;222&lt;/key&gt;&lt;/foreign-keys&gt;&lt;ref-type name="Report"&gt;27&lt;/ref-type&gt;&lt;contributors&gt;&lt;authors&gt;&lt;author&gt;NICE&lt;/author&gt;&lt;/authors&gt;&lt;/contributors&gt;&lt;titles&gt;&lt;title&gt;Alcohol-use disorders: preventing harmful drinking&lt;/title&gt;&lt;secondary-title&gt;PH24&lt;/secondary-title&gt;&lt;/titles&gt;&lt;dates&gt;&lt;year&gt;2010&lt;/year&gt;&lt;/dates&gt;&lt;pub-location&gt;London&lt;/pub-location&gt;&lt;publisher&gt;National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[212]</w:t>
      </w:r>
      <w:r w:rsidRPr="00F10391">
        <w:fldChar w:fldCharType="end"/>
      </w:r>
      <w:r w:rsidRPr="00F10391">
        <w:t xml:space="preserve">. In the past, equity considerations have been considered out of scope according to the reference case. While other areas of the reference case have been considered flexible on a case-by-case basis, the change in emphasis underway may permit equity trade-offs to be considered more explicitly as part of CCA modelling.  How best to interpret the range of metrics presented by CCA may be unclear, but “various tools” implies formal methods are considered an appropriate manner to do so. For a variety of reasons, MCDA may be well placed to carry this out, and any rise in the use of CCA could lead to an increased case for the formal adoption of MCDA techniques. </w:t>
      </w:r>
    </w:p>
    <w:p w14:paraId="4CF1B016" w14:textId="77777777" w:rsidR="00D22CE3" w:rsidRPr="00F10391" w:rsidRDefault="00D22CE3" w:rsidP="00494A9A">
      <w:r w:rsidRPr="00F10391">
        <w:t xml:space="preserve">There is some reason to believe that so far there has been a degree of confusion as to what CCA entails, and its potential benefits. CCA has been used on a number of occasions since the 2012 guidance as something of a postscript, reminiscent of a limitations section, describing a list of potentially relevant concerns that were not included in modelling, and without any quantitative tables in the manner of a performance matrix. This was the case in both </w:t>
      </w:r>
      <w:r w:rsidRPr="00F10391">
        <w:rPr>
          <w:i/>
        </w:rPr>
        <w:t>Managing overweight and obesity among children and young people: lifestyle weight management services</w:t>
      </w:r>
      <w:r w:rsidRPr="00F10391">
        <w:t xml:space="preserve"> (PH47 </w:t>
      </w:r>
      <w:r w:rsidRPr="00F10391">
        <w:fldChar w:fldCharType="begin"/>
      </w:r>
      <w:r w:rsidR="00700267">
        <w:instrText xml:space="preserve"> ADDIN EN.CITE &lt;EndNote&gt;&lt;Cite&gt;&lt;Author&gt;NICE&lt;/Author&gt;&lt;Year&gt;2013&lt;/Year&gt;&lt;RecNum&gt;245&lt;/RecNum&gt;&lt;DisplayText&gt;[238]&lt;/DisplayText&gt;&lt;record&gt;&lt;rec-number&gt;245&lt;/rec-number&gt;&lt;foreign-keys&gt;&lt;key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w:t>
      </w:r>
      <w:r w:rsidRPr="00F10391">
        <w:fldChar w:fldCharType="end"/>
      </w:r>
      <w:r w:rsidRPr="00F10391">
        <w:t xml:space="preserve">) and </w:t>
      </w:r>
      <w:r w:rsidRPr="00F10391">
        <w:rPr>
          <w:i/>
        </w:rPr>
        <w:t>Domestic violence and abuse: how health services, social care and the organisations they work with can respond effectively</w:t>
      </w:r>
      <w:r w:rsidRPr="00F10391">
        <w:t xml:space="preserve"> (PH50 </w:t>
      </w:r>
      <w:r w:rsidRPr="00F10391">
        <w:fldChar w:fldCharType="begin"/>
      </w:r>
      <w:r w:rsidR="00700267">
        <w:instrText xml:space="preserve"> ADDIN EN.CITE &lt;EndNote&gt;&lt;Cite&gt;&lt;Author&gt;NICE&lt;/Author&gt;&lt;Year&gt;2014&lt;/Year&gt;&lt;RecNum&gt;248&lt;/RecNum&gt;&lt;DisplayText&gt;[240]&lt;/DisplayText&gt;&lt;record&gt;&lt;rec-number&gt;248&lt;/rec-number&gt;&lt;foreign-keys&gt;&lt;key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[240]</w:t>
      </w:r>
      <w:r w:rsidRPr="00F10391">
        <w:fldChar w:fldCharType="end"/>
      </w:r>
      <w:r w:rsidRPr="00F10391">
        <w:t xml:space="preserve">). The associated report on </w:t>
      </w:r>
      <w:r w:rsidRPr="00F10391">
        <w:rPr>
          <w:i/>
        </w:rPr>
        <w:t>Managing overweight and obesity in adults</w:t>
      </w:r>
      <w:r w:rsidRPr="00F10391">
        <w:t xml:space="preserve"> (PH53 </w:t>
      </w:r>
      <w:r w:rsidRPr="00F10391">
        <w:fldChar w:fldCharType="begin"/>
      </w:r>
      <w:r w:rsidR="00700267">
        <w:instrText xml:space="preserve"> ADDIN EN.CITE &lt;EndNote&gt;&lt;Cite&gt;&lt;Author&gt;NICE&lt;/Author&gt;&lt;Year&gt;2014&lt;/Year&gt;&lt;RecNum&gt;251&lt;/RecNum&gt;&lt;DisplayText&gt;[308]&lt;/DisplayText&gt;&lt;record&gt;&lt;rec-number&gt;251&lt;/rec-number&gt;&lt;foreign-keys&gt;&lt;key app="EN" db-id="sz9092dv2s5fpze9wpgx0zxgv5ar00aezrvf" timestamp="0"&gt;251&lt;/key&gt;&lt;/foreign-keys&gt;&lt;ref-type name="Report"&gt;27&lt;/ref-type&gt;&lt;contributors&gt;&lt;authors&gt;&lt;author&gt;NICE&lt;/author&gt;&lt;/authors&gt;&lt;/contributors&gt;&lt;titles&gt;&lt;title&gt;Managing overweight and obesity in adults – lifestyle weight management services&lt;/title&gt;&lt;secondary-title&gt;PH53&lt;/secondary-title&gt;&lt;/titles&gt;&lt;dates&gt;&lt;year&gt;2014&lt;/year&gt;&lt;/dates&gt;&lt;pub-location&gt;London&lt;/pub-location&gt;&lt;publisher&gt;National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[308]</w:t>
      </w:r>
      <w:r w:rsidRPr="00F10391">
        <w:fldChar w:fldCharType="end"/>
      </w:r>
      <w:r w:rsidRPr="00F10391">
        <w:t xml:space="preserve">) is entitled “Report on Economic Modelling and Cost Consequence Analysis”, but contains no further mention of CCA outside of its title, offering further evidence that the term has been misunderstood, used as a buzzword or otherwise interpreted to mean something different from the definition of CCA used in this thesis and indeed in NICE’s own methods manuals. </w:t>
      </w:r>
    </w:p>
    <w:p w14:paraId="6EFD1514" w14:textId="77777777" w:rsidR="00D22CE3" w:rsidRPr="00F10391" w:rsidRDefault="00D22CE3" w:rsidP="00490B5D">
      <w:r w:rsidRPr="00F10391">
        <w:t xml:space="preserve">None of these reports showed the range of health and/or non-health costs and benefits alongside each other. This reduces the scope for them to meaningfully inform decision-making. If decision-makers cannot clearly see whether or not the non-modelled benefits of the intervention could feasibly allow an ICER threshold above £20,000 to be considered cost-effective, this seems like a missed opportunity. Given that when “the intervention is an innovation that adds demonstrable, distinct and substantial benefits that may not have been adequately captured in the measurement of health gain”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committees are charged with incorporating such concerns into decisions, it is appropriate that these are explained as explicitly as possible, to both decision-makers and subsequently to the public. Furthermore, failing to report the range of consequences from each decision undermines the possibility to transform CCA into full blown multiple criteria decision analyses.</w:t>
      </w:r>
    </w:p>
    <w:p w14:paraId="7E1E9F57" w14:textId="77777777" w:rsidR="00D22CE3" w:rsidRPr="00F10391" w:rsidRDefault="00D22CE3" w:rsidP="00490B5D"/>
    <w:p w14:paraId="77D3CF34" w14:textId="77777777" w:rsidR="00D22CE3" w:rsidRPr="00F10391" w:rsidRDefault="00D22CE3" w:rsidP="0063065F">
      <w:pPr>
        <w:pStyle w:val="Heading6"/>
      </w:pPr>
      <w:r w:rsidRPr="00F10391">
        <w:t>Approach 3: Using weighting as part of the deliberation process</w:t>
      </w:r>
    </w:p>
    <w:p w14:paraId="13C0EED0" w14:textId="1CB27A8E" w:rsidR="00D22CE3" w:rsidRPr="00F10391" w:rsidRDefault="00D22CE3" w:rsidP="00494A9A">
      <w:r w:rsidRPr="00F10391">
        <w:t xml:space="preserve">As previously stated, with a wide range of such criteria to be considered simultaneously by decision-makers, </w:t>
      </w:r>
      <w:r w:rsidR="001B7ADD">
        <w:t>judgment</w:t>
      </w:r>
      <w:r w:rsidRPr="00F10391">
        <w:t xml:space="preserve"> and deliberation alone may not be sufficient to ensure the best decisions are made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xml:space="preserve">. Intuitive approaches can be shown to be systematically subject to predictable biases for complex problems </w:t>
      </w:r>
      <w:r w:rsidRPr="00F10391">
        <w:fldChar w:fldCharType="begin"/>
      </w:r>
      <w:r w:rsidR="00700267">
        <w:instrText xml:space="preserve"> ADDIN EN.CITE &lt;EndNote&gt;&lt;Cite&gt;&lt;Author&gt;Tversky&lt;/Author&gt;&lt;Year&gt;1974&lt;/Year&gt;&lt;RecNum&gt;143&lt;/RecNum&gt;&lt;DisplayText&gt;[76]&lt;/DisplayText&gt;&lt;record&gt;&lt;rec-number&gt;143&lt;/rec-number&gt;&lt;foreign-keys&gt;&lt;key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[76]</w:t>
      </w:r>
      <w:r w:rsidRPr="00F10391">
        <w:fldChar w:fldCharType="end"/>
      </w:r>
      <w:r w:rsidRPr="00F10391">
        <w:t xml:space="preserve"> and weighting could ameliorate this in certain contexts.</w:t>
      </w:r>
    </w:p>
    <w:p w14:paraId="6B964AD8" w14:textId="77777777" w:rsidR="00D22CE3" w:rsidRPr="00F10391" w:rsidRDefault="00D22CE3" w:rsidP="00494A9A">
      <w:r w:rsidRPr="00F10391">
        <w:t>By ensuring that such weighting is openly stated – and assuming that scoring is carried out appropriately – it is potentially a relatively trivial job to combine these using the weighted average (or other suitable) technique into a formal MCDA process, fulfilling the first 7 steps shown previously in Table 5.3. While further sensitivity analyses would be necessary, this too would be a relatively simple addition.</w:t>
      </w:r>
    </w:p>
    <w:p w14:paraId="7FC243E4" w14:textId="77777777" w:rsidR="00D22CE3" w:rsidRPr="00F10391" w:rsidRDefault="00D22CE3" w:rsidP="00490B5D">
      <w:r w:rsidRPr="00F10391">
        <w:t xml:space="preserve">One weighted approach to help the deliberation processes could be to use outranking techniques. These could ensure that key concerns (i.e. assumedly the ICER) are given sufficient emphasis and cannot in practice be traded away. The number of ‘informally’ dominated options would be removed from consideration, making an easier shortlist of potential actions for debate by decision-makers. Outranking approaches (and other performance matrix-style techniques relying on stricter definitions of domination) are the only techniques for which cost and benefit criteria could be used as part of the same appraisal; i.e. if in Table 5.4 a third potential intervention was added that was better than the other alternatives on all criteria (including its cost) then this would evidently be the best choice – and the fact that costs and benefits are considered in the same appraisal makes this stage, if anything, simpler and its findings more powerful. </w:t>
      </w:r>
    </w:p>
    <w:p w14:paraId="5AB372BE" w14:textId="77777777" w:rsidR="00D22CE3" w:rsidRPr="00F10391" w:rsidRDefault="00D22CE3" w:rsidP="00490B5D">
      <w:r w:rsidRPr="00F10391">
        <w:t xml:space="preserve">For value measurement approaches on the other hand, how to ascribe the benefit (or otherwise) of an intervention’s cost-effectiveness or budget impact is unclear.  It is therefore at risk of achieving specious results, which has understandably been criticised </w:t>
      </w:r>
      <w:r w:rsidRPr="00F10391">
        <w:fldChar w:fldCharType="begin"/>
      </w:r>
      <w:r w:rsidR="00700267">
        <w:instrText xml:space="preserve"> ADDIN EN.CITE &lt;EndNote&gt;&lt;Cite&gt;&lt;Author&gt;Claxton&lt;/Author&gt;&lt;Year&gt;2015&lt;/Year&gt;&lt;RecNum&gt;421&lt;/RecNum&gt;&lt;DisplayText&gt;[329]&lt;/DisplayText&gt;&lt;record&gt;&lt;rec-number&gt;421&lt;/rec-number&gt;&lt;foreign-keys&gt;&lt;key app="EN" db-id="sz9092dv2s5fpze9wpgx0zxgv5ar00aezrvf" timestamp="1460730586"&gt;421&lt;/key&gt;&lt;/foreign-keys&gt;&lt;ref-type name="Journal Article"&gt;17&lt;/ref-type&gt;&lt;contributors&gt;&lt;authors&gt;&lt;author&gt;Claxton, K&lt;/author&gt;&lt;/authors&gt;&lt;/contributors&gt;&lt;titles&gt;&lt;title&gt;Three questions to ask when examining MCDA&lt;/title&gt;&lt;secondary-title&gt;Value &amp;amp; Outcomes Spotlight&lt;/secondary-title&gt;&lt;/titles&gt;&lt;periodical&gt;&lt;full-title&gt;Value &amp;amp; Outcomes Spotlight&lt;/full-title&gt;&lt;/periodical&gt;&lt;pages&gt;18-20&lt;/pages&gt;&lt;volume&gt;1&lt;/volume&gt;&lt;dates&gt;&lt;year&gt;2015&lt;/year&gt;&lt;/dates&gt;&lt;urls&gt;&lt;/urls&gt;&lt;/record&gt;&lt;/Cite&gt;&lt;/EndNote&gt;</w:instrText>
      </w:r>
      <w:r w:rsidRPr="00F10391">
        <w:fldChar w:fldCharType="separate"/>
      </w:r>
      <w:r w:rsidR="00700267">
        <w:rPr>
          <w:noProof/>
        </w:rPr>
        <w:t>[329]</w:t>
      </w:r>
      <w:r w:rsidRPr="00F10391">
        <w:fldChar w:fldCharType="end"/>
      </w:r>
      <w:r w:rsidRPr="00F10391">
        <w:t>. Outranking approaches do not allow ranking of options, and if the advantages of value measurement techniques are required, an obvious approach is to consider only the criteria that are unequivocally associated with benefits (and which would also avoid ICERs for reasons of double counting). But costs will still have to be considered somehow in the decision process, meaning a nuanced approach such as deliberation may be necessary.</w:t>
      </w:r>
    </w:p>
    <w:p w14:paraId="3145D909" w14:textId="77777777" w:rsidR="00D22CE3" w:rsidRPr="00F10391" w:rsidRDefault="00D22CE3" w:rsidP="00490B5D">
      <w:r w:rsidRPr="00F10391">
        <w:t xml:space="preserve">Related research by Walker et al. </w:t>
      </w:r>
      <w:r w:rsidRPr="00F10391">
        <w:fldChar w:fldCharType="begin"/>
      </w:r>
      <w:r w:rsidR="00700267">
        <w:instrText xml:space="preserve"> ADDIN EN.CITE &lt;EndNote&gt;&lt;Cite&gt;&lt;Author&gt;Walker&lt;/Author&gt;&lt;Year&gt;2006&lt;/Year&gt;&lt;RecNum&gt;121&lt;/RecNum&gt;&lt;DisplayText&gt;[330]&lt;/DisplayText&gt;&lt;record&gt;&lt;rec-number&gt;121&lt;/rec-number&gt;&lt;foreign-keys&gt;&lt;key app="EN" db-id="sz9092dv2s5fpze9wpgx0zxgv5ar00aezrvf" timestamp="0"&gt;121&lt;/key&gt;&lt;/foreign-keys&gt;&lt;ref-type name="Journal Article"&gt;17&lt;/ref-type&gt;&lt;contributors&gt;&lt;authors&gt;&lt;author&gt;Walker, Stuart&lt;/author&gt;&lt;author&gt;Phillips, Larry&lt;/author&gt;&lt;author&gt;Cone, Margaret&lt;/author&gt;&lt;/authors&gt;&lt;/contributors&gt;&lt;titles&gt;&lt;title&gt;Benefit-risk assessment model for medicines: Developing a structured approach to decision making&lt;/title&gt;&lt;secondary-title&gt;Surrey: CMR International&lt;/secondary-title&gt;&lt;/titles&gt;&lt;dates&gt;&lt;year&gt;2006&lt;/year&gt;&lt;/dates&gt;&lt;urls&gt;&lt;/urls&gt;&lt;/record&gt;&lt;/Cite&gt;&lt;/EndNote&gt;</w:instrText>
      </w:r>
      <w:r w:rsidRPr="00F10391">
        <w:fldChar w:fldCharType="separate"/>
      </w:r>
      <w:r w:rsidR="00700267">
        <w:rPr>
          <w:noProof/>
        </w:rPr>
        <w:t>[330]</w:t>
      </w:r>
      <w:r w:rsidRPr="00F10391">
        <w:fldChar w:fldCharType="end"/>
      </w:r>
      <w:r w:rsidRPr="00F10391">
        <w:t xml:space="preserve">, Mussen et al. </w:t>
      </w:r>
      <w:r w:rsidRPr="00F10391">
        <w:fldChar w:fldCharType="begin"/>
      </w:r>
      <w:r w:rsidR="00700267">
        <w:instrText xml:space="preserve"> ADDIN EN.CITE &lt;EndNote&gt;&lt;Cite&gt;&lt;Author&gt;Mussen&lt;/Author&gt;&lt;Year&gt;2009&lt;/Year&gt;&lt;RecNum&gt;98&lt;/RecNum&gt;&lt;DisplayText&gt;[143]&lt;/DisplayText&gt;&lt;record&gt;&lt;rec-number&gt;98&lt;/rec-number&gt;&lt;foreign-keys&gt;&lt;key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Kingdom&lt;/publisher&gt;&lt;urls&gt;&lt;/urls&gt;&lt;/record&gt;&lt;/Cite&gt;&lt;Cite&gt;&lt;Author&gt;Mussen&lt;/Author&gt;&lt;Year&gt;2009&lt;/Year&gt;&lt;RecNum&gt;98&lt;/RecNum&gt;&lt;record&gt;&lt;rec-number&gt;98&lt;/rec-number&gt;&lt;foreign-keys&gt;&lt;key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Kingdom&lt;/publisher&gt;&lt;urls&gt;&lt;/urls&gt;&lt;/record&gt;&lt;/Cite&gt;&lt;/EndNote&gt;</w:instrText>
      </w:r>
      <w:r w:rsidRPr="00F10391">
        <w:fldChar w:fldCharType="separate"/>
      </w:r>
      <w:r w:rsidR="00700267">
        <w:rPr>
          <w:noProof/>
        </w:rPr>
        <w:t>[143]</w:t>
      </w:r>
      <w:r w:rsidRPr="00F10391">
        <w:fldChar w:fldCharType="end"/>
      </w:r>
      <w:r w:rsidRPr="00F10391">
        <w:t xml:space="preserve"> and Phillips et al.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Cite&gt;&lt;Author&gt;Phillips&lt;/Author&gt;&lt;Year&gt;2011&lt;/Year&gt;&lt;RecNum&gt;111&lt;/RecNum&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examined how a list of criteria (like a CCA) could be converted into a hierarchy, scored  and weighted, in effect performing a multiple criteria decision analysis, as part of the benefit-risk assessment for medicines for the EMA. While these approaches described by the above papers generate a composite score of benefits and risks - which is potentially confusing - the principle of how they structure the approach is still instructive in how such techniques have been applied. It is conceivable that a similar approach could be employed to explain the benefits of adopting a public health intervention, with costs considered independently. </w:t>
      </w:r>
    </w:p>
    <w:p w14:paraId="5FA40B54" w14:textId="77777777" w:rsidR="00D22CE3" w:rsidRPr="00F10391" w:rsidRDefault="00D22CE3" w:rsidP="006942ED">
      <w:r w:rsidRPr="00F10391">
        <w:t>As an intermediate step between CCA and weighting, it may also be possible to perform a what-if analysis on the performance matrix. For example, a committee considering the problem in Table 5.4 may decide to use a weighted linear approach, with the health and non-health benefits considered equally important and accordingly given 50% weight (ignoring the costs associated with each intervention for now). Calculating from this, intervention B will be chosen unless the educational impact of the decision is worth at least 77.3% of the non-health benefit (i.e. a weighting of about 0.3865 in total). If this weighting does not sound credible to the decision-makers, this shows clearly a course of action. Sensitivity analyses could also be used to explore these assumptions further.</w:t>
      </w:r>
    </w:p>
    <w:p w14:paraId="33538649" w14:textId="77777777" w:rsidR="00D22CE3" w:rsidRPr="00F10391" w:rsidRDefault="00D22CE3">
      <w:r w:rsidRPr="00F10391">
        <w:t xml:space="preserve">For more complex problems, taking into account the cost alongside the benefit could be carried out through deliberation or by considering the ‘cost-effectiveness’ of approaches according to the aggregate benefit derived, which is very similar to the STAR approach outlined by Airoldi et al </w:t>
      </w:r>
      <w:r w:rsidRPr="00F10391">
        <w:fldChar w:fldCharType="begin"/>
      </w:r>
      <w:r w:rsidR="00700267">
        <w:instrText xml:space="preserve"> ADDIN EN.CITE &lt;EndNote&gt;&lt;Cite&gt;&lt;Author&gt;Airoldi&lt;/Author&gt;&lt;Year&gt;2014&lt;/Year&gt;&lt;RecNum&gt;319&lt;/RecNum&gt;&lt;DisplayText&gt;[326]&lt;/DisplayText&gt;&lt;record&gt;&lt;rec-number&gt;319&lt;/rec-number&gt;&lt;foreign-keys&gt;&lt;key app="EN" db-id="sz9092dv2s5fpze9wpgx0zxgv5ar00aezrvf" timestamp="0"&gt;319&lt;/key&gt;&lt;/foreign-keys&gt;&lt;ref-type name="Journal Article"&gt;17&lt;/ref-type&gt;&lt;contributors&gt;&lt;authors&gt;&lt;author&gt;Airoldi, Mara&lt;/author&gt;&lt;author&gt;Morton, Alec&lt;/author&gt;&lt;author&gt;Smith, Jenifer AE&lt;/author&gt;&lt;author&gt;Bevan, Gwyn&lt;/author&gt;&lt;/authors&gt;&lt;/contributors&gt;&lt;titles&gt;&lt;title&gt;STAR—People-Powered Prioritization A 21st-Century Solution to Allocation Headaches&lt;/title&gt;&lt;secondary-title&gt;Medical Decision Making&lt;/secondary-title&gt;&lt;/titles&gt;&lt;periodical&gt;&lt;full-title&gt;Medical Decision Making&lt;/full-title&gt;&lt;/periodical&gt;&lt;pages&gt;965-975&lt;/pages&gt;&lt;volume&gt;34&lt;/volume&gt;&lt;number&gt;8&lt;/number&gt;&lt;dates&gt;&lt;year&gt;2014&lt;/year&gt;&lt;/dates&gt;&lt;isbn&gt;0272-989X&lt;/isbn&gt;&lt;urls&gt;&lt;related-urls&gt;&lt;url&gt;http://mdm.sagepub.com/content/34/8/965.full.pdf&lt;/url&gt;&lt;/related-urls&gt;&lt;/urls&gt;&lt;/record&gt;&lt;/Cite&gt;&lt;/EndNote&gt;</w:instrText>
      </w:r>
      <w:r w:rsidRPr="00F10391">
        <w:fldChar w:fldCharType="separate"/>
      </w:r>
      <w:r w:rsidR="00700267">
        <w:rPr>
          <w:noProof/>
        </w:rPr>
        <w:t>[326]</w:t>
      </w:r>
      <w:r w:rsidRPr="00F10391">
        <w:fldChar w:fldCharType="end"/>
      </w:r>
      <w:r w:rsidRPr="00F10391">
        <w:t>. This technique used MCDA approaches to facilitate local governments in deriving their own appropriate ‘efficient frontier’ to weigh up costs and benefits (however they define these) and given the budget they are willing to make available. This could be calculated using the criteria and/or weights specific to the local government and potentially the political nature of the problem at hand. If local governments were mandated (or sufficiently ‘nudged’) to justify decisions using such an approach, this could provide an extra level of accountability and oversight to the decision process to the public and elsewhere. The STAR approach also emphasised the importance of incorporating deliberation and other soft factors into the process, contrasting with the more technocratic super-QALY approach above.</w:t>
      </w:r>
    </w:p>
    <w:p w14:paraId="26536029" w14:textId="77777777" w:rsidR="00D22CE3" w:rsidRPr="00F10391" w:rsidRDefault="00D22CE3">
      <w:r w:rsidRPr="00F10391">
        <w:t xml:space="preserve">Even with multiple such criteria, CCA will not capture all factors either – and decision-making will still require deliberation to avoid arriving at overly prescriptive answers. It seems plausible that this extended CCA approach could be used alongside a CUA approach, and not in competition with it. This could be during the evidence gathering phase of guidance development (see Figure 4.1), where it could be used to formally collate results of unmodelled data quantitatively (and likely only for complex cases that merited the approach). Discussion would continue to play a major role, though such an approach would likely influence this. </w:t>
      </w:r>
    </w:p>
    <w:p w14:paraId="679CBCDD" w14:textId="77777777" w:rsidR="00D22CE3" w:rsidRPr="00F10391" w:rsidRDefault="00D22CE3">
      <w:r w:rsidRPr="00F10391">
        <w:t xml:space="preserve">There has been concern expressed in the 2012 methods manual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Excellence.&lt;/publisher&gt;&lt;urls&gt;&lt;/urls&gt;&lt;/record&gt;&lt;/Cite&gt;&lt;Cite&gt;&lt;Author&gt;NICE&lt;/Author&gt;&lt;Year&gt;2012&lt;/Year&gt;&lt;RecNum&gt;188&lt;/RecNum&gt;&lt;record&gt;&lt;rec-number&gt;188&lt;/rec-number&gt;&lt;foreign-keys&gt;&lt;key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that the use of approaches such as CCA will lead to disadvantages such as the fact that the results may differ from those of CUA, leading to different rankings and differing allocation of resources. In a sense, this need not be a problem as surely that is their point – there is no sense in carrying out the analysis twice while gaining no further insights, and these approaches allow fresh perspectives to be taken into account. However, local authorities could feasibly be tempted to cherry-pick the answers from whichever analysis suits their own agenda, and so any such eventuality would need to be carefully planned for. There are questions regarding how one decides whether this is legitimate and healthy and when it might be considered inappropriate and open to abuse, reflecting the previously described potential conflict in the democratic mandate of local government versus the technocratic nature of NICE.</w:t>
      </w:r>
    </w:p>
    <w:p w14:paraId="03065E6E" w14:textId="77777777" w:rsidR="00D22CE3" w:rsidRPr="00F10391" w:rsidRDefault="00D22CE3">
      <w:r w:rsidRPr="00F10391">
        <w:t>The purpose of the thesis is not to provide a single ‘correct’ MCDA approach that NICE and other decision-makers should use in all circumstances; but to inform and provide nuance to debates about where it might allow decision-makers to be better informed as to approaches’ advantages and disadvantages, and to suggest plausible MCDA frameworks that could be incorporated into current processes. Ultimately it is clear that MCDA techniques, where used, should be chosen based upon the context of the decision problem. Seeking to use MCDA to solve all perceived problems with the current NICE processes is neither reasonable nor realistic, but by targeting its use to suitable settings it could well be beneficial.</w:t>
      </w:r>
    </w:p>
    <w:p w14:paraId="266143E8" w14:textId="77777777" w:rsidR="00D22CE3" w:rsidRPr="00F10391" w:rsidRDefault="00D22CE3"/>
    <w:p w14:paraId="7C76D99F" w14:textId="77777777" w:rsidR="00D22CE3" w:rsidRPr="00F10391" w:rsidRDefault="00D22CE3">
      <w:pPr>
        <w:pStyle w:val="Heading4"/>
      </w:pPr>
      <w:bookmarkStart w:id="605" w:name="_Toc441508999"/>
      <w:bookmarkStart w:id="606" w:name="_Toc304640242"/>
      <w:bookmarkStart w:id="607" w:name="_Toc313523544"/>
      <w:bookmarkStart w:id="608" w:name="_Toc453235438"/>
      <w:bookmarkStart w:id="609" w:name="_Toc453595511"/>
      <w:bookmarkStart w:id="610" w:name="_Toc476241608"/>
      <w:r w:rsidRPr="00F10391">
        <w:t>5.4.2.2</w:t>
      </w:r>
      <w:r w:rsidRPr="00F10391">
        <w:tab/>
      </w:r>
      <w:r w:rsidRPr="00F10391">
        <w:tab/>
        <w:t>MCDA approaches already under discussion within the CPH</w:t>
      </w:r>
      <w:bookmarkEnd w:id="605"/>
      <w:bookmarkEnd w:id="606"/>
      <w:bookmarkEnd w:id="607"/>
      <w:bookmarkEnd w:id="608"/>
      <w:bookmarkEnd w:id="609"/>
      <w:bookmarkEnd w:id="610"/>
    </w:p>
    <w:p w14:paraId="76879E65" w14:textId="77777777" w:rsidR="00D22CE3" w:rsidRPr="00F10391" w:rsidRDefault="00D22CE3">
      <w:r w:rsidRPr="00F10391">
        <w:t xml:space="preserve">In advance of the 2012 methods guidance, a number of methods workshops were organised to bring together topic experts to discuss the finer details of how guidance should be carried out, and set the agenda for changes required over the medium term. I attended a number of these while working there, and it could be said that </w:t>
      </w:r>
      <w:r w:rsidRPr="00F10391">
        <w:rPr>
          <w:i/>
        </w:rPr>
        <w:t>all</w:t>
      </w:r>
      <w:r w:rsidRPr="00F10391">
        <w:t xml:space="preserve"> of them ultimately came down to how and whether MCDA is implementable yet in a CPH context, and where it would be most suitable. The workshop on </w:t>
      </w:r>
      <w:r w:rsidRPr="00F10391">
        <w:rPr>
          <w:i/>
        </w:rPr>
        <w:t>Equity</w:t>
      </w:r>
      <w:r w:rsidRPr="00F10391">
        <w:t xml:space="preserve"> for example, predictably related to how best to balance equity and cost-effectiveness (and how best to define equity).</w:t>
      </w:r>
    </w:p>
    <w:p w14:paraId="4BD48FC9" w14:textId="77777777" w:rsidR="00D22CE3" w:rsidRPr="00F10391" w:rsidRDefault="00D22CE3">
      <w:r w:rsidRPr="00F10391">
        <w:t xml:space="preserve">The workshop on </w:t>
      </w:r>
      <w:r w:rsidRPr="00F10391">
        <w:rPr>
          <w:i/>
        </w:rPr>
        <w:t>Structured Decision-making</w:t>
      </w:r>
      <w:r w:rsidRPr="00F10391">
        <w:t xml:space="preserve"> largely came down to whether NICE and MCDA were in effect ready for each other yet. The argument in favour of being more explicit in the criteria used was that this would:</w:t>
      </w:r>
    </w:p>
    <w:p w14:paraId="349CFF0B" w14:textId="77777777" w:rsidR="00D22CE3" w:rsidRPr="00F10391" w:rsidRDefault="00D22CE3">
      <w:pPr>
        <w:pStyle w:val="ListParagraph"/>
        <w:numPr>
          <w:ilvl w:val="0"/>
          <w:numId w:val="24"/>
        </w:numPr>
      </w:pPr>
      <w:r w:rsidRPr="00F10391">
        <w:t>Improve transparency about decision-making process and accountability of NICE to taxpayers;</w:t>
      </w:r>
    </w:p>
    <w:p w14:paraId="05F1077D" w14:textId="77777777" w:rsidR="00D22CE3" w:rsidRPr="00F10391" w:rsidRDefault="00D22CE3">
      <w:pPr>
        <w:pStyle w:val="ListParagraph"/>
        <w:numPr>
          <w:ilvl w:val="0"/>
          <w:numId w:val="24"/>
        </w:numPr>
      </w:pPr>
      <w:r w:rsidRPr="00F10391">
        <w:t>Improve consistency of decision-making – all appraisal committees would treat considerations similarly;</w:t>
      </w:r>
    </w:p>
    <w:p w14:paraId="0AB90C9F" w14:textId="77777777" w:rsidR="00D22CE3" w:rsidRPr="00F10391" w:rsidRDefault="00D22CE3">
      <w:pPr>
        <w:pStyle w:val="ListParagraph"/>
        <w:numPr>
          <w:ilvl w:val="0"/>
          <w:numId w:val="24"/>
        </w:numPr>
      </w:pPr>
      <w:r w:rsidRPr="00F10391">
        <w:t>Facilitate greater consistency between NICE decisions and NHS budget allocation;</w:t>
      </w:r>
    </w:p>
    <w:p w14:paraId="7825EACD" w14:textId="77777777" w:rsidR="00D22CE3" w:rsidRPr="00F10391" w:rsidRDefault="00D22CE3">
      <w:pPr>
        <w:pStyle w:val="ListParagraph"/>
        <w:numPr>
          <w:ilvl w:val="0"/>
          <w:numId w:val="24"/>
        </w:numPr>
      </w:pPr>
      <w:r w:rsidRPr="00F10391">
        <w:t>Provide an opportunity for NICE to engage with the public with regard to criteria and their relative importance – leading to greater ‘buy in’ for difficult decisions; and</w:t>
      </w:r>
    </w:p>
    <w:p w14:paraId="61ADBFC5" w14:textId="77777777" w:rsidR="00D22CE3" w:rsidRPr="00F10391" w:rsidRDefault="00D22CE3">
      <w:pPr>
        <w:pStyle w:val="ListParagraph"/>
        <w:numPr>
          <w:ilvl w:val="0"/>
          <w:numId w:val="24"/>
        </w:numPr>
      </w:pPr>
      <w:r w:rsidRPr="00F10391">
        <w:t>Sharpen signals to industry about what aspects of innovation NICE and NHS value and where to direct R&amp;D.</w:t>
      </w:r>
    </w:p>
    <w:p w14:paraId="61A2C7CC" w14:textId="77777777" w:rsidR="00D22CE3" w:rsidRPr="00F10391" w:rsidRDefault="00D22CE3" w:rsidP="00494A9A">
      <w:r w:rsidRPr="00F10391">
        <w:t xml:space="preserve">The workshop on </w:t>
      </w:r>
      <w:r w:rsidRPr="00F10391">
        <w:rPr>
          <w:i/>
        </w:rPr>
        <w:t>QALY weighting</w:t>
      </w:r>
      <w:r w:rsidRPr="00F10391">
        <w:t xml:space="preserve"> addressed which criteria would be most important if the approach were to be implemented, who should decide the weights, and how and whether </w:t>
      </w:r>
      <w:r w:rsidRPr="00F10391">
        <w:rPr>
          <w:rFonts w:eastAsia="Arial Unicode MS"/>
          <w:color w:val="2E2E2E"/>
        </w:rPr>
        <w:t xml:space="preserve">MCDA could be used to derive them to draw the right conclusions. </w:t>
      </w:r>
    </w:p>
    <w:p w14:paraId="3CD7D824" w14:textId="77777777" w:rsidR="00D22CE3" w:rsidRPr="00F10391" w:rsidRDefault="00D22CE3" w:rsidP="00494A9A">
      <w:r w:rsidRPr="00F10391">
        <w:t xml:space="preserve">The workshop on </w:t>
      </w:r>
      <w:r w:rsidRPr="00F10391">
        <w:rPr>
          <w:i/>
        </w:rPr>
        <w:t xml:space="preserve">Undertaking economic evaluation of public health projects in a changing environment </w:t>
      </w:r>
      <w:r w:rsidRPr="00F10391">
        <w:t>outlined</w:t>
      </w:r>
      <w:r w:rsidRPr="00F10391">
        <w:rPr>
          <w:i/>
        </w:rPr>
        <w:t xml:space="preserve"> </w:t>
      </w:r>
      <w:r w:rsidRPr="00F10391">
        <w:t>the different possible permutations of MCDA and the variety of approaches already used across government departments. It was argued that public health should take a lead on this in choosing one method for others to follow, as it is in the unusual position of having effects both inside and outside of health. There was also a useful discussion on how far to allow local governments to set their own aims and thresholds, were it to be used.</w:t>
      </w:r>
    </w:p>
    <w:p w14:paraId="3F8BC0A8" w14:textId="77777777" w:rsidR="00D22CE3" w:rsidRPr="00F10391" w:rsidRDefault="00D22CE3" w:rsidP="00490B5D"/>
    <w:p w14:paraId="6F6AD63A" w14:textId="77777777" w:rsidR="00D22CE3" w:rsidRPr="00F10391" w:rsidRDefault="00D22CE3" w:rsidP="00490B5D">
      <w:pPr>
        <w:pStyle w:val="Heading4"/>
      </w:pPr>
      <w:bookmarkStart w:id="611" w:name="_Toc441509000"/>
      <w:bookmarkStart w:id="612" w:name="_Toc313523545"/>
      <w:bookmarkStart w:id="613" w:name="_Toc453235439"/>
      <w:bookmarkStart w:id="614" w:name="_Toc453595512"/>
      <w:bookmarkStart w:id="615" w:name="_Toc476241609"/>
      <w:r w:rsidRPr="00F10391">
        <w:t>5.4.2.3</w:t>
      </w:r>
      <w:r w:rsidRPr="00F10391">
        <w:tab/>
      </w:r>
      <w:r w:rsidRPr="00F10391">
        <w:tab/>
        <w:t>Next steps</w:t>
      </w:r>
      <w:bookmarkEnd w:id="611"/>
      <w:bookmarkEnd w:id="612"/>
      <w:bookmarkEnd w:id="613"/>
      <w:bookmarkEnd w:id="614"/>
      <w:bookmarkEnd w:id="615"/>
    </w:p>
    <w:p w14:paraId="70A9702B" w14:textId="77777777" w:rsidR="00D22CE3" w:rsidRPr="00F10391" w:rsidRDefault="00D22CE3" w:rsidP="006942ED">
      <w:r w:rsidRPr="00F10391">
        <w:t xml:space="preserve">Without doubt, the use of CUA has increased the accountability of decision-makers and the transparency of decisions to the public and patients, and has facilitated decisions that are more consistent, impartial and capable of achieving the stated objectives of the health system </w:t>
      </w:r>
      <w:r w:rsidRPr="00F10391">
        <w:fldChar w:fldCharType="begin"/>
      </w:r>
      <w:r w:rsidR="00700267">
        <w:instrText xml:space="preserve"> ADDIN EN.CITE &lt;EndNote&gt;&lt;Cite&gt;&lt;Author&gt;Devlin&lt;/Author&gt;&lt;Year&gt;2002&lt;/Year&gt;&lt;RecNum&gt;173&lt;/RecNum&gt;&lt;DisplayText&gt;[331]&lt;/DisplayText&gt;&lt;record&gt;&lt;rec-number&gt;173&lt;/rec-number&gt;&lt;foreign-keys&gt;&lt;key app="EN" db-id="sz9092dv2s5fpze9wpgx0zxgv5ar00aezrvf" timestamp="0"&gt;173&lt;/key&gt;&lt;/foreign-keys&gt;&lt;ref-type name="Book Section"&gt;5&lt;/ref-type&gt;&lt;contributors&gt;&lt;authors&gt;&lt;author&gt;Devlin, Nancy&lt;/author&gt;&lt;/authors&gt;&lt;/contributors&gt;&lt;titles&gt;&lt;title&gt;An introduction to the use of cost-effectiveness threshold in decision-making: what are the issues?&lt;/title&gt;&lt;secondary-title&gt;From Cost-effectiveness thresholds: Economic and ethical issues&lt;/secondary-title&gt;&lt;/titles&gt;&lt;dates&gt;&lt;year&gt;2002&lt;/year&gt;&lt;/dates&gt;&lt;pub-location&gt;London&lt;/pub-location&gt;&lt;publisher&gt;King’s Fund and Office of Health Economics. &lt;/publisher&gt;&lt;urls&gt;&lt;/urls&gt;&lt;/record&gt;&lt;/Cite&gt;&lt;/EndNote&gt;</w:instrText>
      </w:r>
      <w:r w:rsidRPr="00F10391">
        <w:fldChar w:fldCharType="separate"/>
      </w:r>
      <w:r w:rsidR="00700267">
        <w:rPr>
          <w:noProof/>
        </w:rPr>
        <w:t>[331]</w:t>
      </w:r>
      <w:r w:rsidRPr="00F10391">
        <w:fldChar w:fldCharType="end"/>
      </w:r>
      <w:r w:rsidRPr="00F10391">
        <w:t xml:space="preserve">. There may be room for further improvement on this, but MCDA does not necessarily have to compete with CUA to do so. For the time being it could be used only for non-economic decision problems, as previously described. It is possible that there may also be a case for eventually replacing the current strategy of ‘CUA followed by deliberation’ with one of ‘CUA, followed by MCDA, followed by deliberation’ for sufficiently complex problems. </w:t>
      </w:r>
    </w:p>
    <w:p w14:paraId="2F4120A0" w14:textId="77777777" w:rsidR="00D22CE3" w:rsidRPr="00F10391" w:rsidRDefault="00D22CE3">
      <w:r w:rsidRPr="00F10391">
        <w:t xml:space="preserve">MCDA approaches have been nominally used in HTA processes both overseas </w:t>
      </w:r>
      <w:r w:rsidRPr="00F10391">
        <w:fldChar w:fldCharType="begin"/>
      </w:r>
      <w:r w:rsidR="00700267">
        <w:instrText xml:space="preserve"> ADDIN EN.CITE &lt;EndNote&gt;&lt;Cite&gt;&lt;Author&gt;Endrei&lt;/Author&gt;&lt;Year&gt;2014&lt;/Year&gt;&lt;RecNum&gt;306&lt;/RecNum&gt;&lt;DisplayText&gt;[332, 333]&lt;/DisplayText&gt;&lt;record&gt;&lt;rec-number&gt;306&lt;/rec-number&gt;&lt;foreign-keys&gt;&lt;key app="EN" db-id="sz9092dv2s5fpze9wpgx0zxgv5ar00aezrvf" timestamp="0"&gt;306&lt;/key&gt;&lt;/foreign-keys&gt;&lt;ref-type name="Journal Article"&gt;17&lt;/ref-type&gt;&lt;contributors&gt;&lt;authors&gt;&lt;author&gt;Endrei, Dóra&lt;/author&gt;&lt;author&gt;Molics, Bálint&lt;/author&gt;&lt;author&gt;Ágoston, István&lt;/author&gt;&lt;/authors&gt;&lt;/contributors&gt;&lt;titles&gt;&lt;title&gt;Multicriteria decision analysis in the reimbursement of new medical technologies: real-world experiences from Hungary&lt;/title&gt;&lt;secondary-title&gt;Value in Health&lt;/secondary-title&gt;&lt;/titles&gt;&lt;periodical&gt;&lt;full-title&gt;Value in Health&lt;/full-title&gt;&lt;/periodical&gt;&lt;pages&gt;487-489&lt;/pages&gt;&lt;volume&gt;4&lt;/volume&gt;&lt;number&gt;17&lt;/number&gt;&lt;dates&gt;&lt;year&gt;2014&lt;/year&gt;&lt;/dates&gt;&lt;isbn&gt;1098-3015&lt;/isbn&gt;&lt;urls&gt;&lt;/urls&gt;&lt;/record&gt;&lt;/Cite&gt;&lt;Cite&gt;&lt;Author&gt;Fedyaeva&lt;/Author&gt;&lt;Year&gt;2014&lt;/Year&gt;&lt;RecNum&gt;305&lt;/RecNum&gt;&lt;record&gt;&lt;rec-number&gt;305&lt;/rec-number&gt;&lt;foreign-keys&gt;&lt;key app="EN" db-id="sz9092dv2s5fpze9wpgx0zxgv5ar00aezrvf" timestamp="0"&gt;305&lt;/key&gt;&lt;/foreign-keys&gt;&lt;ref-type name="Journal Article"&gt;17&lt;/ref-type&gt;&lt;contributors&gt;&lt;authors&gt;&lt;author&gt;Fedyaeva, VK&lt;/author&gt;&lt;author&gt;Omelyanovsky, VV&lt;/author&gt;&lt;author&gt;Rebrova, O&lt;/author&gt;&lt;author&gt;Khan, N&lt;/author&gt;&lt;author&gt;Petrovskaya, EV&lt;/author&gt;&lt;/authors&gt;&lt;/contributors&gt;&lt;titles&gt;&lt;title&gt;Mcda Approach To Ranking Rare Diseases In Russia: Preliminary Results&lt;/title&gt;&lt;secondary-title&gt;Value in Health&lt;/secondary-title&gt;&lt;/titles&gt;&lt;periodical&gt;&lt;full-title&gt;Value in Health&lt;/full-title&gt;&lt;/periodical&gt;&lt;pages&gt;A539&lt;/pages&gt;&lt;volume&gt;17&lt;/volume&gt;&lt;number&gt;7&lt;/number&gt;&lt;dates&gt;&lt;year&gt;2014&lt;/year&gt;&lt;/dates&gt;&lt;isbn&gt;1098-3015&lt;/isbn&gt;&lt;urls&gt;&lt;related-urls&gt;&lt;url&gt;http://www.valueinhealthjournal.com/article/S1098-3015(14)03657-2/pdf&lt;/url&gt;&lt;/related-urls&gt;&lt;/urls&gt;&lt;/record&gt;&lt;/Cite&gt;&lt;/EndNote&gt;</w:instrText>
      </w:r>
      <w:r w:rsidRPr="00F10391">
        <w:fldChar w:fldCharType="separate"/>
      </w:r>
      <w:r w:rsidR="00700267">
        <w:rPr>
          <w:noProof/>
        </w:rPr>
        <w:t>[332, 333]</w:t>
      </w:r>
      <w:r w:rsidRPr="00F10391">
        <w:fldChar w:fldCharType="end"/>
      </w:r>
      <w:r w:rsidRPr="00F10391">
        <w:t xml:space="preserve"> and on a limited scale in the UK in AGNNS </w:t>
      </w:r>
      <w:r w:rsidRPr="00F10391">
        <w:fldChar w:fldCharType="begin"/>
      </w:r>
      <w:r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Pr="00F10391">
        <w:t>[4]</w:t>
      </w:r>
      <w:r w:rsidRPr="00F10391">
        <w:fldChar w:fldCharType="end"/>
      </w:r>
      <w:r w:rsidRPr="00F10391">
        <w:t xml:space="preserve">. But whether or not any of these approaches actually took into account the opportunity cost is unclear and, given the relative lack of mention of it in the referenced literature, seems unlikely. This seems obviously problematic from a health economic perspective and risks undermining the roles for which MCDA could prove useful in such settings. Based upon findings in this problem specification stage of the thesis, MCDA might feasibly be used to fill in gaps in some sub-stages of the guidance decision process, without necessitating such controversy. </w:t>
      </w:r>
    </w:p>
    <w:p w14:paraId="708D6F77" w14:textId="70F2D6B1" w:rsidR="00D22CE3" w:rsidRPr="00F10391" w:rsidRDefault="00D22CE3">
      <w:r w:rsidRPr="00F10391">
        <w:t xml:space="preserve">Other incremental steps in the direction of MCDA are also possible at decision-maker level that are potentially pragmatic and achievable. Committees should be clearer in their reports as to which ‘other factors’ have been taken into account in deliberations and briefly describe their definition and impact. In parallel, CCA approaches should continue to be developed in NICE, including investigating whether CCA results could eventually be combined into a single, aggregated ‘benefit’ score for the interventions under consideration.  There is no reason why this would need to be in conflict with current procedures or be carried out at the expense of CUA calculations. A similar approach could be used at local government level to ensure that decision-making can be held to be more accountable, though the </w:t>
      </w:r>
      <w:r w:rsidR="001B120B">
        <w:t>onus</w:t>
      </w:r>
      <w:r w:rsidR="001B120B" w:rsidRPr="00F10391">
        <w:t xml:space="preserve"> </w:t>
      </w:r>
      <w:r w:rsidRPr="00F10391">
        <w:t>may be on NICE to establish this as the norm.</w:t>
      </w:r>
    </w:p>
    <w:p w14:paraId="7CFA2429" w14:textId="77777777" w:rsidR="00D22CE3" w:rsidRPr="00F10391" w:rsidRDefault="00D22CE3">
      <w:r w:rsidRPr="00F10391">
        <w:t xml:space="preserve">Some practical issues remain as to how to transfer such techniques into real-world settings, such as which MCDA approach is best, whose weights to use, who should choose the criteria, and who should be involved to begin with. But these issues are inextricably linked with the context of the decision problem and what role the analysis is intended to play in the decision-making process. In some scenarios timeliness will be key, in others the need to incorporate a broad range of stakeholders (or the views of the public) will be necessary. There are a number of potential advantages to MCDA approaches, but not all will be relevant for all given decisions. The design of the approach to be used should be based what is achievable given the strictures on the decision and must be carefully designed within such bounds </w:t>
      </w:r>
      <w:r w:rsidRPr="00F10391">
        <w:fldChar w:fldCharType="begin"/>
      </w:r>
      <w:r w:rsidR="00700267">
        <w:instrText xml:space="preserve"> ADDIN EN.CITE &lt;EndNote&gt;&lt;Cite&gt;&lt;Author&gt;Reddy&lt;/Author&gt;&lt;Year&gt;2016&lt;/Year&gt;&lt;RecNum&gt;444&lt;/RecNum&gt;&lt;DisplayText&gt;[324]&lt;/DisplayText&gt;&lt;record&gt;&lt;rec-number&gt;444&lt;/rec-number&gt;&lt;foreign-keys&gt;&lt;key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Processes&lt;/full-title&gt;&lt;/periodical&gt;&lt;pages&gt;1-21&lt;/pages&gt;&lt;dates&gt;&lt;year&gt;2016&lt;/year&gt;&lt;/dates&gt;&lt;isbn&gt;2193-9438&lt;/isbn&gt;&lt;urls&gt;&lt;/urls&gt;&lt;/record&gt;&lt;/Cite&gt;&lt;/EndNote&gt;</w:instrText>
      </w:r>
      <w:r w:rsidRPr="00F10391">
        <w:fldChar w:fldCharType="separate"/>
      </w:r>
      <w:r w:rsidR="00700267">
        <w:rPr>
          <w:noProof/>
        </w:rPr>
        <w:t>[324]</w:t>
      </w:r>
      <w:r w:rsidRPr="00F10391">
        <w:fldChar w:fldCharType="end"/>
      </w:r>
      <w:r w:rsidRPr="00F10391">
        <w:t xml:space="preserve">. Both upcoming case studies in Chapters 6 and 7 give a good example of designing an MCDA approach within this paradigm. Being case studies, they are tied to the exact problem of the nature at hand, rather than the steps that might have been taken in other circumstance. To impose the ‘best’ approaches to use without knowing the exact context in which decision-makers wished to use them would be inflexible and unnecessarily dogmatic. It would also go against my experience in the upcoming case studies which, being carried out in the real world, required compromises from gold standards. Ultimately, as Schein argued, for such problems it is the client who must own the problem and its solution </w:t>
      </w:r>
      <w:r w:rsidRPr="00F10391">
        <w:fldChar w:fldCharType="begin"/>
      </w:r>
      <w:r w:rsidR="00700267">
        <w:instrText xml:space="preserve"> ADDIN EN.CITE &lt;EndNote&gt;&lt;Cite&gt;&lt;Author&gt;Schein&lt;/Author&gt;&lt;Year&gt;1999&lt;/Year&gt;&lt;RecNum&gt;414&lt;/RecNum&gt;&lt;DisplayText&gt;[334]&lt;/DisplayText&gt;&lt;record&gt;&lt;rec-number&gt;414&lt;/rec-number&gt;&lt;foreign-keys&gt;&lt;key app="EN" db-id="sz9092dv2s5fpze9wpgx0zxgv5ar00aezrvf" timestamp="1460385085"&gt;414&lt;/key&gt;&lt;/foreign-keys&gt;&lt;ref-type name="Book"&gt;6&lt;/ref-type&gt;&lt;contributors&gt;&lt;authors&gt;&lt;author&gt;Schein, Edgar H&lt;/author&gt;&lt;/authors&gt;&lt;/contributors&gt;&lt;titles&gt;&lt;title&gt;Process consultation revisited: Building the helping relationship&lt;/title&gt;&lt;/titles&gt;&lt;dates&gt;&lt;year&gt;1999&lt;/year&gt;&lt;/dates&gt;&lt;publisher&gt;Addison-Wesley Reading, MA&lt;/publisher&gt;&lt;isbn&gt;020134596X&lt;/isbn&gt;&lt;urls&gt;&lt;/urls&gt;&lt;/record&gt;&lt;/Cite&gt;&lt;/EndNote&gt;</w:instrText>
      </w:r>
      <w:r w:rsidRPr="00F10391">
        <w:fldChar w:fldCharType="separate"/>
      </w:r>
      <w:r w:rsidR="00700267">
        <w:rPr>
          <w:noProof/>
        </w:rPr>
        <w:t>[334]</w:t>
      </w:r>
      <w:r w:rsidRPr="00F10391">
        <w:fldChar w:fldCharType="end"/>
      </w:r>
      <w:r w:rsidRPr="00F10391">
        <w:t>.</w:t>
      </w:r>
    </w:p>
    <w:p w14:paraId="234A2385" w14:textId="77777777" w:rsidR="00D22CE3" w:rsidRPr="00F10391" w:rsidRDefault="00D22CE3">
      <w:r w:rsidRPr="00F10391">
        <w:rPr>
          <w:lang w:eastAsia="es-CO"/>
        </w:rPr>
        <w:t xml:space="preserve">Because the MCDA approach to be used is dependent on the context </w:t>
      </w:r>
      <w:r w:rsidRPr="00F10391">
        <w:rPr>
          <w:lang w:eastAsia="es-CO"/>
        </w:rPr>
        <w:fldChar w:fldCharType="begin"/>
      </w:r>
      <w:r w:rsidR="00700267">
        <w:rPr>
          <w:lang w:eastAsia="es-CO"/>
        </w:rPr>
        <w:instrText xml:space="preserve"> ADDIN EN.CITE &lt;EndNote&gt;&lt;Cite&gt;&lt;Author&gt;Mingers&lt;/Author&gt;&lt;Year&gt;2000&lt;/Year&gt;&lt;RecNum&gt;409&lt;/RecNum&gt;&lt;DisplayText&gt;[125, 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Cite&gt;&lt;Author&gt;Dodgson&lt;/Author&gt;&lt;Year&gt;2009&lt;/Year&gt;&lt;RecNum&gt;38&lt;/RecNum&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rPr>
          <w:lang w:eastAsia="es-CO"/>
        </w:rPr>
        <w:fldChar w:fldCharType="separate"/>
      </w:r>
      <w:r w:rsidR="00700267">
        <w:rPr>
          <w:noProof/>
          <w:lang w:eastAsia="es-CO"/>
        </w:rPr>
        <w:t>[125, 197]</w:t>
      </w:r>
      <w:r w:rsidRPr="00F10391">
        <w:rPr>
          <w:lang w:eastAsia="es-CO"/>
        </w:rPr>
        <w:fldChar w:fldCharType="end"/>
      </w:r>
      <w:r w:rsidRPr="00F10391">
        <w:rPr>
          <w:lang w:eastAsia="es-CO"/>
        </w:rPr>
        <w:t xml:space="preserve">, and this context will often be unique in public health settings, approaches used are not necessarily wholly replicable and neither can they can be wholly value-free </w:t>
      </w:r>
      <w:r w:rsidRPr="00F10391">
        <w:rPr>
          <w:lang w:eastAsia="es-CO"/>
        </w:rPr>
        <w:fldChar w:fldCharType="begin"/>
      </w:r>
      <w:r w:rsidR="00700267">
        <w:rPr>
          <w:lang w:eastAsia="es-CO"/>
        </w:rPr>
        <w:instrText xml:space="preserve"> ADDIN EN.CITE &lt;EndNote&gt;&lt;Cite&gt;&lt;Author&gt;McKay&lt;/Author&gt;&lt;Year&gt;2001&lt;/Year&gt;&lt;RecNum&gt;408&lt;/RecNum&gt;&lt;DisplayText&gt;[196]&lt;/DisplayText&gt;&lt;record&gt;&lt;rec-number&gt;408&lt;/rec-number&gt;&lt;foreign-keys&gt;&lt;key app="EN" db-id="sz9092dv2s5fpze9wpgx0zxgv5ar00aezrvf" timestamp="1459433352"&gt;408&lt;/key&gt;&lt;/foreign-keys&gt;&lt;ref-type name="Journal Article"&gt;17&lt;/ref-type&gt;&lt;contributors&gt;&lt;authors&gt;&lt;author&gt;McKay, Judy&lt;/author&gt;&lt;author&gt;Marshall, Peter&lt;/author&gt;&lt;/authors&gt;&lt;/contributors&gt;&lt;titles&gt;&lt;title&gt;The dual imperatives of action research&lt;/title&gt;&lt;secondary-title&gt;Information Technology &amp;amp; People&lt;/secondary-title&gt;&lt;/titles&gt;&lt;periodical&gt;&lt;full-title&gt;Information Technology &amp;amp; People&lt;/full-title&gt;&lt;/periodical&gt;&lt;pages&gt;46-59&lt;/pages&gt;&lt;volume&gt;14&lt;/volume&gt;&lt;number&gt;1&lt;/number&gt;&lt;dates&gt;&lt;year&gt;2001&lt;/year&gt;&lt;/dates&gt;&lt;isbn&gt;0959-3845&lt;/isbn&gt;&lt;urls&gt;&lt;/urls&gt;&lt;/record&gt;&lt;/Cite&gt;&lt;/EndNote&gt;</w:instrText>
      </w:r>
      <w:r w:rsidRPr="00F10391">
        <w:rPr>
          <w:lang w:eastAsia="es-CO"/>
        </w:rPr>
        <w:fldChar w:fldCharType="separate"/>
      </w:r>
      <w:r w:rsidR="00700267">
        <w:rPr>
          <w:noProof/>
          <w:lang w:eastAsia="es-CO"/>
        </w:rPr>
        <w:t>[196]</w:t>
      </w:r>
      <w:r w:rsidRPr="00F10391">
        <w:rPr>
          <w:lang w:eastAsia="es-CO"/>
        </w:rPr>
        <w:fldChar w:fldCharType="end"/>
      </w:r>
      <w:r w:rsidRPr="00F10391">
        <w:rPr>
          <w:lang w:eastAsia="es-CO"/>
        </w:rPr>
        <w:t xml:space="preserve">. One key factor in successful MCDA approaches appears to be the management and incorporation of soft issues </w:t>
      </w:r>
      <w:r w:rsidRPr="00F10391">
        <w:rPr>
          <w:lang w:eastAsia="es-CO"/>
        </w:rPr>
        <w:fldChar w:fldCharType="begin"/>
      </w:r>
      <w:r w:rsidR="00700267">
        <w:rPr>
          <w:lang w:eastAsia="es-CO"/>
        </w:rPr>
        <w:instrText xml:space="preserve"> ADDIN EN.CITE &lt;EndNote&gt;&lt;Cite&gt;&lt;Author&gt;Phillips&lt;/Author&gt;&lt;Year&gt;2007&lt;/Year&gt;&lt;RecNum&gt;110&lt;/RecNum&gt;&lt;DisplayText&gt;[127, 200]&lt;/DisplayText&gt;&lt;record&gt;&lt;rec-number&gt;110&lt;/rec-number&gt;&lt;foreign-keys&gt;&lt;key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Cite&gt;&lt;Author&gt;Sharpe&lt;/Author&gt;&lt;Year&gt;1997&lt;/Year&gt;&lt;RecNum&gt;410&lt;/RecNum&gt;&lt;record&gt;&lt;rec-number&gt;410&lt;/rec-number&gt;&lt;foreign-keys&gt;&lt;key app="EN" db-id="sz9092dv2s5fpze9wpgx0zxgv5ar00aezrvf" timestamp="1459433391"&gt;410&lt;/key&gt;&lt;/foreign-keys&gt;&lt;ref-type name="Journal Article"&gt;17&lt;/ref-type&gt;&lt;contributors&gt;&lt;authors&gt;&lt;author&gt;Sharpe, Paul&lt;/author&gt;&lt;author&gt;Keelin, Tom&lt;/author&gt;&lt;/authors&gt;&lt;/contributors&gt;&lt;titles&gt;&lt;title&gt;How SmithKline Beecham makes better resource-allocation decisions&lt;/title&gt;&lt;secondary-title&gt;Harvard Business Review&lt;/secondary-title&gt;&lt;/titles&gt;&lt;periodical&gt;&lt;full-title&gt;Harvard Business Review&lt;/full-title&gt;&lt;/periodical&gt;&lt;pages&gt;45-6, 48, 50 passim&lt;/pages&gt;&lt;volume&gt;76&lt;/volume&gt;&lt;number&gt;2&lt;/number&gt;&lt;dates&gt;&lt;year&gt;1997&lt;/year&gt;&lt;/dates&gt;&lt;isbn&gt;0017-8012&lt;/isbn&gt;&lt;urls&gt;&lt;/urls&gt;&lt;/record&gt;&lt;/Cite&gt;&lt;/EndNote&gt;</w:instrText>
      </w:r>
      <w:r w:rsidRPr="00F10391">
        <w:rPr>
          <w:lang w:eastAsia="es-CO"/>
        </w:rPr>
        <w:fldChar w:fldCharType="separate"/>
      </w:r>
      <w:r w:rsidR="00700267">
        <w:rPr>
          <w:noProof/>
          <w:lang w:eastAsia="es-CO"/>
        </w:rPr>
        <w:t>[127, 200]</w:t>
      </w:r>
      <w:r w:rsidRPr="00F10391">
        <w:rPr>
          <w:lang w:eastAsia="es-CO"/>
        </w:rPr>
        <w:fldChar w:fldCharType="end"/>
      </w:r>
      <w:r w:rsidRPr="00F10391">
        <w:rPr>
          <w:lang w:eastAsia="es-CO"/>
        </w:rPr>
        <w:t xml:space="preserve">, providing structure to messy problems </w:t>
      </w:r>
      <w:r w:rsidRPr="00F10391">
        <w:rPr>
          <w:lang w:eastAsia="es-CO"/>
        </w:rPr>
        <w:fldChar w:fldCharType="begin"/>
      </w:r>
      <w:r w:rsidR="00700267">
        <w:rPr>
          <w:lang w:eastAsia="es-CO"/>
        </w:rPr>
        <w:instrText xml:space="preserve"> ADDIN EN.CITE &lt;EndNote&gt;&lt;Cite&gt;&lt;Author&gt;Mingers&lt;/Author&gt;&lt;Year&gt;1992&lt;/Year&gt;&lt;RecNum&gt;407&lt;/RecNum&gt;&lt;DisplayText&gt;[197, 199]&lt;/DisplayText&gt;&lt;record&gt;&lt;rec-number&gt;407&lt;/rec-number&gt;&lt;foreign-keys&gt;&lt;key app="EN" db-id="sz9092dv2s5fpze9wpgx0zxgv5ar00aezrvf" timestamp="1459433311"&gt;407&lt;/key&gt;&lt;/foreign-keys&gt;&lt;ref-type name="Journal Article"&gt;17&lt;/ref-type&gt;&lt;contributors&gt;&lt;authors&gt;&lt;author&gt;Mingers, John&lt;/author&gt;&lt;author&gt;Taylor, Sarah&lt;/author&gt;&lt;/authors&gt;&lt;/contributors&gt;&lt;titles&gt;&lt;title&gt;The use of soft systems methodology in practice&lt;/title&gt;&lt;secondary-title&gt;Journal of the Operational Research Society&lt;/secondary-title&gt;&lt;/titles&gt;&lt;periodical&gt;&lt;full-title&gt;Journal of the Operational Research Society&lt;/full-title&gt;&lt;/periodical&gt;&lt;pages&gt;321-332&lt;/pages&gt;&lt;dates&gt;&lt;year&gt;1992&lt;/year&gt;&lt;/dates&gt;&lt;isbn&gt;0160-5682&lt;/isbn&gt;&lt;urls&gt;&lt;/urls&gt;&lt;/record&gt;&lt;/Cite&gt;&lt;Cite&gt;&lt;Author&gt;Mingers&lt;/Author&gt;&lt;Year&gt;2000&lt;/Year&gt;&lt;RecNum&gt;409&lt;/RecNum&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Pr="00F10391">
        <w:rPr>
          <w:lang w:eastAsia="es-CO"/>
        </w:rPr>
        <w:fldChar w:fldCharType="separate"/>
      </w:r>
      <w:r w:rsidR="00700267">
        <w:rPr>
          <w:noProof/>
          <w:lang w:eastAsia="es-CO"/>
        </w:rPr>
        <w:t>[197, 199]</w:t>
      </w:r>
      <w:r w:rsidRPr="00F10391">
        <w:rPr>
          <w:lang w:eastAsia="es-CO"/>
        </w:rPr>
        <w:fldChar w:fldCharType="end"/>
      </w:r>
      <w:r w:rsidRPr="00F10391">
        <w:rPr>
          <w:lang w:eastAsia="es-CO"/>
        </w:rPr>
        <w:t xml:space="preserve">, facilitating participants to explore differing views </w:t>
      </w:r>
      <w:r w:rsidRPr="00F10391">
        <w:rPr>
          <w:lang w:eastAsia="es-CO"/>
        </w:rPr>
        <w:fldChar w:fldCharType="begin"/>
      </w:r>
      <w:r w:rsidR="00700267">
        <w:rPr>
          <w:lang w:eastAsia="es-CO"/>
        </w:rPr>
        <w:instrText xml:space="preserve"> ADDIN EN.CITE &lt;EndNote&gt;&lt;Cite&gt;&lt;Author&gt;Mingers&lt;/Author&gt;&lt;Year&gt;2000&lt;/Year&gt;&lt;RecNum&gt;409&lt;/RecNum&gt;&lt;DisplayText&gt;[197]&lt;/DisplayText&gt;&lt;record&gt;&lt;rec-number&gt;409&lt;/rec-number&gt;&lt;foreign-keys&gt;&lt;key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Pr="00F10391">
        <w:rPr>
          <w:lang w:eastAsia="es-CO"/>
        </w:rPr>
        <w:fldChar w:fldCharType="separate"/>
      </w:r>
      <w:r w:rsidR="00700267">
        <w:rPr>
          <w:noProof/>
          <w:lang w:eastAsia="es-CO"/>
        </w:rPr>
        <w:t>[197]</w:t>
      </w:r>
      <w:r w:rsidRPr="00F10391">
        <w:rPr>
          <w:lang w:eastAsia="es-CO"/>
        </w:rPr>
        <w:fldChar w:fldCharType="end"/>
      </w:r>
      <w:r w:rsidRPr="00F10391">
        <w:rPr>
          <w:lang w:eastAsia="es-CO"/>
        </w:rPr>
        <w:t xml:space="preserve">, in allowing difficult conversations to take place </w:t>
      </w:r>
      <w:r w:rsidRPr="00F10391">
        <w:rPr>
          <w:lang w:eastAsia="es-CO"/>
        </w:rPr>
        <w:fldChar w:fldCharType="begin"/>
      </w:r>
      <w:r w:rsidR="00700267">
        <w:rPr>
          <w:lang w:eastAsia="es-CO"/>
        </w:rPr>
        <w:instrText xml:space="preserve"> ADDIN EN.CITE &lt;EndNote&gt;&lt;Cite&gt;&lt;Author&gt;Koch&lt;/Author&gt;&lt;Year&gt;1999&lt;/Year&gt;&lt;RecNum&gt;78&lt;/RecNum&gt;&lt;DisplayText&gt;[23, 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Cite&gt;&lt;Author&gt;Phillips&lt;/Author&gt;&lt;Year&gt;2007&lt;/Year&gt;&lt;RecNum&gt;374&lt;/RecNum&gt;&lt;record&gt;&lt;rec-number&gt;374&lt;/rec-number&gt;&lt;foreign-keys&gt;&lt;key app="EN" db-id="sz9092dv2s5fpze9wpgx0zxgv5ar00aezrvf" timestamp="1456335596"&gt;374&lt;/key&gt;&lt;/foreign-keys&gt;&lt;ref-type name="Book Section"&gt;5&lt;/ref-type&gt;&lt;contributors&gt;&lt;authors&gt;&lt;author&gt;Phillips, Larry&lt;/author&gt;&lt;/authors&gt;&lt;secondary-authors&gt;&lt;author&gt;Edwards, Ward&lt;/author&gt;&lt;author&gt;Miles Jr, Ralph F&lt;/author&gt;&lt;author&gt;Von Winterfeldt, Detlof&lt;/author&gt;&lt;/secondary-authors&gt;&lt;/contributors&gt;&lt;titles&gt;&lt;title&gt;Decision conferencing&lt;/title&gt;&lt;secondary-title&gt;Advances in decision analysis: from foundations to applications&lt;/secondary-title&gt;&lt;/titles&gt;&lt;section&gt;19&lt;/section&gt;&lt;dates&gt;&lt;year&gt;2007&lt;/year&gt;&lt;/dates&gt;&lt;publisher&gt;Cambridge University Press&lt;/publisher&gt;&lt;isbn&gt;1139466127&lt;/isbn&gt;&lt;urls&gt;&lt;/urls&gt;&lt;/record&gt;&lt;/Cite&gt;&lt;/EndNote&gt;</w:instrText>
      </w:r>
      <w:r w:rsidRPr="00F10391">
        <w:rPr>
          <w:lang w:eastAsia="es-CO"/>
        </w:rPr>
        <w:fldChar w:fldCharType="separate"/>
      </w:r>
      <w:r w:rsidR="00700267">
        <w:rPr>
          <w:noProof/>
          <w:lang w:eastAsia="es-CO"/>
        </w:rPr>
        <w:t>[23, 91]</w:t>
      </w:r>
      <w:r w:rsidRPr="00F10391">
        <w:rPr>
          <w:lang w:eastAsia="es-CO"/>
        </w:rPr>
        <w:fldChar w:fldCharType="end"/>
      </w:r>
      <w:r w:rsidRPr="00F10391">
        <w:rPr>
          <w:lang w:eastAsia="es-CO"/>
        </w:rPr>
        <w:t xml:space="preserve"> and in ensuring buy-in to increase the likelihood of implementation </w:t>
      </w:r>
      <w:r w:rsidRPr="00F10391">
        <w:fldChar w:fldCharType="begin"/>
      </w:r>
      <w:r w:rsidR="00700267">
        <w:instrText xml:space="preserve"> ADDIN EN.CITE &lt;EndNote&gt;&lt;Cite&gt;&lt;Author&gt;Haas&lt;/Author&gt;&lt;Year&gt;2001&lt;/Year&gt;&lt;RecNum&gt;279&lt;/RecNum&gt;&lt;DisplayText&gt;[121, 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Cite&gt;&lt;Author&gt;Phillips&lt;/Author&gt;&lt;Year&gt;1984&lt;/Year&gt;&lt;RecNum&gt;112&lt;/RecNum&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 180]</w:t>
      </w:r>
      <w:r w:rsidRPr="00F10391">
        <w:fldChar w:fldCharType="end"/>
      </w:r>
      <w:r w:rsidRPr="00F10391">
        <w:t xml:space="preserve">. It may be possible that as a result such approaches are particularly suited to local government level, where getting access to the decision-makers may be easier than in NICE (or other national policy-makers). </w:t>
      </w:r>
      <w:r w:rsidRPr="00F10391">
        <w:rPr>
          <w:lang w:eastAsia="es-CO"/>
        </w:rPr>
        <w:t xml:space="preserve">MCDA approaches, like action research, remain “somewhat enigmatic, as there are comparatively few guidelines for would-be researchers to follow” </w:t>
      </w:r>
      <w:r w:rsidRPr="00F10391">
        <w:rPr>
          <w:lang w:eastAsia="es-CO"/>
        </w:rPr>
        <w:fldChar w:fldCharType="begin"/>
      </w:r>
      <w:r w:rsidR="00700267">
        <w:rPr>
          <w:lang w:eastAsia="es-CO"/>
        </w:rPr>
        <w:instrText xml:space="preserve"> ADDIN EN.CITE &lt;EndNote&gt;&lt;Cite&gt;&lt;Author&gt;McKay&lt;/Author&gt;&lt;Year&gt;2001&lt;/Year&gt;&lt;RecNum&gt;408&lt;/RecNum&gt;&lt;DisplayText&gt;[196]&lt;/DisplayText&gt;&lt;record&gt;&lt;rec-number&gt;408&lt;/rec-number&gt;&lt;foreign-keys&gt;&lt;key app="EN" db-id="sz9092dv2s5fpze9wpgx0zxgv5ar00aezrvf" timestamp="1459433352"&gt;408&lt;/key&gt;&lt;/foreign-keys&gt;&lt;ref-type name="Journal Article"&gt;17&lt;/ref-type&gt;&lt;contributors&gt;&lt;authors&gt;&lt;author&gt;McKay, Judy&lt;/author&gt;&lt;author&gt;Marshall, Peter&lt;/author&gt;&lt;/authors&gt;&lt;/contributors&gt;&lt;titles&gt;&lt;title&gt;The dual imperatives of action research&lt;/title&gt;&lt;secondary-title&gt;Information Technology &amp;amp; People&lt;/secondary-title&gt;&lt;/titles&gt;&lt;periodical&gt;&lt;full-title&gt;Information Technology &amp;amp; People&lt;/full-title&gt;&lt;/periodical&gt;&lt;pages&gt;46-59&lt;/pages&gt;&lt;volume&gt;14&lt;/volume&gt;&lt;number&gt;1&lt;/number&gt;&lt;dates&gt;&lt;year&gt;2001&lt;/year&gt;&lt;/dates&gt;&lt;isbn&gt;0959-3845&lt;/isbn&gt;&lt;urls&gt;&lt;/urls&gt;&lt;/record&gt;&lt;/Cite&gt;&lt;/EndNote&gt;</w:instrText>
      </w:r>
      <w:r w:rsidRPr="00F10391">
        <w:rPr>
          <w:lang w:eastAsia="es-CO"/>
        </w:rPr>
        <w:fldChar w:fldCharType="separate"/>
      </w:r>
      <w:r w:rsidR="00700267">
        <w:rPr>
          <w:noProof/>
          <w:lang w:eastAsia="es-CO"/>
        </w:rPr>
        <w:t>[196]</w:t>
      </w:r>
      <w:r w:rsidRPr="00F10391">
        <w:rPr>
          <w:lang w:eastAsia="es-CO"/>
        </w:rPr>
        <w:fldChar w:fldCharType="end"/>
      </w:r>
      <w:r w:rsidRPr="00F10391">
        <w:rPr>
          <w:lang w:eastAsia="es-CO"/>
        </w:rPr>
        <w:t xml:space="preserve">. But as these approaches are increasingly employed, more general rules will be possible. ISPOR’s MCDA taskforce has produced two excellent and accessible reports that help to address the gaps that exist </w:t>
      </w:r>
      <w:r w:rsidRPr="00F10391">
        <w:rPr>
          <w:lang w:eastAsia="es-CO"/>
        </w:rPr>
        <w:fldChar w:fldCharType="begin"/>
      </w:r>
      <w:r w:rsidR="00700267">
        <w:rPr>
          <w:lang w:eastAsia="es-CO"/>
        </w:rPr>
        <w:instrText xml:space="preserve"> ADDIN EN.CITE &lt;EndNote&gt;&lt;Cite&gt;&lt;Author&gt;Thokala&lt;/Author&gt;&lt;Year&gt;2016&lt;/Year&gt;&lt;RecNum&gt;366&lt;/RecNum&gt;&lt;DisplayText&gt;[9, 335]&lt;/DisplayText&gt;&lt;record&gt;&lt;rec-number&gt;366&lt;/rec-number&gt;&lt;foreign-keys&gt;&lt;key app="EN" db-id="sz9092dv2s5fpze9wpgx0zxgv5ar00aezrvf" timestamp="1455902383"&gt;366&lt;/key&gt;&lt;/foreign-keys&gt;&lt;ref-type name="Journal Article"&gt;17&lt;/ref-type&gt;&lt;contributors&gt;&lt;authors&gt;&lt;author&gt;Thokala, Praveen&lt;/author&gt;&lt;author&gt;Devlin, Nancy&lt;/author&gt;&lt;author&gt;Marsh, Kevin&lt;/author&gt;&lt;author&gt;Baltussen, Rob&lt;/author&gt;&lt;author&gt;Boysen, Meindert&lt;/author&gt;&lt;author&gt;Kalo, Zoltan&lt;/author&gt;&lt;author&gt;Longrenn, Thomas&lt;/author&gt;&lt;author&gt;Mussen, Filip&lt;/author&gt;&lt;author&gt;Peacock, Stuart&lt;/author&gt;&lt;author&gt;Watkins, John&lt;/author&gt;&lt;/authors&gt;&lt;/contributors&gt;&lt;titles&gt;&lt;title&gt;Multiple Criteria Decision Analysis for Health Care Decision Making—An Introduction: Report 1 of the ISPOR MCDA Emerging Good Practices Task Force&lt;/title&gt;&lt;secondary-title&gt;Value in Health&lt;/secondary-title&gt;&lt;/titles&gt;&lt;periodical&gt;&lt;full-title&gt;Value in Health&lt;/full-title&gt;&lt;/periodical&gt;&lt;dates&gt;&lt;year&gt;2016&lt;/year&gt;&lt;/dates&gt;&lt;isbn&gt;1098-3015&lt;/isbn&gt;&lt;urls&gt;&lt;/urls&gt;&lt;/record&gt;&lt;/Cite&gt;&lt;Cite&gt;&lt;Author&gt;Thokala&lt;/Author&gt;&lt;Year&gt;2016&lt;/Year&gt;&lt;RecNum&gt;367&lt;/RecNum&gt;&lt;record&gt;&lt;rec-number&gt;367&lt;/rec-number&gt;&lt;foreign-keys&gt;&lt;key app="EN" db-id="sz9092dv2s5fpze9wpgx0zxgv5ar00aezrvf" timestamp="1455902762"&gt;367&lt;/key&gt;&lt;/foreign-keys&gt;&lt;ref-type name="Journal Article"&gt;17&lt;/ref-type&gt;&lt;contributors&gt;&lt;authors&gt;&lt;author&gt;Marsh K; IJzerman M; Thokala P; Baltussen R; Boysen, M;  Kaló, Z; Lönngren, T; Mussen, F; Peacock, S; Watkins, J; Devlin N&lt;/author&gt;&lt;/authors&gt;&lt;/contributors&gt;&lt;titles&gt;&lt;title&gt;MCDA for Health Care Decisions - Emerging Good Practices: Report 2 of the ISPOR MCDA Task Force &lt;/title&gt;&lt;secondary-title&gt;Value in Health&lt;/secondary-title&gt;&lt;/titles&gt;&lt;periodical&gt;&lt;full-title&gt;Value in Health&lt;/full-title&gt;&lt;/periodical&gt;&lt;pages&gt;125-137&lt;/pages&gt;&lt;volume&gt;19&lt;/volume&gt;&lt;dates&gt;&lt;year&gt;2016&lt;/year&gt;&lt;/dates&gt;&lt;urls&gt;&lt;/urls&gt;&lt;/record&gt;&lt;/Cite&gt;&lt;/EndNote&gt;</w:instrText>
      </w:r>
      <w:r w:rsidRPr="00F10391">
        <w:rPr>
          <w:lang w:eastAsia="es-CO"/>
        </w:rPr>
        <w:fldChar w:fldCharType="separate"/>
      </w:r>
      <w:r w:rsidR="00700267">
        <w:rPr>
          <w:noProof/>
          <w:lang w:eastAsia="es-CO"/>
        </w:rPr>
        <w:t>[9, 335]</w:t>
      </w:r>
      <w:r w:rsidRPr="00F10391">
        <w:rPr>
          <w:lang w:eastAsia="es-CO"/>
        </w:rPr>
        <w:fldChar w:fldCharType="end"/>
      </w:r>
      <w:r w:rsidRPr="00F10391">
        <w:rPr>
          <w:lang w:eastAsia="es-CO"/>
        </w:rPr>
        <w:t xml:space="preserve">. But there is still some way to go before they no longer need to </w:t>
      </w:r>
      <w:r w:rsidRPr="00F10391">
        <w:t xml:space="preserve">“require as much art to be exercised as science”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0051187B">
        <w:t xml:space="preserve"> (p.109)</w:t>
      </w:r>
      <w:r w:rsidRPr="00F10391">
        <w:t>.</w:t>
      </w:r>
    </w:p>
    <w:p w14:paraId="6E416B12" w14:textId="77777777" w:rsidR="00D22CE3" w:rsidRPr="00F10391" w:rsidRDefault="00D22CE3">
      <w:r w:rsidRPr="00F10391">
        <w:t xml:space="preserve">If any changes suggested in the problem specification stage are to be introduced in future, the process will need to be gradual and managed carefully. The strongest case against implementing major changes is probably that NICE is already well-respected and practically all relevant stakeholders take its guidance seriously. This ‘if it ain’t broke don’t fix it’ argument is a strong one, particularly for an approach with such massive ramifications across the health service, and thus people’s lives. Given that the ICER-led approach is described by the former Chair of NICE as overly reductionist </w:t>
      </w:r>
      <w:r w:rsidRPr="00F10391">
        <w:fldChar w:fldCharType="begin"/>
      </w:r>
      <w:r w:rsidR="00700267">
        <w:instrText xml:space="preserve"> ADDIN EN.CITE &lt;EndNote&gt;&lt;Cite&gt;&lt;Author&gt;Whitehead&lt;/Author&gt;&lt;Year&gt;2010&lt;/Year&gt;&lt;RecNum&gt;272&lt;/RecNum&gt;&lt;DisplayText&gt;[65]&lt;/DisplayText&gt;&lt;record&gt;&lt;rec-number&gt;272&lt;/rec-number&gt;&lt;foreign-keys&gt;&lt;key app="EN" db-id="sz9092dv2s5fpze9wpgx0zxgv5ar00aezrvf" timestamp="0"&gt;272&lt;/key&gt;&lt;/foreign-keys&gt;&lt;ref-type name="Journal Article"&gt;17&lt;/ref-type&gt;&lt;contributors&gt;&lt;authors&gt;&lt;author&gt;Whitehead, Sarah J&lt;/author&gt;&lt;author&gt;Ali, Shehzad&lt;/author&gt;&lt;/authors&gt;&lt;/contributors&gt;&lt;titles&gt;&lt;title&gt;Health outcomes in economic evaluation: the QALY and utilities&lt;/title&gt;&lt;secondary-title&gt;British medical bulletin&lt;/secondary-title&gt;&lt;/titles&gt;&lt;pages&gt;5-21&lt;/pages&gt;&lt;volume&gt;96&lt;/volume&gt;&lt;number&gt;1&lt;/number&gt;&lt;dates&gt;&lt;year&gt;2010&lt;/year&gt;&lt;/dates&gt;&lt;isbn&gt;0007-1420&lt;/isbn&gt;&lt;urls&gt;&lt;/urls&gt;&lt;/record&gt;&lt;/Cite&gt;&lt;/EndNote&gt;</w:instrText>
      </w:r>
      <w:r w:rsidRPr="00F10391">
        <w:fldChar w:fldCharType="separate"/>
      </w:r>
      <w:r w:rsidR="00700267">
        <w:rPr>
          <w:noProof/>
        </w:rPr>
        <w:t>[65]</w:t>
      </w:r>
      <w:r w:rsidRPr="00F10391">
        <w:fldChar w:fldCharType="end"/>
      </w:r>
      <w:r w:rsidRPr="00F10391">
        <w:t>, to add another prescriptive layer of red tape to the process could lead to further criticism. While MCDA is flexible enough to have a range of potential approaches that could help inform the decision-makers in a number of ways, we must be careful not to describe MCDA as a panacea that will cure all the challenges faced by NICE.</w:t>
      </w:r>
    </w:p>
    <w:p w14:paraId="5EB595DC" w14:textId="77777777" w:rsidR="00D22CE3" w:rsidRPr="00F10391" w:rsidRDefault="00D22CE3">
      <w:r w:rsidRPr="00F10391">
        <w:t xml:space="preserve">Deliberation is almost certain to remain an absolutely fundamental part of NICE’s decision processes, allowing decision-makers to be held to account in a way that simple box-ticking or the generation of seemingly scientific scores cannot. Even with terabytes of data accompanying pharmaceutical applications, no medicines agency in the world uses a quantitative approach to approving or denying access to drugs without ultimately using deliberation to settle on the final decision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With less data available, deliberation in public health becomes even more important. If done properly, one of the real advantages of MCDA approaches is to allow the discussion to focus on areas that will actually make a difference to the decision and to remove the need for unnecessary argument – decision-making can be streamlined, better, quicker and less fraught. Sensitivity analysis, if performed on the day, can feed back results to participants about disputed values in the weighting or scoring stage to see if it changes the final rankings (as in both projects in the intervention development/implementation stage).  The increased transparency offered by the approach will require decision-makers to address why decisions that deviate from its findings were chosen, further increasing the process’s accountability. Designed carefully, the incorporation of such an approach into the process should empower the decision-makers, rather than undermine the final deliberative decision process as “it is precisely (this) process that is the point” </w:t>
      </w:r>
      <w:r w:rsidRPr="00F10391">
        <w:fldChar w:fldCharType="begin"/>
      </w:r>
      <w:r w:rsidR="00D24504">
        <w:instrText xml:space="preserve"> ADDIN EN.CITE &lt;EndNote&gt;&lt;Cite&gt;&lt;Author&gt;Gruskin&lt;/Author&gt;&lt;Year&gt;2008&lt;/Year&gt;&lt;RecNum&gt;56&lt;/RecNum&gt;&lt;DisplayText&gt;[336]&lt;/DisplayText&gt;&lt;record&gt;&lt;rec-number&gt;56&lt;/rec-number&gt;&lt;foreign-keys&gt;&lt;key app="EN" db-id="sz9092dv2s5fpze9wpgx0zxgv5ar00aezrvf" timestamp="0"&gt;56&lt;/key&gt;&lt;/foreign-keys&gt;&lt;ref-type name="Journal Article"&gt;17&lt;/ref-type&gt;&lt;contributors&gt;&lt;authors&gt;&lt;author&gt;Gruskin, Sofia&lt;/author&gt;&lt;author&gt;Daniels, Norman&lt;/author&gt;&lt;/authors&gt;&lt;/contributors&gt;&lt;titles&gt;&lt;title&gt;Process is the point: justice and human rights: priority setting and fair deliberative process&lt;/title&gt;&lt;secondary-title&gt;American Journal of Public Health&lt;/secondary-title&gt;&lt;/titles&gt;&lt;pages&gt;1573&lt;/pages&gt;&lt;volume&gt;98&lt;/volume&gt;&lt;number&gt;9&lt;/number&gt;&lt;dates&gt;&lt;year&gt;2008&lt;/year&gt;&lt;/dates&gt;&lt;urls&gt;&lt;related-urls&gt;&lt;url&gt;http://www.ncbi.nlm.nih.gov/pmc/articles/PMC2509612/pdf/0981573.pdf&lt;/url&gt;&lt;/related-urls&gt;&lt;/urls&gt;&lt;/record&gt;&lt;/Cite&gt;&lt;/EndNote&gt;</w:instrText>
      </w:r>
      <w:r w:rsidRPr="00F10391">
        <w:fldChar w:fldCharType="separate"/>
      </w:r>
      <w:r w:rsidR="00D24504">
        <w:rPr>
          <w:noProof/>
        </w:rPr>
        <w:t>[336]</w:t>
      </w:r>
      <w:r w:rsidRPr="00F10391">
        <w:fldChar w:fldCharType="end"/>
      </w:r>
      <w:r w:rsidRPr="00F10391">
        <w:t>.</w:t>
      </w:r>
    </w:p>
    <w:p w14:paraId="774310BB" w14:textId="77777777" w:rsidR="00D22CE3" w:rsidRPr="00F10391" w:rsidRDefault="00D22CE3"/>
    <w:p w14:paraId="62E5C0C8" w14:textId="77777777" w:rsidR="00D22CE3" w:rsidRPr="00F10391" w:rsidRDefault="00D22CE3">
      <w:pPr>
        <w:pStyle w:val="Numberedheading2"/>
      </w:pPr>
      <w:bookmarkStart w:id="616" w:name="_Toc453235440"/>
      <w:bookmarkStart w:id="617" w:name="_Toc453595513"/>
      <w:bookmarkStart w:id="618" w:name="_Toc476241610"/>
      <w:bookmarkStart w:id="619" w:name="_Toc441509001"/>
      <w:bookmarkStart w:id="620" w:name="_Toc304640271"/>
      <w:bookmarkStart w:id="621" w:name="_Toc283984182"/>
      <w:r w:rsidRPr="00F10391">
        <w:t>5.5</w:t>
      </w:r>
      <w:r w:rsidRPr="00F10391">
        <w:tab/>
        <w:t>Conclusions</w:t>
      </w:r>
      <w:bookmarkEnd w:id="616"/>
      <w:bookmarkEnd w:id="617"/>
      <w:bookmarkEnd w:id="618"/>
      <w:r w:rsidRPr="00F10391">
        <w:t xml:space="preserve"> </w:t>
      </w:r>
      <w:bookmarkEnd w:id="619"/>
      <w:bookmarkEnd w:id="620"/>
      <w:bookmarkEnd w:id="621"/>
    </w:p>
    <w:p w14:paraId="23219366" w14:textId="77777777" w:rsidR="00D22CE3" w:rsidRPr="00F10391" w:rsidRDefault="00D22CE3">
      <w:r w:rsidRPr="00F10391">
        <w:t xml:space="preserve">The review in this chapter highlights the variety inherent in the economic modelling stage in the CPH guidance process. Both health and non-health issues are regularly taken into account and the economic evaluation methodology used varies on a case-by-case basis. Decisions by modellers and the PHAC are matched with the context of the problem, as is allowed by the reference case. But the models seem to break surprisingly regularly from the reference case nonetheless, most obviously in the fact that a public sector technique is not the most common approach used. </w:t>
      </w:r>
    </w:p>
    <w:p w14:paraId="5A206241" w14:textId="77777777" w:rsidR="00D22CE3" w:rsidRPr="00F10391" w:rsidRDefault="00D22CE3">
      <w:r w:rsidRPr="00F10391">
        <w:t>Another interesting finding was that under certain circumstances, certain approaches are indistinguishable from each other and effectively equivalent. However, in the remaining circumstances the same threshold is used regardless of the perspective and methodology used, which may lead to inconsistent decision-making.</w:t>
      </w:r>
    </w:p>
    <w:p w14:paraId="27664C47" w14:textId="77777777" w:rsidR="00D22CE3" w:rsidRPr="00F10391" w:rsidRDefault="00D22CE3">
      <w:r w:rsidRPr="00F10391">
        <w:t>Taking a fresh look at the approaches used allows time to consider where further improvements might be made. It seems an oversight that equity is not taken into account at the modelling stage – which is the one stage that uses formal quantitative decision analytical techniques that are incorporated into the guidance process. It would be interesting if equity concerns, and the trade-offs and opportunity costs associated with them, could be formally compared at this stage. This could lead to more consistency and would greatly improve the transparency of the process. At present we have no way to look retrospectively at these issues, and we can only hope and trust that deliberations dealt with them even-handedly and comprehensively.</w:t>
      </w:r>
    </w:p>
    <w:p w14:paraId="1A891284" w14:textId="77777777" w:rsidR="00D22CE3" w:rsidRPr="00F10391" w:rsidRDefault="00D22CE3">
      <w:r w:rsidRPr="00F10391">
        <w:t xml:space="preserve">There are a number of simple approaches which could be used to incorporate equity or other factors more directly into any decision-making stages concerned with cost-effectiveness, such as: </w:t>
      </w:r>
    </w:p>
    <w:p w14:paraId="179819D0" w14:textId="77777777" w:rsidR="00D22CE3" w:rsidRPr="00F10391" w:rsidRDefault="00D22CE3">
      <w:pPr>
        <w:pStyle w:val="ListParagraph"/>
        <w:numPr>
          <w:ilvl w:val="0"/>
          <w:numId w:val="51"/>
        </w:numPr>
      </w:pPr>
      <w:r w:rsidRPr="00F10391">
        <w:t>publishing a checklist of considerations taken into account in deliberation;</w:t>
      </w:r>
    </w:p>
    <w:p w14:paraId="4122FB75" w14:textId="77777777" w:rsidR="00D22CE3" w:rsidRPr="00F10391" w:rsidRDefault="00D22CE3">
      <w:pPr>
        <w:pStyle w:val="ListParagraph"/>
        <w:numPr>
          <w:ilvl w:val="0"/>
          <w:numId w:val="51"/>
        </w:numPr>
      </w:pPr>
      <w:r w:rsidRPr="00F10391">
        <w:t>increased use of CCA to aid the deliberative process;</w:t>
      </w:r>
    </w:p>
    <w:p w14:paraId="76158880" w14:textId="77777777" w:rsidR="00D22CE3" w:rsidRPr="00F10391" w:rsidRDefault="00D22CE3">
      <w:pPr>
        <w:pStyle w:val="ListParagraph"/>
        <w:numPr>
          <w:ilvl w:val="0"/>
          <w:numId w:val="51"/>
        </w:numPr>
      </w:pPr>
      <w:r w:rsidRPr="00F10391">
        <w:t xml:space="preserve">the incorporation of what-if analyses to quantitatively analyse the CCAs; or </w:t>
      </w:r>
    </w:p>
    <w:p w14:paraId="33227DE7" w14:textId="77777777" w:rsidR="00D22CE3" w:rsidRPr="00F10391" w:rsidRDefault="00D22CE3">
      <w:pPr>
        <w:pStyle w:val="ListParagraph"/>
        <w:numPr>
          <w:ilvl w:val="0"/>
          <w:numId w:val="51"/>
        </w:numPr>
      </w:pPr>
      <w:r w:rsidRPr="00F10391">
        <w:t xml:space="preserve">weighted CCAs - which could function as effectively full-blown MCDA approaches. </w:t>
      </w:r>
    </w:p>
    <w:p w14:paraId="4D44D3DE" w14:textId="77777777" w:rsidR="00D22CE3" w:rsidRPr="00F10391" w:rsidRDefault="00D22CE3">
      <w:r w:rsidRPr="00F10391">
        <w:t>An extended, total benefit function could also be used in theory, though the approach described in this chapter would undermine the role of deliberation and therefore may not lead to common sense decisions. It should be noted that other approaches could of course be used at other stages of the NICE decision-making process, as in Chapter 6.</w:t>
      </w:r>
    </w:p>
    <w:p w14:paraId="6480DA64" w14:textId="77777777" w:rsidR="00D22CE3" w:rsidRPr="00F10391" w:rsidRDefault="00D22CE3">
      <w:r w:rsidRPr="00F10391">
        <w:t>The approach used should be designed carefully and cognisant of the context of the problem, and the approaches above may not necessarily be relevant for use during stages of the decision-making process in NICE that do not incorporate cost-effectiveness information.</w:t>
      </w:r>
    </w:p>
    <w:p w14:paraId="3E471A00" w14:textId="3FC4E4FC" w:rsidR="00D22CE3" w:rsidRPr="00F10391" w:rsidRDefault="00D22CE3">
      <w:r w:rsidRPr="00F10391">
        <w:t xml:space="preserve">MCDA offers new options to decision-makers; however, it should not be considered a panacea and any approach used will have to be carefully tailored to fit with NICE’s aims and objectives in the future. No multi-criteria exercise seems appropriate for replacing deliberation in such complex decision problems, as ultimately nuances in the data would inevitably be overlooked. However, a well-designed MCDA could be used instead to better structure any such debate, making the decision process more effective and potentially quicker. Like economic models, MCDA techniques can only inform decision-making, and individuals will still require further </w:t>
      </w:r>
      <w:r w:rsidR="001B7ADD">
        <w:t>judgment</w:t>
      </w:r>
      <w:r w:rsidRPr="00F10391">
        <w:t xml:space="preserve"> to interpret results in a broader context.</w:t>
      </w:r>
    </w:p>
    <w:p w14:paraId="48BD4C83" w14:textId="071254AC" w:rsidR="00D22CE3" w:rsidRPr="00F10391" w:rsidRDefault="00D22CE3">
      <w:r w:rsidRPr="00F10391">
        <w:t xml:space="preserve">Given the complex nature of these approaches, and the risks associated with introducing them to a system that already broadly works, it seems reasonable only to introduce them on a step-by-step basis. As previously stated, in economic modelling it may be possible to combine the values presented in a CCA in a meaningful way to better inform decision-makers than with a simple scorecard as at present. While expert </w:t>
      </w:r>
      <w:r w:rsidR="001B7ADD">
        <w:t>judgment</w:t>
      </w:r>
      <w:r w:rsidRPr="00F10391">
        <w:t xml:space="preserve"> is likely to remain a requirement, at times even simple MCDA approaches might better highlight dominant approaches than the </w:t>
      </w:r>
      <w:r w:rsidRPr="00F10391">
        <w:rPr>
          <w:i/>
        </w:rPr>
        <w:t>status quo</w:t>
      </w:r>
      <w:r w:rsidRPr="00F10391">
        <w:t xml:space="preserve">. Outranking approaches may prove helpful in shortlisting the most useful interventions under consideration, even amongst those that were shown to be cost-effective. Other, compensatory approaches are simpler to understand and implement, and provide ranking of potential interventions, which will be necessary in certain circumstances. </w:t>
      </w:r>
    </w:p>
    <w:p w14:paraId="212D279E" w14:textId="77777777" w:rsidR="00D22CE3" w:rsidRPr="00F10391" w:rsidRDefault="00D22CE3">
      <w:r w:rsidRPr="00F10391">
        <w:t>NICE already has successful protocols in place for decision-making, so there is certainly a risk to changing these. Given that its health economic approaches can be thought of as a method of structuring decisions problems under given constraints - and MCDA is designed for use in structuring more complex problems -there is no reason why current approaches cannot continue to be used where they have previously been successful, supplemented by MCDA techniques where necessary. The approaches need not necessarily be in conflict.</w:t>
      </w:r>
    </w:p>
    <w:p w14:paraId="5C558CB2" w14:textId="77777777" w:rsidR="00D22CE3" w:rsidRPr="00F10391" w:rsidRDefault="00D22CE3">
      <w:r w:rsidRPr="00F10391">
        <w:t xml:space="preserve">Upon its foundation, the CPH represented an ambitious attempt to impose economic evaluation methodologies on disparate public health settings. As such there was no clear roadmap of how best to approach such issues, which instead needed to be worked out by trial and error. This is reflected in both the changing reference case and in the related changes in the types of economic evaluations techniques used. As such, inconsistencies between guidance topics are understandable. But this combination of being both novel and clearly quite tricky to get right seems on the face of it to merit the further investigation of formal MCDA approaches, which could better ensure that all potential actions are being investigated properly. </w:t>
      </w:r>
    </w:p>
    <w:p w14:paraId="590380A0" w14:textId="77777777" w:rsidR="00D22CE3" w:rsidRPr="00F10391" w:rsidRDefault="00D22CE3">
      <w:r w:rsidRPr="00F10391">
        <w:t>This chapter concludes the problem specification stage of the thesis described in the first chapter. Its purpose was to develop a rich understanding of MCDA techniques and their context so that suitable techniques could be designed for use in decision-making in English public health settings. The problem specification stage was made up of two parts:</w:t>
      </w:r>
    </w:p>
    <w:p w14:paraId="766A4C8B" w14:textId="7356253B" w:rsidR="00D22CE3" w:rsidRPr="00F10391" w:rsidRDefault="00D22CE3">
      <w:pPr>
        <w:pStyle w:val="ListParagraph"/>
        <w:numPr>
          <w:ilvl w:val="0"/>
          <w:numId w:val="52"/>
        </w:numPr>
      </w:pPr>
      <w:r w:rsidRPr="00F10391">
        <w:t xml:space="preserve">Chapters 2 and 3 established the fundamental concepts: and introduction to the frameworks used to structure decision-making at a policy-level in the UK, and the current state of play in terms of use of MCDA in public health settings. They related to the research question of </w:t>
      </w:r>
      <w:r w:rsidR="00C4401A">
        <w:t>‘</w:t>
      </w:r>
      <w:r w:rsidRPr="00F10391">
        <w:t>Which relevant techniques are available and where have they been used in public health settings?</w:t>
      </w:r>
      <w:r w:rsidR="00C4401A">
        <w:t>’</w:t>
      </w:r>
    </w:p>
    <w:p w14:paraId="67076934" w14:textId="3738BAC3" w:rsidR="00D22CE3" w:rsidRPr="00F10391" w:rsidRDefault="00D22CE3">
      <w:pPr>
        <w:pStyle w:val="ListParagraph"/>
        <w:numPr>
          <w:ilvl w:val="0"/>
          <w:numId w:val="52"/>
        </w:numPr>
      </w:pPr>
      <w:r w:rsidRPr="00F10391">
        <w:t xml:space="preserve">Chapters 4 and 5 developed upon these to flesh out how such approaches work in practice, in order to better understand the decision-making processes and context within the CPH (and to a certain extent in its interactions with other directorates in NICE and local governments). These chapters therefore play a crucial intermediate step that allow for the implementation of workable MCDA approaches in practice, which are themselves described in the upcoming pair of chapters. They addressed the question of </w:t>
      </w:r>
      <w:r w:rsidR="00C4401A">
        <w:t>‘</w:t>
      </w:r>
      <w:r w:rsidR="001C2F16">
        <w:t>H</w:t>
      </w:r>
      <w:r w:rsidRPr="00F10391">
        <w:t>ow are decisions made in the CPH, according to its reference case and in practice?</w:t>
      </w:r>
      <w:r w:rsidR="00C4401A">
        <w:t>’</w:t>
      </w:r>
    </w:p>
    <w:p w14:paraId="225BE1B5" w14:textId="77777777" w:rsidR="00D22CE3" w:rsidRPr="00F10391" w:rsidRDefault="00D22CE3">
      <w:r w:rsidRPr="00F10391">
        <w:t>Chapter 6 builds upon this section and is the first demonstration of an approach to use such an approach in decision-making settings. Of all the stages in the CPH decision process, the initial, topic selection stage relies most on deliberation. The next chapter describes a piloted attempt to incorporate an AHP stage into this process to better inform such discussions.</w:t>
      </w:r>
    </w:p>
    <w:p w14:paraId="39EEB339" w14:textId="77777777" w:rsidR="00D22CE3" w:rsidRPr="00F10391" w:rsidRDefault="00D22CE3" w:rsidP="0063065F">
      <w:r w:rsidRPr="00F10391">
        <w:br w:type="page"/>
      </w:r>
    </w:p>
    <w:p w14:paraId="155E5CB7" w14:textId="77777777" w:rsidR="00D22CE3" w:rsidRPr="00F10391" w:rsidRDefault="00D22CE3" w:rsidP="00494A9A">
      <w:pPr>
        <w:pStyle w:val="Heading1"/>
      </w:pPr>
      <w:bookmarkStart w:id="622" w:name="_Toc453235441"/>
      <w:bookmarkStart w:id="623" w:name="_Toc453595514"/>
      <w:bookmarkStart w:id="624" w:name="_Toc476241611"/>
      <w:r w:rsidRPr="00F10391">
        <w:t>:</w:t>
      </w:r>
      <w:r w:rsidRPr="00F10391">
        <w:tab/>
        <w:t>Case study 1 – Prioritising public health guidance topics in the National Institute for Health and Care Excellence using the Analytic Hierarchy Process</w:t>
      </w:r>
      <w:bookmarkEnd w:id="622"/>
      <w:bookmarkEnd w:id="623"/>
      <w:bookmarkEnd w:id="624"/>
      <w:r w:rsidRPr="00F10391">
        <w:t xml:space="preserve"> </w:t>
      </w:r>
    </w:p>
    <w:p w14:paraId="60178523" w14:textId="77777777" w:rsidR="00D22CE3" w:rsidRPr="00F10391" w:rsidRDefault="00D22CE3" w:rsidP="00494A9A">
      <w:bookmarkStart w:id="625" w:name="_Toc441509003"/>
    </w:p>
    <w:p w14:paraId="015B7373" w14:textId="77777777" w:rsidR="00D22CE3" w:rsidRPr="00F10391" w:rsidRDefault="00D22CE3" w:rsidP="00490B5D">
      <w:pPr>
        <w:pStyle w:val="Numberedheading2"/>
      </w:pPr>
      <w:bookmarkStart w:id="626" w:name="_Toc453235442"/>
      <w:bookmarkStart w:id="627" w:name="_Toc453595515"/>
      <w:bookmarkStart w:id="628" w:name="_Toc476241612"/>
      <w:r w:rsidRPr="00F10391">
        <w:t>6</w:t>
      </w:r>
      <w:bookmarkStart w:id="629" w:name="_Toc304640245"/>
      <w:r w:rsidRPr="00F10391">
        <w:t>.1</w:t>
      </w:r>
      <w:r w:rsidRPr="00F10391">
        <w:tab/>
      </w:r>
      <w:r w:rsidRPr="00F10391">
        <w:tab/>
        <w:t>Introduction</w:t>
      </w:r>
      <w:bookmarkEnd w:id="626"/>
      <w:bookmarkEnd w:id="627"/>
      <w:bookmarkEnd w:id="628"/>
      <w:r w:rsidRPr="00F10391">
        <w:t xml:space="preserve"> </w:t>
      </w:r>
      <w:bookmarkEnd w:id="625"/>
      <w:bookmarkEnd w:id="629"/>
    </w:p>
    <w:p w14:paraId="2C68AD30" w14:textId="77777777" w:rsidR="00D22CE3" w:rsidRPr="00F10391" w:rsidRDefault="00D22CE3" w:rsidP="00490B5D"/>
    <w:p w14:paraId="46C8DCEF" w14:textId="7D4C2B85" w:rsidR="00D22CE3" w:rsidRPr="00F10391" w:rsidRDefault="00D22CE3" w:rsidP="006942ED">
      <w:r w:rsidRPr="00F10391">
        <w:t xml:space="preserve">The prior chapters have described MCDA approaches and their applications in public health, as well as the complex balance that is already required between goals and criteria in public health decision-making processes in NICE. Together, these chapters formed the </w:t>
      </w:r>
      <w:r w:rsidR="00C4401A">
        <w:t>‘</w:t>
      </w:r>
      <w:r w:rsidR="001B120B" w:rsidRPr="00F10391">
        <w:t>pr</w:t>
      </w:r>
      <w:r w:rsidR="001B120B">
        <w:t>oblem</w:t>
      </w:r>
      <w:r w:rsidR="001B120B" w:rsidRPr="00F10391">
        <w:t xml:space="preserve"> </w:t>
      </w:r>
      <w:r w:rsidRPr="00F10391">
        <w:t>specification</w:t>
      </w:r>
      <w:r w:rsidR="00C4401A">
        <w:t>’</w:t>
      </w:r>
      <w:r w:rsidRPr="00F10391">
        <w:t xml:space="preserve"> stage of the thesis and should collectively present a clear case for why we might wish to trial the implementation of MCDA techniques in practical settings. The next two </w:t>
      </w:r>
      <w:r w:rsidR="00C4401A">
        <w:t>‘</w:t>
      </w:r>
      <w:r w:rsidRPr="00F10391">
        <w:t>Intervention development and implementation</w:t>
      </w:r>
      <w:r w:rsidR="00C4401A">
        <w:t>’</w:t>
      </w:r>
      <w:r w:rsidRPr="00F10391">
        <w:t xml:space="preserve"> chapters show carefully designed examples of how we might do so in public health decision-making settings in England. The research question associated with this chapter is therefore </w:t>
      </w:r>
      <w:r w:rsidR="00C4401A">
        <w:t>‘</w:t>
      </w:r>
      <w:r w:rsidR="001C2F16">
        <w:rPr>
          <w:i/>
        </w:rPr>
        <w:t>C</w:t>
      </w:r>
      <w:r w:rsidRPr="00F10391">
        <w:rPr>
          <w:i/>
        </w:rPr>
        <w:t>an suitable MCDA techniques be piloted or implemented at decision-maker level?</w:t>
      </w:r>
      <w:r w:rsidR="00C4401A">
        <w:t>’</w:t>
      </w:r>
    </w:p>
    <w:p w14:paraId="22D0A1A4" w14:textId="77777777" w:rsidR="00D22CE3" w:rsidRPr="00F10391" w:rsidRDefault="00D22CE3">
      <w:r w:rsidRPr="00F10391">
        <w:t xml:space="preserve">The chapter is based upon a paper reporting the project, previously published in Public Health </w:t>
      </w:r>
      <w:r w:rsidRPr="00F10391">
        <w:fldChar w:fldCharType="begin"/>
      </w:r>
      <w:r w:rsidR="00D24504">
        <w:instrText xml:space="preserve"> ADDIN EN.CITE &lt;EndNote&gt;&lt;Cite&gt;&lt;Author&gt;Reddy&lt;/Author&gt;&lt;Year&gt;2014&lt;/Year&gt;&lt;RecNum&gt;166&lt;/RecNum&gt;&lt;DisplayText&gt;[337]&lt;/DisplayText&gt;&lt;record&gt;&lt;rec-number&gt;166&lt;/rec-number&gt;&lt;foreign-keys&gt;&lt;key app="EN" db-id="sz9092dv2s5fpze9wpgx0zxgv5ar00aezrvf" timestamp="0"&gt;166&lt;/key&gt;&lt;/foreign-keys&gt;&lt;ref-type name="Journal Article"&gt;17&lt;/ref-type&gt;&lt;contributors&gt;&lt;authors&gt;&lt;author&gt;Reddy, BP&lt;/author&gt;&lt;author&gt;Kelly, MP&lt;/author&gt;&lt;author&gt;Thokala, P&lt;/author&gt;&lt;author&gt;Walters, SJ&lt;/author&gt;&lt;author&gt;Duenas, A&lt;/author&gt;&lt;/authors&gt;&lt;/contributors&gt;&lt;titles&gt;&lt;title&gt;Prioritising public health guidance topics in the National Institute for Health and Care Excellence using the Analytic Hierarchy Process&lt;/title&gt;&lt;secondary-title&gt;Public health&lt;/secondary-title&gt;&lt;/titles&gt;&lt;pages&gt;896-903&lt;/pages&gt;&lt;volume&gt;128&lt;/volume&gt;&lt;number&gt;10&lt;/number&gt;&lt;dates&gt;&lt;year&gt;2014&lt;/year&gt;&lt;/dates&gt;&lt;isbn&gt;0033-3506&lt;/isbn&gt;&lt;urls&gt;&lt;related-urls&gt;&lt;url&gt;http://www.publichealthjrnl.com/article/S0033-3506(14)00184-X/pdf&lt;/url&gt;&lt;/related-urls&gt;&lt;/urls&gt;&lt;/record&gt;&lt;/Cite&gt;&lt;/EndNote&gt;</w:instrText>
      </w:r>
      <w:r w:rsidRPr="00F10391">
        <w:fldChar w:fldCharType="separate"/>
      </w:r>
      <w:r w:rsidR="00D24504">
        <w:rPr>
          <w:noProof/>
        </w:rPr>
        <w:t>[337]</w:t>
      </w:r>
      <w:r w:rsidRPr="00F10391">
        <w:fldChar w:fldCharType="end"/>
      </w:r>
      <w:r w:rsidRPr="00F10391">
        <w:t xml:space="preserve">. It describes a proof of concept pilot study that was undertaken with the aim of investigating how an MCDA technique could feasibly be incorporated into current CPH decision-making processes, built upon my understanding of these built up over the problem specification stage. It was assumed that an incremental, modular change, where it is embedded into one or more currently existing processes, would be more realistic and feasible to implement than wholesale systemic change. A case study, applied at an appropriate point along the chain of sub-processes in NICE guidance development process (shown previously in Figure 4.1) appeared the appropriate way to do so. During the secondment in the CPH, I identified the topic appraisal process as relying particularly heavily on largely unstructured deliberation. The question thereafter became one of ‘how can such a process be designed to better structure this decision-making stage?’ This decision context is described in section 6.4.1. </w:t>
      </w:r>
    </w:p>
    <w:p w14:paraId="38D5E672" w14:textId="77777777" w:rsidR="00D22CE3" w:rsidRPr="00F10391" w:rsidRDefault="00D22CE3">
      <w:r w:rsidRPr="00F10391">
        <w:t xml:space="preserve">The Analytic Hierarchy Process (AHP) was used and is described again in this context. The pilot consisted of eight participants with experience of related NICE committees, who built a model to prioritise topics in a ‘decision conference’ setting. Criteria were identified and subsequently weighted to indicate the relative importance of each. Participants also collaboratively estimated the performance of each topic on each criterion. Total scores for each topic were calculated, which could be ranked and used as the basis for better informed discussion for prioritising topics for future guidance to be recommended to the Minister if it were to be used in practice. Sensitivity analyses of the dataset found it to be robust. </w:t>
      </w:r>
    </w:p>
    <w:p w14:paraId="00F68367" w14:textId="77777777" w:rsidR="00D22CE3" w:rsidRPr="00F10391" w:rsidRDefault="00D22CE3">
      <w:r w:rsidRPr="00F10391">
        <w:t>At present, procedures for prioritising between topics for future guidance are normally performed within the CPH, though the final decision remains with the relevant government Minister. On some occasions, the Secretary of State for Health or other Ministers in the Department of Health will directly propose potential topics for guideline development, which NICE is obligated to carry out.</w:t>
      </w:r>
    </w:p>
    <w:p w14:paraId="0C1BADAF" w14:textId="77777777" w:rsidR="00D22CE3" w:rsidRPr="00F10391" w:rsidRDefault="00D22CE3">
      <w:r w:rsidRPr="00F10391">
        <w:t xml:space="preserve">At the time of the pilot (in mid-2012), topics for public health guidance were appraised at a thrice-yearly NICE Topic Advisory Workshop (TAW), a sitting committee made up of experts and lay members of the public. In advance of the meeting, briefing papers are prepared by the CPH and NICE's Information Services team, developing the proposed topic and describing how it would likely work in practice. Participants at the workshop discuss and rank the topics by consensus, bearing in mind a wide variety of concerns, including the feasibility constraints. Since the publication of the 2014 guidance, this process has changed slightly, and  is now agreed between NICE, NHS England, the Department of Health and Public Health England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w:t>
      </w:r>
    </w:p>
    <w:p w14:paraId="1CE2CCF2" w14:textId="3D9FE347" w:rsidR="00D22CE3" w:rsidRPr="00F10391" w:rsidRDefault="001B7ADD">
      <w:r>
        <w:t>Judgment</w:t>
      </w:r>
      <w:r w:rsidR="00D22CE3" w:rsidRPr="00F10391">
        <w:t xml:space="preserve"> inevitably plays a key role in medical decision-making, informed by any available evidence, and associated assumptions used should be made explicit where possible </w:t>
      </w:r>
      <w:r w:rsidR="00D22CE3" w:rsidRPr="00F10391">
        <w:fldChar w:fldCharType="begin"/>
      </w:r>
      <w:r w:rsidR="00700267">
        <w:instrText xml:space="preserve"> ADDIN EN.CITE &lt;EndNote&gt;&lt;Cite&gt;&lt;Author&gt;Dowie&lt;/Author&gt;&lt;Year&gt;1996&lt;/Year&gt;&lt;RecNum&gt;41&lt;/RecNum&gt;&lt;DisplayText&gt;[41]&lt;/DisplayText&gt;&lt;record&gt;&lt;rec-number&gt;41&lt;/rec-number&gt;&lt;foreign-keys&gt;&lt;key app="EN" db-id="sz9092dv2s5fpze9wpgx0zxgv5ar00aezrvf" timestamp="0"&gt;41&lt;/key&gt;&lt;/foreign-keys&gt;&lt;ref-type name="Journal Article"&gt;17&lt;/ref-type&gt;&lt;contributors&gt;&lt;authors&gt;&lt;author&gt;Dowie, Jack&lt;/author&gt;&lt;/authors&gt;&lt;/contributors&gt;&lt;titles&gt;&lt;title&gt;‘Evidence-based’,‘Cost-Effective’and ‘Preference-Driven’Medicine: Decision Analysis Based Medical Decision Making is the Pre-Requisite&lt;/title&gt;&lt;secondary-title&gt;Journal of Health Services Research&lt;/secondary-title&gt;&lt;/titles&gt;&lt;pages&gt;104-113&lt;/pages&gt;&lt;volume&gt;1&lt;/volume&gt;&lt;number&gt;2&lt;/number&gt;&lt;dates&gt;&lt;year&gt;1996&lt;/year&gt;&lt;/dates&gt;&lt;isbn&gt;1355-8196&lt;/isbn&gt;&lt;urls&gt;&lt;/urls&gt;&lt;/record&gt;&lt;/Cite&gt;&lt;/EndNote&gt;</w:instrText>
      </w:r>
      <w:r w:rsidR="00D22CE3" w:rsidRPr="00F10391">
        <w:fldChar w:fldCharType="separate"/>
      </w:r>
      <w:r w:rsidR="00700267">
        <w:rPr>
          <w:noProof/>
        </w:rPr>
        <w:t>[41]</w:t>
      </w:r>
      <w:r w:rsidR="00D22CE3" w:rsidRPr="00F10391">
        <w:fldChar w:fldCharType="end"/>
      </w:r>
      <w:r w:rsidR="00D22CE3" w:rsidRPr="00F10391">
        <w:t xml:space="preserve">. </w:t>
      </w:r>
      <w:r w:rsidR="00D22CE3" w:rsidRPr="00F10391">
        <w:fldChar w:fldCharType="begin"/>
      </w:r>
      <w:r w:rsidR="00D24504">
        <w:instrText xml:space="preserve"> ADDIN EN.CITE &lt;EndNote&gt;&lt;Cite AuthorYear="1"&gt;&lt;Author&gt;Simon&lt;/Author&gt;&lt;Year&gt;1957&lt;/Year&gt;&lt;RecNum&gt;264&lt;/RecNum&gt;&lt;DisplayText&gt;Simon [338]&lt;/DisplayText&gt;&lt;record&gt;&lt;rec-number&gt;264&lt;/rec-number&gt;&lt;foreign-keys&gt;&lt;key app="EN" db-id="sz9092dv2s5fpze9wpgx0zxgv5ar00aezrvf" timestamp="0"&gt;264&lt;/key&gt;&lt;/foreign-keys&gt;&lt;ref-type name="Journal Article"&gt;17&lt;/ref-type&gt;&lt;contributors&gt;&lt;authors&gt;&lt;author&gt;Simon, Herbert A&lt;/author&gt;&lt;/authors&gt;&lt;/contributors&gt;&lt;titles&gt;&lt;title&gt;Models of man; social and rational&lt;/title&gt;&lt;/titles&gt;&lt;dates&gt;&lt;year&gt;1957&lt;/year&gt;&lt;/dates&gt;&lt;urls&gt;&lt;/urls&gt;&lt;/record&gt;&lt;/Cite&gt;&lt;/EndNote&gt;</w:instrText>
      </w:r>
      <w:r w:rsidR="00D22CE3" w:rsidRPr="00F10391">
        <w:fldChar w:fldCharType="separate"/>
      </w:r>
      <w:r w:rsidR="00D24504">
        <w:rPr>
          <w:noProof/>
        </w:rPr>
        <w:t>Simon [338]</w:t>
      </w:r>
      <w:r w:rsidR="00D22CE3" w:rsidRPr="00F10391">
        <w:fldChar w:fldCharType="end"/>
      </w:r>
      <w:r w:rsidR="00D22CE3" w:rsidRPr="00F10391">
        <w:t xml:space="preserve"> characterised decision-making as “problem solving” and pointed out that it is generally carried out more effectively when the ‘problem’ is well-structured. NICE makes social value </w:t>
      </w:r>
      <w:r>
        <w:t>judgment</w:t>
      </w:r>
      <w:r w:rsidR="00D22CE3" w:rsidRPr="00F10391">
        <w:t xml:space="preserve">s when necessary and, as at other stages, uses deliberation as a tool for doing so </w:t>
      </w:r>
      <w:r w:rsidR="00D22CE3" w:rsidRPr="00F10391">
        <w:fldChar w:fldCharType="begin"/>
      </w:r>
      <w:r w:rsidR="00D24504">
        <w:instrText xml:space="preserve"> ADDIN EN.CITE &lt;EndNote&gt;&lt;Cite&gt;&lt;Author&gt;Williams&lt;/Author&gt;&lt;Year&gt;2007&lt;/Year&gt;&lt;RecNum&gt;156&lt;/RecNum&gt;&lt;DisplayText&gt;[339]&lt;/DisplayText&gt;&lt;record&gt;&lt;rec-number&gt;156&lt;/rec-number&gt;&lt;foreign-keys&gt;&lt;key app="EN" db-id="sz9092dv2s5fpze9wpgx0zxgv5ar00aezrvf" timestamp="0"&gt;156&lt;/key&gt;&lt;/foreign-keys&gt;&lt;ref-type name="Journal Article"&gt;17&lt;/ref-type&gt;&lt;contributors&gt;&lt;authors&gt;&lt;author&gt;Williams, Iestyn P; Bryan, Stirling&lt;/author&gt;&lt;/authors&gt;&lt;/contributors&gt;&lt;titles&gt;&lt;title&gt;Cost-effectiveness analysis and formulary decision making in England: findings from research&lt;/title&gt;&lt;secondary-title&gt;Social science &amp;amp; medicine&lt;/secondary-title&gt;&lt;/titles&gt;&lt;periodical&gt;&lt;full-title&gt;Social science &amp;amp; medicine&lt;/full-title&gt;&lt;/periodical&gt;&lt;pages&gt;2116-2129&lt;/pages&gt;&lt;volume&gt;65&lt;/volume&gt;&lt;number&gt;10&lt;/number&gt;&lt;dates&gt;&lt;year&gt;2007&lt;/year&gt;&lt;/dates&gt;&lt;isbn&gt;0277-9536&lt;/isbn&gt;&lt;urls&gt;&lt;related-urls&gt;&lt;url&gt;http://www.sciencedirect.com/science/article/pii/S0277953607003450&lt;/url&gt;&lt;/related-urls&gt;&lt;/urls&gt;&lt;/record&gt;&lt;/Cite&gt;&lt;/EndNote&gt;</w:instrText>
      </w:r>
      <w:r w:rsidR="00D22CE3" w:rsidRPr="00F10391">
        <w:fldChar w:fldCharType="separate"/>
      </w:r>
      <w:r w:rsidR="00D24504">
        <w:rPr>
          <w:noProof/>
        </w:rPr>
        <w:t>[339]</w:t>
      </w:r>
      <w:r w:rsidR="00D22CE3" w:rsidRPr="00F10391">
        <w:fldChar w:fldCharType="end"/>
      </w:r>
      <w:r w:rsidR="00D22CE3" w:rsidRPr="00F10391">
        <w:t xml:space="preserve">. It does not go as far as prescribing and weighting the relevant criteria as part of this process </w:t>
      </w:r>
      <w:r w:rsidR="00D22CE3" w:rsidRPr="00F10391">
        <w:fldChar w:fldCharType="begin"/>
      </w:r>
      <w:r w:rsidR="00D24504">
        <w:instrText xml:space="preserve"> ADDIN EN.CITE &lt;EndNote&gt;&lt;Cite&gt;&lt;Author&gt;Rawlins&lt;/Author&gt;&lt;Year&gt;2004&lt;/Year&gt;&lt;RecNum&gt;115&lt;/RecNum&gt;&lt;DisplayText&gt;[340]&lt;/DisplayText&gt;&lt;record&gt;&lt;rec-number&gt;115&lt;/rec-number&gt;&lt;foreign-keys&gt;&lt;key app="EN" db-id="sz9092dv2s5fpze9wpgx0zxgv5ar00aezrvf" timestamp="0"&gt;115&lt;/key&gt;&lt;/foreign-keys&gt;&lt;ref-type name="Journal Article"&gt;17&lt;/ref-type&gt;&lt;contributors&gt;&lt;authors&gt;&lt;author&gt;Rawlins, Michael D&lt;/author&gt;&lt;author&gt;Culyer, Anthony J&lt;/author&gt;&lt;/authors&gt;&lt;/contributors&gt;&lt;titles&gt;&lt;title&gt;National Institute for Clinical Excellence and its value judgments&lt;/title&gt;&lt;secondary-title&gt;BMJ: British Medical Journal&lt;/secondary-title&gt;&lt;/titles&gt;&lt;pages&gt;224&lt;/pages&gt;&lt;volume&gt;329&lt;/volume&gt;&lt;number&gt;7459&lt;/number&gt;&lt;dates&gt;&lt;year&gt;2004&lt;/year&gt;&lt;/dates&gt;&lt;urls&gt;&lt;related-urls&gt;&lt;url&gt;http://www.ncbi.nlm.nih.gov/pmc/articles/PMC487742/pdf/bmj32900224.pdf&lt;/url&gt;&lt;/related-urls&gt;&lt;/urls&gt;&lt;/record&gt;&lt;/Cite&gt;&lt;/EndNote&gt;</w:instrText>
      </w:r>
      <w:r w:rsidR="00D22CE3" w:rsidRPr="00F10391">
        <w:fldChar w:fldCharType="separate"/>
      </w:r>
      <w:r w:rsidR="00D24504">
        <w:rPr>
          <w:noProof/>
        </w:rPr>
        <w:t>[340]</w:t>
      </w:r>
      <w:r w:rsidR="00D22CE3" w:rsidRPr="00F10391">
        <w:fldChar w:fldCharType="end"/>
      </w:r>
      <w:r w:rsidR="00D22CE3" w:rsidRPr="00F10391">
        <w:t xml:space="preserve">. </w:t>
      </w:r>
      <w:r w:rsidR="00AB00ED">
        <w:t xml:space="preserve">The A4R framework </w:t>
      </w:r>
      <w:r w:rsidR="00AB00ED" w:rsidRPr="00F10391">
        <w:fldChar w:fldCharType="begin"/>
      </w:r>
      <w:r w:rsidR="00D24504">
        <w:instrText xml:space="preserve"> ADDIN EN.CITE &lt;EndNote&gt;&lt;Cite&gt;&lt;Author&gt;Daniels&lt;/Author&gt;&lt;Year&gt;2000&lt;/Year&gt;&lt;RecNum&gt;33&lt;/RecNum&gt;&lt;DisplayText&gt;[341]&lt;/DisplayText&gt;&lt;record&gt;&lt;rec-number&gt;33&lt;/rec-number&gt;&lt;foreign-keys&gt;&lt;key app="EN" db-id="sz9092dv2s5fpze9wpgx0zxgv5ar00aezrvf" timestamp="0"&gt;33&lt;/key&gt;&lt;/foreign-keys&gt;&lt;ref-type name="Journal Article"&gt;17&lt;/ref-type&gt;&lt;contributors&gt;&lt;authors&gt;&lt;author&gt;Daniels, Norman&lt;/author&gt;&lt;/authors&gt;&lt;/contributors&gt;&lt;titles&gt;&lt;title&gt;Accountability for reasonableness: Establishing a fair process for priority setting is easier than agreeing on principles&lt;/title&gt;&lt;secondary-title&gt;BMJ: British Medical Journal&lt;/secondary-title&gt;&lt;/titles&gt;&lt;pages&gt;1300&lt;/pages&gt;&lt;volume&gt;321&lt;/volume&gt;&lt;number&gt;7272&lt;/number&gt;&lt;dates&gt;&lt;year&gt;2000&lt;/year&gt;&lt;/dates&gt;&lt;urls&gt;&lt;related-urls&gt;&lt;url&gt;http://www.ncbi.nlm.nih.gov/pmc/articles/PMC1119050/pdf/1300.pdf&lt;/url&gt;&lt;/related-urls&gt;&lt;/urls&gt;&lt;/record&gt;&lt;/Cite&gt;&lt;/EndNote&gt;</w:instrText>
      </w:r>
      <w:r w:rsidR="00AB00ED" w:rsidRPr="00F10391">
        <w:fldChar w:fldCharType="separate"/>
      </w:r>
      <w:r w:rsidR="00D24504">
        <w:rPr>
          <w:noProof/>
        </w:rPr>
        <w:t>[341]</w:t>
      </w:r>
      <w:r w:rsidR="00AB00ED" w:rsidRPr="00F10391">
        <w:fldChar w:fldCharType="end"/>
      </w:r>
      <w:r w:rsidR="00AB00ED" w:rsidRPr="00F10391">
        <w:t xml:space="preserve"> </w:t>
      </w:r>
      <w:r w:rsidR="001E0A41">
        <w:t xml:space="preserve">states </w:t>
      </w:r>
      <w:r w:rsidR="009E2AFE">
        <w:t xml:space="preserve">that making </w:t>
      </w:r>
      <w:r w:rsidR="00D22CE3" w:rsidRPr="00F10391">
        <w:t>explicit decision-makers' reasoning and assumptions</w:t>
      </w:r>
      <w:r w:rsidR="001E0A41">
        <w:t xml:space="preserve"> - </w:t>
      </w:r>
      <w:r w:rsidR="009E2AFE">
        <w:t>as</w:t>
      </w:r>
      <w:r w:rsidR="001E0A41">
        <w:t xml:space="preserve"> is the case for many</w:t>
      </w:r>
      <w:r w:rsidR="009E2AFE">
        <w:t xml:space="preserve"> </w:t>
      </w:r>
      <w:r w:rsidR="00D22CE3" w:rsidRPr="00F10391">
        <w:t>MCDA techniques</w:t>
      </w:r>
      <w:r w:rsidR="001E0A41">
        <w:t>,</w:t>
      </w:r>
      <w:r w:rsidR="009E2AFE">
        <w:t xml:space="preserve"> including</w:t>
      </w:r>
      <w:r w:rsidR="00D22CE3" w:rsidRPr="00F10391">
        <w:t xml:space="preserve"> AHP</w:t>
      </w:r>
      <w:r w:rsidR="001E0A41">
        <w:t xml:space="preserve"> -</w:t>
      </w:r>
      <w:r w:rsidR="00D22CE3" w:rsidRPr="00F10391">
        <w:t xml:space="preserve"> </w:t>
      </w:r>
      <w:r w:rsidR="009E2AFE">
        <w:t>is necess</w:t>
      </w:r>
      <w:r w:rsidR="006A5AA3">
        <w:t>ary</w:t>
      </w:r>
      <w:r w:rsidR="009E2AFE">
        <w:t xml:space="preserve"> for </w:t>
      </w:r>
      <w:r w:rsidR="006A5AA3">
        <w:t>a decision-making process</w:t>
      </w:r>
      <w:r w:rsidR="009E2AFE">
        <w:t xml:space="preserve"> to be considered as fair.</w:t>
      </w:r>
      <w:r w:rsidR="00D22CE3" w:rsidRPr="00F10391">
        <w:t xml:space="preserve"> The technique may also offer improved consistency, transparency and accountability </w:t>
      </w:r>
      <w:r w:rsidR="00D22CE3" w:rsidRPr="00F10391">
        <w:fldChar w:fldCharType="begin"/>
      </w:r>
      <w:r w:rsidR="00D22CE3"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00D22CE3" w:rsidRPr="00F10391">
        <w:fldChar w:fldCharType="separate"/>
      </w:r>
      <w:r w:rsidR="00D22CE3" w:rsidRPr="00F10391">
        <w:t>[4]</w:t>
      </w:r>
      <w:r w:rsidR="00D22CE3" w:rsidRPr="00F10391">
        <w:fldChar w:fldCharType="end"/>
      </w:r>
      <w:r w:rsidR="00D22CE3" w:rsidRPr="00F10391">
        <w:t xml:space="preserve">. Explicitness allows for increased public scrutiny and criticism </w:t>
      </w:r>
      <w:r w:rsidR="00D22CE3" w:rsidRPr="00F10391">
        <w:fldChar w:fldCharType="begin"/>
      </w:r>
      <w:r w:rsidR="00700267">
        <w:instrText xml:space="preserve"> ADDIN EN.CITE &lt;EndNote&gt;&lt;Cite&gt;&lt;Author&gt;Sen&lt;/Author&gt;&lt;Year&gt;1999&lt;/Year&gt;&lt;RecNum&gt;130&lt;/RecNum&gt;&lt;DisplayText&gt;[86, 143]&lt;/DisplayText&gt;&lt;record&gt;&lt;rec-number&gt;130&lt;/rec-number&gt;&lt;foreign-keys&gt;&lt;key app="EN" db-id="sz9092dv2s5fpze9wpgx0zxgv5ar00aezrvf" timestamp="0"&gt;130&lt;/key&gt;&lt;/foreign-keys&gt;&lt;ref-type name="Book"&gt;6&lt;/ref-type&gt;&lt;contributors&gt;&lt;authors&gt;&lt;author&gt;Sen, Amartya&lt;/author&gt;&lt;/authors&gt;&lt;/contributors&gt;&lt;titles&gt;&lt;title&gt;Development as freedom&lt;/title&gt;&lt;/titles&gt;&lt;dates&gt;&lt;year&gt;1999&lt;/year&gt;&lt;/dates&gt;&lt;publisher&gt;Oxford University Press&lt;/publisher&gt;&lt;isbn&gt;0198297580&lt;/isbn&gt;&lt;urls&gt;&lt;/urls&gt;&lt;/record&gt;&lt;/Cite&gt;&lt;Cite&gt;&lt;Author&gt;Mussen&lt;/Author&gt;&lt;Year&gt;2009&lt;/Year&gt;&lt;RecNum&gt;98&lt;/RecNum&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Kingdom&lt;/publisher&gt;&lt;urls&gt;&lt;/urls&gt;&lt;/record&gt;&lt;/Cite&gt;&lt;/EndNote&gt;</w:instrText>
      </w:r>
      <w:r w:rsidR="00D22CE3" w:rsidRPr="00F10391">
        <w:fldChar w:fldCharType="separate"/>
      </w:r>
      <w:r w:rsidR="00700267">
        <w:rPr>
          <w:noProof/>
        </w:rPr>
        <w:t>[86, 143]</w:t>
      </w:r>
      <w:r w:rsidR="00D22CE3" w:rsidRPr="00F10391">
        <w:fldChar w:fldCharType="end"/>
      </w:r>
      <w:r w:rsidR="00D22CE3" w:rsidRPr="00F10391">
        <w:t xml:space="preserve">, potentially leading to greater public confidence in the decision and process </w:t>
      </w:r>
      <w:r w:rsidR="00D22CE3" w:rsidRPr="00F10391">
        <w:fldChar w:fldCharType="begin"/>
      </w:r>
      <w:r w:rsidR="00D22CE3"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00D22CE3" w:rsidRPr="00F10391">
        <w:fldChar w:fldCharType="separate"/>
      </w:r>
      <w:r w:rsidR="00D22CE3" w:rsidRPr="00F10391">
        <w:t>[4]</w:t>
      </w:r>
      <w:r w:rsidR="00D22CE3" w:rsidRPr="00F10391">
        <w:fldChar w:fldCharType="end"/>
      </w:r>
      <w:r w:rsidR="00D22CE3" w:rsidRPr="00F10391">
        <w:t xml:space="preserve">. It is hoped that a dialogue of sorts with the public would help ensure that the process is better explained and hence better appreciated </w:t>
      </w:r>
      <w:r w:rsidR="00D22CE3" w:rsidRPr="00F10391">
        <w:fldChar w:fldCharType="begin"/>
      </w:r>
      <w:r w:rsidR="00D24504">
        <w:instrText xml:space="preserve"> ADDIN EN.CITE &lt;EndNote&gt;&lt;Cite&gt;&lt;Author&gt;Baltussen R&lt;/Author&gt;&lt;Year&gt;2010&lt;/Year&gt;&lt;RecNum&gt;1&lt;/RecNum&gt;&lt;DisplayText&gt;[342]&lt;/DisplayText&gt;&lt;record&gt;&lt;rec-number&gt;1&lt;/rec-number&gt;&lt;foreign-keys&gt;&lt;key app="EN" db-id="sz9092dv2s5fpze9wpgx0zxgv5ar00aezrvf" timestamp="0"&gt;1&lt;/key&gt;&lt;/foreign-keys&gt;&lt;ref-type name="Journal Article"&gt;17&lt;/ref-type&gt;&lt;contributors&gt;&lt;authors&gt;&lt;author&gt;Baltussen R, Youngkong S, Paolucci F, Niessen L&lt;/author&gt;&lt;/authors&gt;&lt;/contributors&gt;&lt;titles&gt;&lt;title&gt;Multi-criteria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section&gt;262&lt;/section&gt;&lt;dates&gt;&lt;year&gt;2010&lt;/year&gt;&lt;/dates&gt;&lt;urls&gt;&lt;related-urls&gt;&lt;url&gt;http://www.healthpolicyjrnl.com/article/S0168-8510(10)00024-2/abstract&lt;/url&gt;&lt;url&gt;http://ac.els-cdn.com/S0168851010000242/1-s2.0-S0168851010000242-main.pdf?_tid=13afd4ae-9359-11e4-bd84-00000aacb35e&amp;amp;acdnat=1420297332_3275a921d8cf5fccf2abbd39ac98e1ef&lt;/url&gt;&lt;/related-urls&gt;&lt;/urls&gt;&lt;/record&gt;&lt;/Cite&gt;&lt;/EndNote&gt;</w:instrText>
      </w:r>
      <w:r w:rsidR="00D22CE3" w:rsidRPr="00F10391">
        <w:fldChar w:fldCharType="separate"/>
      </w:r>
      <w:r w:rsidR="00D24504">
        <w:rPr>
          <w:noProof/>
        </w:rPr>
        <w:t>[342]</w:t>
      </w:r>
      <w:r w:rsidR="00D22CE3" w:rsidRPr="00F10391">
        <w:fldChar w:fldCharType="end"/>
      </w:r>
      <w:r w:rsidR="00D22CE3" w:rsidRPr="00F10391">
        <w:t xml:space="preserve">, and that in turn it may ensure that more representative criteria and weightings are used. </w:t>
      </w:r>
    </w:p>
    <w:p w14:paraId="43DD3200" w14:textId="77777777" w:rsidR="00D22CE3" w:rsidRPr="00F10391" w:rsidRDefault="00D22CE3">
      <w:r w:rsidRPr="00F10391">
        <w:t xml:space="preserve">As described over the course of the problem specifications stage, given the high levels of ambiguity in evidence in many public health settings </w:t>
      </w:r>
      <w:r w:rsidRPr="00F10391">
        <w:fldChar w:fldCharType="begin"/>
      </w:r>
      <w:r w:rsidR="00700267">
        <w:instrText xml:space="preserve"> ADDIN EN.CITE &lt;EndNote&gt;&lt;Cite&gt;&lt;Author&gt;Owen&lt;/Author&gt;&lt;Year&gt;2012&lt;/Year&gt;&lt;RecNum&gt;109&lt;/RecNum&gt;&lt;DisplayText&gt;[264]&lt;/DisplayText&gt;&lt;record&gt;&lt;rec-number&gt;109&lt;/rec-number&gt;&lt;foreign-keys&gt;&lt;key app="EN" db-id="sz9092dv2s5fpze9wpgx0zxgv5ar00aezrvf" timestamp="0"&gt;109&lt;/key&gt;&lt;/foreign-keys&gt;&lt;ref-type name="Journal Article"&gt;17&lt;/ref-type&gt;&lt;contributors&gt;&lt;authors&gt;&lt;author&gt;Owen, Lesley&lt;/author&gt;&lt;author&gt;Morgan, Antony&lt;/author&gt;&lt;author&gt;Fischer, Alastair&lt;/author&gt;&lt;author&gt;Ellis, Simon&lt;/author&gt;&lt;author&gt;Hoy, Andrew&lt;/author&gt;&lt;author&gt;Kelly, Michael P&lt;/author&gt;&lt;/authors&gt;&lt;/contributors&gt;&lt;titles&gt;&lt;title&gt;The cost-effectiveness of public health interventions&lt;/title&gt;&lt;secondary-title&gt;Journal of Public Health&lt;/secondary-title&gt;&lt;/titles&gt;&lt;periodical&gt;&lt;full-title&gt;Journal of public health&lt;/full-title&gt;&lt;/periodical&gt;&lt;pages&gt;37-45&lt;/pages&gt;&lt;volume&gt;34&lt;/volume&gt;&lt;number&gt;1&lt;/number&gt;&lt;dates&gt;&lt;year&gt;2012&lt;/year&gt;&lt;/dates&gt;&lt;isbn&gt;1741-3842&lt;/isbn&gt;&lt;urls&gt;&lt;related-urls&gt;&lt;url&gt;http://jpubhealth.oxfordjournals.org/content/34/1/37.full.pdf&lt;/url&gt;&lt;/related-urls&gt;&lt;/urls&gt;&lt;/record&gt;&lt;/Cite&gt;&lt;Cite&gt;&lt;Author&gt;Owen&lt;/Author&gt;&lt;Year&gt;2012&lt;/Year&gt;&lt;RecNum&gt;109&lt;/RecNum&gt;&lt;record&gt;&lt;rec-number&gt;109&lt;/rec-number&gt;&lt;foreign-keys&gt;&lt;key app="EN" db-id="sz9092dv2s5fpze9wpgx0zxgv5ar00aezrvf" timestamp="0"&gt;109&lt;/key&gt;&lt;/foreign-keys&gt;&lt;ref-type name="Journal Article"&gt;17&lt;/ref-type&gt;&lt;contributors&gt;&lt;authors&gt;&lt;author&gt;Owen, Lesley&lt;/author&gt;&lt;author&gt;Morgan, Antony&lt;/author&gt;&lt;author&gt;Fischer, Alastair&lt;/author&gt;&lt;author&gt;Ellis, Simon&lt;/author&gt;&lt;author&gt;Hoy, Andrew&lt;/author&gt;&lt;author&gt;Kelly, Michael P&lt;/author&gt;&lt;/authors&gt;&lt;/contributors&gt;&lt;titles&gt;&lt;title&gt;The cost-effectiveness of public health interventions&lt;/title&gt;&lt;secondary-title&gt;Journal of Public Health&lt;/secondary-title&gt;&lt;/titles&gt;&lt;periodical&gt;&lt;full-title&gt;Journal of public health&lt;/full-title&gt;&lt;/periodical&gt;&lt;pages&gt;37-45&lt;/pages&gt;&lt;volume&gt;34&lt;/volume&gt;&lt;number&gt;1&lt;/number&gt;&lt;dates&gt;&lt;year&gt;2012&lt;/year&gt;&lt;/dates&gt;&lt;isbn&gt;1741-3842&lt;/isbn&gt;&lt;urls&gt;&lt;related-urls&gt;&lt;url&gt;http://jpubhealth.oxfordjournals.org/content/34/1/37.full.pdf&lt;/url&gt;&lt;/related-urls&gt;&lt;/urls&gt;&lt;/record&gt;&lt;/Cite&gt;&lt;/EndNote&gt;</w:instrText>
      </w:r>
      <w:r w:rsidRPr="00F10391">
        <w:fldChar w:fldCharType="separate"/>
      </w:r>
      <w:r w:rsidR="00700267">
        <w:rPr>
          <w:noProof/>
        </w:rPr>
        <w:t>[264]</w:t>
      </w:r>
      <w:r w:rsidRPr="00F10391">
        <w:fldChar w:fldCharType="end"/>
      </w:r>
      <w:r w:rsidRPr="00F10391">
        <w:t xml:space="preserve">, expert opinion is utilised throughout the CPH's committees to better inform decisions </w:t>
      </w:r>
      <w:r w:rsidRPr="00F10391">
        <w:fldChar w:fldCharType="begin"/>
      </w:r>
      <w:r w:rsidR="00700267">
        <w:instrText xml:space="preserve"> ADDIN EN.CITE &lt;EndNote&gt;&lt;Cite&gt;&lt;Author&gt;NICE&lt;/Author&gt;&lt;Year&gt;2012&lt;/Year&gt;&lt;RecNum&gt;188&lt;/RecNum&gt;&lt;DisplayText&gt;[10]&lt;/DisplayText&gt;&lt;record&gt;&lt;rec-number&gt;188&lt;/rec-number&gt;&lt;foreign-keys&gt;&lt;key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[10]</w:t>
      </w:r>
      <w:r w:rsidRPr="00F10391">
        <w:fldChar w:fldCharType="end"/>
      </w:r>
      <w:r w:rsidRPr="00F10391">
        <w:t xml:space="preserve">. MCDA techniques offer a range of potential approaches to structure this process in a methodical and transparent way. Formal decision analytic techniques, including MCDA, have not previously been applied to public health topic selection within NICE, and for the reasons already outlined they could prove useful in the future. This chapter describes how an AHP approach might be used to help to prioritise between topics for the development of public health guidance, following a similar approach used to revise health technology (HTA) processes in Canada </w:t>
      </w:r>
      <w:r w:rsidRPr="00F10391">
        <w:fldChar w:fldCharType="begin"/>
      </w:r>
      <w:r w:rsidR="00D24504">
        <w:instrText xml:space="preserve"> ADDIN EN.CITE &lt;EndNote&gt;&lt;Cite&gt;&lt;Author&gt;Husereau&lt;/Author&gt;&lt;Year&gt;2010&lt;/Year&gt;&lt;RecNum&gt;60&lt;/RecNum&gt;&lt;DisplayText&gt;[343]&lt;/DisplayText&gt;&lt;record&gt;&lt;rec-number&gt;60&lt;/rec-number&gt;&lt;foreign-keys&gt;&lt;key app="EN" db-id="sz9092dv2s5fpze9wpgx0zxgv5ar00aezrvf" timestamp="0"&gt;60&lt;/key&gt;&lt;/foreign-keys&gt;&lt;ref-type name="Journal Article"&gt;17&lt;/ref-type&gt;&lt;contributors&gt;&lt;authors&gt;&lt;author&gt;Husereau, Don&lt;/author&gt;&lt;author&gt;Boucher, Michel&lt;/author&gt;&lt;author&gt;Noorani, Hussein&lt;/author&gt;&lt;/authors&gt;&lt;/contributors&gt;&lt;titles&gt;&lt;title&gt;Priority setting for health technology assessment at CADTH&lt;/title&gt;&lt;secondary-title&gt;International journal of technology assessment in health care&lt;/secondary-title&gt;&lt;/titles&gt;&lt;pages&gt;341-347&lt;/pages&gt;&lt;volume&gt;26&lt;/volume&gt;&lt;number&gt;3&lt;/number&gt;&lt;dates&gt;&lt;year&gt;2010&lt;/year&gt;&lt;/dates&gt;&lt;isbn&gt;0266-4623&lt;/isbn&gt;&lt;urls&gt;&lt;related-urls&gt;&lt;url&gt;http://journals.cambridge.org/action/displayAbstract?fromPage=online&amp;amp;aid=7819843&amp;amp;fileId=S0266462310000383&lt;/url&gt;&lt;url&gt;http://journals.cambridge.org/download.php?file=%2FTHC%2FTHC26_03%2FS0266462310000383a.pdf&amp;amp;code=d6bab66c849b70963f42f347c677729f&lt;/url&gt;&lt;/related-urls&gt;&lt;/urls&gt;&lt;/record&gt;&lt;/Cite&gt;&lt;/EndNote&gt;</w:instrText>
      </w:r>
      <w:r w:rsidRPr="00F10391">
        <w:fldChar w:fldCharType="separate"/>
      </w:r>
      <w:r w:rsidR="00D24504">
        <w:rPr>
          <w:noProof/>
        </w:rPr>
        <w:t>[343]</w:t>
      </w:r>
      <w:r w:rsidRPr="00F10391">
        <w:fldChar w:fldCharType="end"/>
      </w:r>
      <w:r w:rsidRPr="00F10391">
        <w:t xml:space="preserve">. It presents the findings of a piloted workshop testing the technique and, as with the next chapter, it adds to the literature using a case study approach. </w:t>
      </w:r>
    </w:p>
    <w:p w14:paraId="17D3F02C" w14:textId="77777777" w:rsidR="00D22CE3" w:rsidRPr="00F10391" w:rsidRDefault="00D22CE3">
      <w:r w:rsidRPr="00F10391">
        <w:t xml:space="preserve">The findings in this chapter are reported in a style based upon an amalgam of many of the approaches previously discussed in the literature review chapter (though especially those of Airoldi </w:t>
      </w:r>
      <w:r w:rsidRPr="00F10391">
        <w:fldChar w:fldCharType="begin"/>
      </w:r>
      <w:r w:rsidR="00700267">
        <w:instrText xml:space="preserve"> ADDIN EN.CITE &lt;EndNote&gt;&lt;Cite&gt;&lt;Author&gt;Airoldi&lt;/Author&gt;&lt;Year&gt;2014&lt;/Year&gt;&lt;RecNum&gt;319&lt;/RecNum&gt;&lt;DisplayText&gt;[326]&lt;/DisplayText&gt;&lt;record&gt;&lt;rec-number&gt;319&lt;/rec-number&gt;&lt;foreign-keys&gt;&lt;key app="EN" db-id="sz9092dv2s5fpze9wpgx0zxgv5ar00aezrvf" timestamp="0"&gt;319&lt;/key&gt;&lt;/foreign-keys&gt;&lt;ref-type name="Journal Article"&gt;17&lt;/ref-type&gt;&lt;contributors&gt;&lt;authors&gt;&lt;author&gt;Airoldi, Mara&lt;/author&gt;&lt;author&gt;Morton, Alec&lt;/author&gt;&lt;author&gt;Smith, Jenifer AE&lt;/author&gt;&lt;author&gt;Bevan, Gwyn&lt;/author&gt;&lt;/authors&gt;&lt;/contributors&gt;&lt;titles&gt;&lt;title&gt;STAR—People-Powered Prioritization A 21st-Century Solution to Allocation Headaches&lt;/title&gt;&lt;secondary-title&gt;Medical Decision Making&lt;/secondary-title&gt;&lt;/titles&gt;&lt;periodical&gt;&lt;full-title&gt;Medical Decision Making&lt;/full-title&gt;&lt;/periodical&gt;&lt;pages&gt;965-975&lt;/pages&gt;&lt;volume&gt;34&lt;/volume&gt;&lt;number&gt;8&lt;/number&gt;&lt;dates&gt;&lt;year&gt;2014&lt;/year&gt;&lt;/dates&gt;&lt;isbn&gt;0272-989X&lt;/isbn&gt;&lt;urls&gt;&lt;related-urls&gt;&lt;url&gt;http://mdm.sagepub.com/content/34/8/965.full.pdf&lt;/url&gt;&lt;/related-urls&gt;&lt;/urls&gt;&lt;/record&gt;&lt;/Cite&gt;&lt;/EndNote&gt;</w:instrText>
      </w:r>
      <w:r w:rsidRPr="00F10391">
        <w:fldChar w:fldCharType="separate"/>
      </w:r>
      <w:r w:rsidR="00700267">
        <w:rPr>
          <w:noProof/>
        </w:rPr>
        <w:t>[326]</w:t>
      </w:r>
      <w:r w:rsidRPr="00F10391">
        <w:fldChar w:fldCharType="end"/>
      </w:r>
      <w:r w:rsidRPr="00F10391">
        <w:t xml:space="preserve"> and Marsh </w:t>
      </w:r>
      <w:r w:rsidRPr="00F10391">
        <w:fldChar w:fldCharType="begin"/>
      </w:r>
      <w:r w:rsidR="00700267">
        <w:instrText xml:space="preserve"> ADDIN EN.CITE &lt;EndNote&gt;&lt;Cite&gt;&lt;Author&gt;Marsh&lt;/Author&gt;&lt;Year&gt;2013&lt;/Year&gt;&lt;RecNum&gt;90&lt;/RecNum&gt;&lt;DisplayText&gt;[167]&lt;/DisplayText&gt;&lt;record&gt;&lt;rec-number&gt;90&lt;/rec-number&gt;&lt;foreign-keys&gt;&lt;key app="EN" db-id="sz9092dv2s5fpze9wpgx0zxgv5ar00aezrvf" timestamp="0"&gt;90&lt;/key&gt;&lt;/foreign-keys&gt;&lt;ref-type name="Journal Article"&gt;17&lt;/ref-type&gt;&lt;contributors&gt;&lt;authors&gt;&lt;author&gt;Marsh, K&lt;/author&gt;&lt;author&gt;Dolan, P&lt;/author&gt;&lt;author&gt;Kempster, J&lt;/author&gt;&lt;author&gt;Lugon, M&lt;/author&gt;&lt;/authors&gt;&lt;/contributors&gt;&lt;titles&gt;&lt;title&gt;Prioritizing investments in public health: a multi-criteria decision analysis&lt;/title&gt;&lt;secondary-title&gt;Journal of public health&lt;/secondary-title&gt;&lt;/titles&gt;&lt;periodical&gt;&lt;full-title&gt;Journal of public health&lt;/full-title&gt;&lt;/periodical&gt;&lt;pages&gt;460-466&lt;/pages&gt;&lt;volume&gt;35&lt;/volume&gt;&lt;number&gt;3&lt;/number&gt;&lt;dates&gt;&lt;year&gt;2013&lt;/year&gt;&lt;/dates&gt;&lt;isbn&gt;1741-3842&lt;/isbn&gt;&lt;urls&gt;&lt;related-urls&gt;&lt;url&gt;http://jpubhealth.oxfordjournals.org/content/35/3/460.full.pdf&lt;/url&gt;&lt;/related-urls&gt;&lt;/urls&gt;&lt;/record&gt;&lt;/Cite&gt;&lt;/EndNote&gt;</w:instrText>
      </w:r>
      <w:r w:rsidRPr="00F10391">
        <w:fldChar w:fldCharType="separate"/>
      </w:r>
      <w:r w:rsidR="00700267">
        <w:rPr>
          <w:noProof/>
        </w:rPr>
        <w:t>[167]</w:t>
      </w:r>
      <w:r w:rsidRPr="00F10391">
        <w:fldChar w:fldCharType="end"/>
      </w:r>
      <w:r w:rsidRPr="00F10391">
        <w:t xml:space="preserve">), and using the 8 steps required in an MCDA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xml:space="preserve"> as a framework for doing so. It follows a common format with the case study in the next chapter. </w:t>
      </w:r>
    </w:p>
    <w:p w14:paraId="38B192C3" w14:textId="77777777" w:rsidR="00D22CE3" w:rsidRDefault="00D22CE3"/>
    <w:p w14:paraId="43E93E85" w14:textId="77777777" w:rsidR="00582388" w:rsidRDefault="00582388"/>
    <w:p w14:paraId="661043F7" w14:textId="77777777" w:rsidR="00582388" w:rsidRDefault="00582388"/>
    <w:p w14:paraId="190C37CB" w14:textId="77777777" w:rsidR="00582388" w:rsidRPr="00582388" w:rsidRDefault="00582388"/>
    <w:p w14:paraId="24B624C3" w14:textId="77777777" w:rsidR="00D22CE3" w:rsidRPr="00F10391" w:rsidRDefault="00D22CE3">
      <w:pPr>
        <w:pStyle w:val="Numberedheading2"/>
      </w:pPr>
      <w:bookmarkStart w:id="630" w:name="_Toc453235443"/>
      <w:bookmarkStart w:id="631" w:name="_Toc453595516"/>
      <w:bookmarkStart w:id="632" w:name="_Toc476241613"/>
      <w:r w:rsidRPr="00F10391">
        <w:t>6.2</w:t>
      </w:r>
      <w:r w:rsidRPr="00F10391">
        <w:tab/>
      </w:r>
      <w:r w:rsidRPr="00F10391">
        <w:tab/>
        <w:t>Objectives</w:t>
      </w:r>
      <w:bookmarkEnd w:id="630"/>
      <w:bookmarkEnd w:id="631"/>
      <w:bookmarkEnd w:id="632"/>
    </w:p>
    <w:p w14:paraId="5D111125" w14:textId="77777777" w:rsidR="00582388" w:rsidRDefault="00582388"/>
    <w:p w14:paraId="72CB9713" w14:textId="77777777" w:rsidR="00D22CE3" w:rsidRPr="00F10391" w:rsidRDefault="00D22CE3">
      <w:r w:rsidRPr="00F10391">
        <w:t>The chapter presents a case study that describes the development and application of a piloted decision conference approach to structuring the topic appraisal process within the CPH. The pilot wished to identify if such an approach would be feasible in such settings.</w:t>
      </w:r>
    </w:p>
    <w:p w14:paraId="076F9D8E" w14:textId="77777777" w:rsidR="00D22CE3" w:rsidRPr="00F10391" w:rsidRDefault="00D22CE3">
      <w:r w:rsidRPr="00F10391">
        <w:t xml:space="preserve">A committee, recruited to be similar in structure to a real-life TAW, generated and weighted suitable criteria for doing so, scored a list of topics on these and which could </w:t>
      </w:r>
      <w:r w:rsidRPr="00F10391">
        <w:softHyphen/>
        <w:t xml:space="preserve">thereby be ranked from best to worst. In practice, deliberation would also be required to make a final decision – but this is no different from current processes, and was not tested. </w:t>
      </w:r>
    </w:p>
    <w:p w14:paraId="5FFC088E" w14:textId="77777777" w:rsidR="00D22CE3" w:rsidRPr="00F10391" w:rsidRDefault="00D22CE3">
      <w:r w:rsidRPr="00F10391">
        <w:t>Section 6.3 presents some background on case study approaches. Section 6.4 describes the methods – the steps taken as part of the MCDA process, the implementation of the approach and its evaluation. Section 6.5 provides further context in the discussion and 6.6 offers conclusions.</w:t>
      </w:r>
    </w:p>
    <w:p w14:paraId="62E123B9" w14:textId="77777777" w:rsidR="00D22CE3" w:rsidRPr="00F10391" w:rsidRDefault="00D22CE3"/>
    <w:p w14:paraId="72245EE0" w14:textId="77777777" w:rsidR="00D22CE3" w:rsidRPr="00F10391" w:rsidRDefault="00D22CE3">
      <w:pPr>
        <w:pStyle w:val="Numberedheading2"/>
      </w:pPr>
      <w:bookmarkStart w:id="633" w:name="_Toc441509004"/>
      <w:bookmarkStart w:id="634" w:name="_Toc453235444"/>
      <w:bookmarkStart w:id="635" w:name="_Toc453595517"/>
      <w:bookmarkStart w:id="636" w:name="_Toc476241614"/>
      <w:bookmarkStart w:id="637" w:name="_Toc304640246"/>
      <w:r w:rsidRPr="00F10391">
        <w:t>6.3</w:t>
      </w:r>
      <w:r w:rsidRPr="00F10391">
        <w:tab/>
      </w:r>
      <w:r w:rsidRPr="00F10391">
        <w:tab/>
        <w:t>Case study approach</w:t>
      </w:r>
      <w:bookmarkEnd w:id="633"/>
      <w:r w:rsidRPr="00F10391">
        <w:t>es</w:t>
      </w:r>
      <w:bookmarkEnd w:id="634"/>
      <w:bookmarkEnd w:id="635"/>
      <w:bookmarkEnd w:id="636"/>
    </w:p>
    <w:p w14:paraId="78589C13" w14:textId="77777777" w:rsidR="00D22CE3" w:rsidRPr="00F10391" w:rsidRDefault="00D22CE3"/>
    <w:p w14:paraId="7A6889E6" w14:textId="77777777" w:rsidR="00D22CE3" w:rsidRPr="00F10391" w:rsidRDefault="00D22CE3">
      <w:r w:rsidRPr="00F10391">
        <w:t xml:space="preserve">Case study evaluations are valuable where broad, complex questions have to be addressed in complex circumstances </w:t>
      </w:r>
      <w:r w:rsidRPr="00F10391">
        <w:fldChar w:fldCharType="begin"/>
      </w:r>
      <w:r w:rsidR="00700267">
        <w:instrText xml:space="preserve"> ADDIN EN.CITE &lt;EndNote&gt;&lt;Cite&gt;&lt;Author&gt;Keen&lt;/Author&gt;&lt;Year&gt;1995&lt;/Year&gt;&lt;RecNum&gt;357&lt;/RecNum&gt;&lt;DisplayText&gt;[20]&lt;/DisplayText&gt;&lt;record&gt;&lt;rec-number&gt;357&lt;/rec-number&gt;&lt;foreign-keys&gt;&lt;key app="EN" db-id="sz9092dv2s5fpze9wpgx0zxgv5ar00aezrvf" timestamp="0"&gt;357&lt;/key&gt;&lt;/foreign-keys&gt;&lt;ref-type name="Journal Article"&gt;17&lt;/ref-type&gt;&lt;contributors&gt;&lt;authors&gt;&lt;author&gt;Keen, Justin&lt;/author&gt;&lt;author&gt;Packwood, Tim&lt;/author&gt;&lt;/authors&gt;&lt;/contributors&gt;&lt;titles&gt;&lt;title&gt;Case study evaluation&lt;/title&gt;&lt;secondary-title&gt;BMJ: British Medical Journal&lt;/secondary-title&gt;&lt;/titles&gt;&lt;pages&gt;444&lt;/pages&gt;&lt;volume&gt;311&lt;/volume&gt;&lt;number&gt;7002&lt;/number&gt;&lt;dates&gt;&lt;year&gt;1995&lt;/year&gt;&lt;/dates&gt;&lt;urls&gt;&lt;related-urls&gt;&lt;url&gt;http://www.ncbi.nlm.nih.gov/pmc/articles/PMC2550500/pdf/bmj00605-0048.pdf&lt;/url&gt;&lt;/related-urls&gt;&lt;/urls&gt;&lt;/record&gt;&lt;/Cite&gt;&lt;/EndNote&gt;</w:instrText>
      </w:r>
      <w:r w:rsidRPr="00F10391">
        <w:fldChar w:fldCharType="separate"/>
      </w:r>
      <w:r w:rsidR="00700267">
        <w:rPr>
          <w:noProof/>
        </w:rPr>
        <w:t>[20]</w:t>
      </w:r>
      <w:r w:rsidRPr="00F10391">
        <w:fldChar w:fldCharType="end"/>
      </w:r>
      <w:r w:rsidRPr="00F10391">
        <w:t xml:space="preserve">. By incorporating the context of the decision, practical concerns are highlighted </w:t>
      </w:r>
      <w:r w:rsidRPr="00F10391">
        <w:fldChar w:fldCharType="begin"/>
      </w:r>
      <w:r w:rsidR="00700267">
        <w:instrText xml:space="preserve"> ADDIN EN.CITE &lt;EndNote&gt;&lt;Cite&gt;&lt;Author&gt;Eckstein&lt;/Author&gt;&lt;Year&gt;2000&lt;/Year&gt;&lt;RecNum&gt;359&lt;/RecNum&gt;&lt;DisplayText&gt;[18]&lt;/DisplayText&gt;&lt;record&gt;&lt;rec-number&gt;359&lt;/rec-number&gt;&lt;foreign-keys&gt;&lt;key app="EN" db-id="sz9092dv2s5fpze9wpgx0zxgv5ar00aezrvf" timestamp="0"&gt;359&lt;/key&gt;&lt;/foreign-keys&gt;&lt;ref-type name="Journal Article"&gt;17&lt;/ref-type&gt;&lt;contributors&gt;&lt;authors&gt;&lt;author&gt;Eckstein, Harry&lt;/author&gt;&lt;/authors&gt;&lt;/contributors&gt;&lt;titles&gt;&lt;title&gt;Case study and theory in political science&lt;/title&gt;&lt;secondary-title&gt;Case study method&lt;/secondary-title&gt;&lt;/titles&gt;&lt;pages&gt;119-164&lt;/pages&gt;&lt;dates&gt;&lt;year&gt;2000&lt;/year&gt;&lt;/dates&gt;&lt;urls&gt;&lt;/urls&gt;&lt;/record&gt;&lt;/Cite&gt;&lt;/EndNote&gt;</w:instrText>
      </w:r>
      <w:r w:rsidRPr="00F10391">
        <w:fldChar w:fldCharType="separate"/>
      </w:r>
      <w:r w:rsidR="00700267">
        <w:rPr>
          <w:noProof/>
        </w:rPr>
        <w:t>[18]</w:t>
      </w:r>
      <w:r w:rsidRPr="00F10391">
        <w:fldChar w:fldCharType="end"/>
      </w:r>
      <w:r w:rsidRPr="00F10391">
        <w:t xml:space="preserve">. Such pragmatic examples generate learning in a way that thought experiments alone cannot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Case studies that have been carried out to a sufficiently high standard can act as exemplars – high-water marks against which subsequent studies can be compared. Kuhn </w:t>
      </w:r>
      <w:r w:rsidRPr="00F10391">
        <w:fldChar w:fldCharType="begin"/>
      </w:r>
      <w:r w:rsidR="00700267">
        <w:instrText xml:space="preserve"> ADDIN EN.CITE &lt;EndNote&gt;&lt;Cite&gt;&lt;Author&gt;Kuhn&lt;/Author&gt;&lt;Year&gt;1982&lt;/Year&gt;&lt;RecNum&gt;360&lt;/RecNum&gt;&lt;DisplayText&gt;[21]&lt;/DisplayText&gt;&lt;record&gt;&lt;rec-number&gt;360&lt;/rec-number&gt;&lt;foreign-keys&gt;&lt;key app="EN" db-id="sz9092dv2s5fpze9wpgx0zxgv5ar00aezrvf" timestamp="0"&gt;360&lt;/key&gt;&lt;/foreign-keys&gt;&lt;ref-type name="Book"&gt;6&lt;/ref-type&gt;&lt;contributors&gt;&lt;authors&gt;&lt;author&gt;Kuhn, Thomas S&lt;/author&gt;&lt;/authors&gt;&lt;/contributors&gt;&lt;titles&gt;&lt;title&gt;What are Scientific Revolutions?&lt;/title&gt;&lt;/titles&gt;&lt;dates&gt;&lt;year&gt;1982&lt;/year&gt;&lt;/dates&gt;&lt;publisher&gt;Centre for Cognitive Science, Massachusetts Institute of Technology&lt;/publisher&gt;&lt;urls&gt;&lt;/urls&gt;&lt;/record&gt;&lt;/Cite&gt;&lt;/EndNote&gt;</w:instrText>
      </w:r>
      <w:r w:rsidRPr="00F10391">
        <w:fldChar w:fldCharType="separate"/>
      </w:r>
      <w:r w:rsidR="00700267">
        <w:rPr>
          <w:noProof/>
        </w:rPr>
        <w:t>[21]</w:t>
      </w:r>
      <w:r w:rsidRPr="00F10391">
        <w:fldChar w:fldCharType="end"/>
      </w:r>
      <w:r w:rsidRPr="00F10391">
        <w:t xml:space="preserve"> argued that any discipline without such exemplars is an ineffective one, and that carrying out such studies helps to ensure that researchers possess a wide enough range of practical knowledge to carry out such approaches in reality. </w:t>
      </w:r>
    </w:p>
    <w:p w14:paraId="177F2648" w14:textId="77777777" w:rsidR="00D22CE3" w:rsidRPr="00F10391" w:rsidRDefault="00D22CE3">
      <w:bookmarkStart w:id="638" w:name="_Toc283984156"/>
      <w:r w:rsidRPr="00F10391">
        <w:t xml:space="preserve">With sufficient numbers of case studies, some will begin to throw unusual juxtapositions, requiring formulation of novel theory to reconcile them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xml:space="preserve">. In turn this may generate ”good theory”, which is the ultimate aim of the process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xml:space="preserve">. The flexibility and incorporation of contextual factors allows scientific development which would be impossible with large anonymous datasets familiar in some health settings. While gold-standard approaches such as RCTs and meta-analytical </w:t>
      </w:r>
      <w:r w:rsidRPr="00F10391">
        <w:rPr>
          <w:lang w:eastAsia="en-US"/>
        </w:rPr>
        <w:t xml:space="preserve">systematic reviews (that describe the broader conclusions in the literature) allow for a breadth of understanding, their problem is one of depth; the opposite being the case for case studies, which are naturally more difficult to generalise from but provide rich, contextual information </w:t>
      </w:r>
      <w:r w:rsidRPr="00F10391">
        <w:rPr>
          <w:lang w:eastAsia="en-US"/>
        </w:rPr>
        <w:fldChar w:fldCharType="begin"/>
      </w:r>
      <w:r w:rsidR="00700267">
        <w:rPr>
          <w:lang w:eastAsia="en-US"/>
        </w:rPr>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rPr>
          <w:lang w:eastAsia="en-US"/>
        </w:rPr>
        <w:fldChar w:fldCharType="separate"/>
      </w:r>
      <w:r w:rsidR="00700267">
        <w:rPr>
          <w:noProof/>
          <w:lang w:eastAsia="en-US"/>
        </w:rPr>
        <w:t>[19]</w:t>
      </w:r>
      <w:r w:rsidRPr="00F10391">
        <w:rPr>
          <w:lang w:eastAsia="en-US"/>
        </w:rPr>
        <w:fldChar w:fldCharType="end"/>
      </w:r>
      <w:r w:rsidRPr="00F10391">
        <w:rPr>
          <w:lang w:eastAsia="en-US"/>
        </w:rPr>
        <w:t>. Therefore, an appropriate combination of both may be necessary to continue the generation, testing and iterative reappraisal of theories in such areas.</w:t>
      </w:r>
    </w:p>
    <w:p w14:paraId="03EC5706" w14:textId="77777777" w:rsidR="00D22CE3" w:rsidRPr="00F10391" w:rsidRDefault="00D22CE3">
      <w:r w:rsidRPr="00F10391">
        <w:rPr>
          <w:lang w:eastAsia="en-US"/>
        </w:rPr>
        <w:t xml:space="preserve">Sufficient numbers of case studies from which to generalise clearly do not exist as yet in the literature that describe the application of MCDA approaches to public health decision-making. The literature review chapter showed that smaller numbers of once-off case studies continue to predominate in the area. By understanding these, and the papers that continue to be written, clearer general models of how to successfully implement approaches may become apparent or necessary in future. This study, both in this chapter and its associated paper, add to this case study literature. A major challenge going forward, and beyond the scope of the thesis, is to draw more general lessons as to what constitutes a successful approach, practical signposts as to how to choose an appropriate technique for a given problem, or to identify if an MCDA approach is necessary at all. For the time being, much of these rely on experience, expert intuition or ‘art’ </w:t>
      </w:r>
      <w:r w:rsidRPr="00F10391">
        <w:rPr>
          <w:lang w:eastAsia="en-US"/>
        </w:rPr>
        <w:fldChar w:fldCharType="begin"/>
      </w:r>
      <w:r w:rsidR="00700267">
        <w:rPr>
          <w:lang w:eastAsia="en-US"/>
        </w:rPr>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rPr>
          <w:lang w:eastAsia="en-US"/>
        </w:rPr>
        <w:fldChar w:fldCharType="separate"/>
      </w:r>
      <w:r w:rsidR="00700267">
        <w:rPr>
          <w:noProof/>
          <w:lang w:eastAsia="en-US"/>
        </w:rPr>
        <w:t>[125]</w:t>
      </w:r>
      <w:r w:rsidRPr="00F10391">
        <w:rPr>
          <w:lang w:eastAsia="en-US"/>
        </w:rPr>
        <w:fldChar w:fldCharType="end"/>
      </w:r>
      <w:r w:rsidRPr="00F10391">
        <w:rPr>
          <w:lang w:eastAsia="en-US"/>
        </w:rPr>
        <w:t>.</w:t>
      </w:r>
    </w:p>
    <w:p w14:paraId="1CD343DE" w14:textId="77777777" w:rsidR="00D22CE3" w:rsidRPr="00F10391" w:rsidRDefault="00D22CE3"/>
    <w:p w14:paraId="6FDF6873" w14:textId="77777777" w:rsidR="00D22CE3" w:rsidRPr="00F10391" w:rsidRDefault="00D22CE3">
      <w:pPr>
        <w:pStyle w:val="Numberedheading2"/>
      </w:pPr>
      <w:bookmarkStart w:id="639" w:name="_Toc441509005"/>
      <w:bookmarkStart w:id="640" w:name="_Toc453235445"/>
      <w:bookmarkStart w:id="641" w:name="_Toc453595518"/>
      <w:bookmarkStart w:id="642" w:name="_Toc476241615"/>
      <w:r w:rsidRPr="00F10391">
        <w:t>6.4</w:t>
      </w:r>
      <w:r w:rsidRPr="00F10391">
        <w:tab/>
      </w:r>
      <w:r w:rsidRPr="00F10391">
        <w:tab/>
        <w:t>Methods</w:t>
      </w:r>
      <w:bookmarkEnd w:id="637"/>
      <w:bookmarkEnd w:id="638"/>
      <w:bookmarkEnd w:id="639"/>
      <w:bookmarkEnd w:id="640"/>
      <w:bookmarkEnd w:id="641"/>
      <w:bookmarkEnd w:id="642"/>
      <w:r w:rsidRPr="00F10391">
        <w:t xml:space="preserve"> </w:t>
      </w:r>
    </w:p>
    <w:p w14:paraId="68B6E495" w14:textId="77777777" w:rsidR="00D22CE3" w:rsidRPr="00F10391" w:rsidRDefault="00D22CE3"/>
    <w:p w14:paraId="4B6C1C0B" w14:textId="77777777" w:rsidR="00D22CE3" w:rsidRPr="00F10391" w:rsidRDefault="00D22CE3">
      <w:pPr>
        <w:pStyle w:val="Heading3"/>
      </w:pPr>
      <w:bookmarkStart w:id="643" w:name="_Toc304640247"/>
      <w:bookmarkStart w:id="644" w:name="_Toc283984157"/>
      <w:bookmarkStart w:id="645" w:name="_Toc441509006"/>
      <w:bookmarkStart w:id="646" w:name="_Toc453235446"/>
      <w:bookmarkStart w:id="647" w:name="_Toc453595519"/>
      <w:bookmarkStart w:id="648" w:name="_Toc476241616"/>
      <w:r w:rsidRPr="00F10391">
        <w:t>6.4.1</w:t>
      </w:r>
      <w:r w:rsidRPr="00F10391">
        <w:tab/>
      </w:r>
      <w:r w:rsidRPr="00F10391">
        <w:tab/>
      </w:r>
      <w:bookmarkEnd w:id="643"/>
      <w:bookmarkEnd w:id="644"/>
      <w:bookmarkEnd w:id="645"/>
      <w:r w:rsidRPr="00F10391">
        <w:t>Understanding the decision context</w:t>
      </w:r>
      <w:bookmarkEnd w:id="646"/>
      <w:bookmarkEnd w:id="647"/>
      <w:bookmarkEnd w:id="648"/>
      <w:r w:rsidRPr="00F10391">
        <w:t xml:space="preserve"> </w:t>
      </w:r>
    </w:p>
    <w:p w14:paraId="0D7CABC3" w14:textId="77777777" w:rsidR="00D22CE3" w:rsidRPr="00F10391" w:rsidRDefault="00D22CE3">
      <w:r w:rsidRPr="00F10391">
        <w:t xml:space="preserve">For this case study, a pilot approach was used in order to discover any unforeseen problems to be mitigated before use in practice </w:t>
      </w:r>
      <w:r w:rsidRPr="00F10391">
        <w:fldChar w:fldCharType="begin"/>
      </w:r>
      <w:r w:rsidR="00D24504">
        <w:instrText xml:space="preserve"> ADDIN EN.CITE &lt;EndNote&gt;&lt;Cite&gt;&lt;Author&gt;Sanders&lt;/Author&gt;&lt;Year&gt;1983&lt;/Year&gt;&lt;RecNum&gt;128&lt;/RecNum&gt;&lt;DisplayText&gt;[344]&lt;/DisplayText&gt;&lt;record&gt;&lt;rec-number&gt;128&lt;/rec-number&gt;&lt;foreign-keys&gt;&lt;key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Cite&gt;&lt;Author&gt;Sanders&lt;/Author&gt;&lt;Year&gt;1983&lt;/Year&gt;&lt;RecNum&gt;128&lt;/RecNum&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Cite&gt;&lt;Author&gt;Sanders&lt;/Author&gt;&lt;Year&gt;1983&lt;/Year&gt;&lt;RecNum&gt;128&lt;/RecNum&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York&lt;/publisher&gt;&lt;isbn&gt;0030589533&lt;/isbn&gt;&lt;urls&gt;&lt;/urls&gt;&lt;/record&gt;&lt;/Cite&gt;&lt;/EndNote&gt;</w:instrText>
      </w:r>
      <w:r w:rsidRPr="00F10391">
        <w:fldChar w:fldCharType="separate"/>
      </w:r>
      <w:r w:rsidR="00D24504">
        <w:rPr>
          <w:noProof/>
        </w:rPr>
        <w:t>[344]</w:t>
      </w:r>
      <w:r w:rsidRPr="00F10391">
        <w:fldChar w:fldCharType="end"/>
      </w:r>
      <w:r w:rsidRPr="00F10391">
        <w:t xml:space="preserve">, which is naturally important given the gravity of NICE decisions </w:t>
      </w:r>
      <w:r w:rsidRPr="00F10391">
        <w:fldChar w:fldCharType="begin"/>
      </w:r>
      <w:r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Pr="00F10391">
        <w:t>[4]</w:t>
      </w:r>
      <w:r w:rsidRPr="00F10391">
        <w:fldChar w:fldCharType="end"/>
      </w:r>
      <w:r w:rsidRPr="00F10391">
        <w:t xml:space="preserve">. A deliberative, ‘decision conference’ style setting was chosen in order to mimic how AHP could be used in a TAW style meeting. To do so, an impartial facilitator works iteratively with stakeholders to generate an explicit model intended to help those present to think more clearly about the relevant issues </w:t>
      </w:r>
      <w:r w:rsidRPr="00F10391">
        <w:fldChar w:fldCharType="begin"/>
      </w:r>
      <w:r w:rsidR="00700267">
        <w:instrText xml:space="preserve"> ADDIN EN.CITE &lt;EndNote&gt;&lt;Cite&gt;&lt;Author&gt;Phillips&lt;/Author&gt;&lt;Year&gt;2007&lt;/Year&gt;&lt;RecNum&gt;110&lt;/RecNum&gt;&lt;DisplayText&gt;[127]&lt;/DisplayText&gt;&lt;record&gt;&lt;rec-number&gt;110&lt;/rec-number&gt;&lt;foreign-keys&gt;&lt;key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EndNote&gt;</w:instrText>
      </w:r>
      <w:r w:rsidRPr="00F10391">
        <w:fldChar w:fldCharType="separate"/>
      </w:r>
      <w:r w:rsidR="00700267">
        <w:rPr>
          <w:noProof/>
        </w:rPr>
        <w:t>[127]</w:t>
      </w:r>
      <w:r w:rsidRPr="00F10391">
        <w:fldChar w:fldCharType="end"/>
      </w:r>
      <w:r w:rsidRPr="00F10391">
        <w:t xml:space="preserve">. With participants working together to weight criteria and score the topics, the approach aids participants’ thought process and may generate a shared understanding of the issues </w:t>
      </w:r>
      <w:r w:rsidRPr="00F10391">
        <w:fldChar w:fldCharType="begin"/>
      </w:r>
      <w:r w:rsidR="00700267">
        <w:instrText xml:space="preserve"> ADDIN EN.CITE &lt;EndNote&gt;&lt;Cite&gt;&lt;Author&gt;Mussen&lt;/Author&gt;&lt;Year&gt;2009&lt;/Year&gt;&lt;RecNum&gt;98&lt;/RecNum&gt;&lt;DisplayText&gt;[143]&lt;/DisplayText&gt;&lt;record&gt;&lt;rec-number&gt;98&lt;/rec-number&gt;&lt;foreign-keys&gt;&lt;key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Kingdom&lt;/publisher&gt;&lt;urls&gt;&lt;/urls&gt;&lt;/record&gt;&lt;/Cite&gt;&lt;/EndNote&gt;</w:instrText>
      </w:r>
      <w:r w:rsidRPr="00F10391">
        <w:fldChar w:fldCharType="separate"/>
      </w:r>
      <w:r w:rsidR="00700267">
        <w:rPr>
          <w:noProof/>
        </w:rPr>
        <w:t>[143]</w:t>
      </w:r>
      <w:r w:rsidRPr="00F10391">
        <w:fldChar w:fldCharType="end"/>
      </w:r>
      <w:r w:rsidRPr="00F10391">
        <w:t xml:space="preserve">. </w:t>
      </w:r>
    </w:p>
    <w:p w14:paraId="6BF80C01" w14:textId="39DEE798" w:rsidR="001E0A41" w:rsidRPr="00F10391" w:rsidRDefault="00D22CE3">
      <w:r w:rsidRPr="00F10391">
        <w:t xml:space="preserve">Alongside myself in the role of facilitator, eight participants were present: two members of staff from the CPH, three lay members of NICE's PHIAC committee (who act to ensure decisions reflect the views of the public), two public health experts and one public health statistician. The involvement of the lay members allowed the involvement for increased diversity of non-expert perspectives, allowing representation of the public and patients groups into the process, as is the case later in the real-life PHAC stage. No participants were current members of the TAW, as this was seen to be potentially problematic, but all had worked on other NICE committees in the past, were familiar with NICE processes and volunteered to take part after being invited in a group email from the CPH director. The workshop took place on a single half day, with some remaining topic scores completed later by email. </w:t>
      </w:r>
    </w:p>
    <w:p w14:paraId="25F17695" w14:textId="4E845006" w:rsidR="00D22CE3" w:rsidRDefault="00D22CE3">
      <w:r w:rsidRPr="00F10391">
        <w:t xml:space="preserve">The Analytic Hierarchy Process, pioneered by Saaty </w:t>
      </w:r>
      <w:r w:rsidRPr="00F10391">
        <w:fldChar w:fldCharType="begin"/>
      </w:r>
      <w:r w:rsidR="00D24504">
        <w:instrText xml:space="preserve"> ADDIN EN.CITE &lt;EndNote&gt;&lt;Cite ExcludeAuth="1"&gt;&lt;Author&gt;Saaty&lt;/Author&gt;&lt;Year&gt;1980&lt;/Year&gt;&lt;RecNum&gt;126&lt;/RecNum&gt;&lt;DisplayText&gt;[345]&lt;/DisplayText&gt;&lt;record&gt;&lt;rec-number&gt;126&lt;/rec-number&gt;&lt;foreign-keys&gt;&lt;key app="EN" db-id="sz9092dv2s5fpze9wpgx0zxgv5ar00aezrvf" timestamp="0"&gt;126&lt;/key&gt;&lt;/foreign-keys&gt;&lt;ref-type name="Journal Article"&gt;17&lt;/ref-type&gt;&lt;contributors&gt;&lt;authors&gt;&lt;author&gt;Saaty, Thomas L&lt;/author&gt;&lt;/authors&gt;&lt;/contributors&gt;&lt;titles&gt;&lt;title&gt;The analytic hierarchy process: planning, priority setting, resources allocation&lt;/title&gt;&lt;secondary-title&gt;New York: McGraw&lt;/secondary-title&gt;&lt;/titles&gt;&lt;dates&gt;&lt;year&gt;1980&lt;/year&gt;&lt;/dates&gt;&lt;urls&gt;&lt;/urls&gt;&lt;/record&gt;&lt;/Cite&gt;&lt;Cite ExcludeAuth="1"&gt;&lt;Author&gt;Saaty&lt;/Author&gt;&lt;Year&gt;1980&lt;/Year&gt;&lt;RecNum&gt;126&lt;/RecNum&gt;&lt;record&gt;&lt;rec-number&gt;126&lt;/rec-number&gt;&lt;foreign-keys&gt;&lt;key app="EN" db-id="sz9092dv2s5fpze9wpgx0zxgv5ar00aezrvf" timestamp="0"&gt;126&lt;/key&gt;&lt;/foreign-keys&gt;&lt;ref-type name="Journal Article"&gt;17&lt;/ref-type&gt;&lt;contributors&gt;&lt;authors&gt;&lt;author&gt;Saaty, Thomas L&lt;/author&gt;&lt;/authors&gt;&lt;/contributors&gt;&lt;titles&gt;&lt;title&gt;The analytic hierarchy process: planning, priority setting, resources allocation&lt;/title&gt;&lt;secondary-title&gt;New York: McGraw&lt;/secondary-title&gt;&lt;/titles&gt;&lt;dates&gt;&lt;year&gt;1980&lt;/year&gt;&lt;/dates&gt;&lt;urls&gt;&lt;/urls&gt;&lt;/record&gt;&lt;/Cite&gt;&lt;/EndNote&gt;</w:instrText>
      </w:r>
      <w:r w:rsidRPr="00F10391">
        <w:fldChar w:fldCharType="separate"/>
      </w:r>
      <w:r w:rsidR="00D24504">
        <w:rPr>
          <w:noProof/>
        </w:rPr>
        <w:t>[345]</w:t>
      </w:r>
      <w:r w:rsidRPr="00F10391">
        <w:fldChar w:fldCharType="end"/>
      </w:r>
      <w:r w:rsidRPr="00F10391">
        <w:t xml:space="preserve">, was used as the framework to structure decisions on the day. Multiple relevant quantitative and qualitative criteria inherent in public health prioritisation were incorporated into the decision process, and combined in a relatively intuitive manner for stakeholders from both numerical and non-numerical backgrounds. This was important in this context because of the variety of backgrounds on the panel (and as would be the case in a real-life TAW). Total scores are built up for each topic under consideration by a series of pair-wise comparisons. The approach allows decision-makers to collaboratively translate independent, subjective </w:t>
      </w:r>
      <w:r w:rsidR="001B7ADD">
        <w:t>judgment</w:t>
      </w:r>
      <w:r w:rsidRPr="00F10391">
        <w:t xml:space="preserve">s into numerical scores in a rational and consistent manner. </w:t>
      </w:r>
    </w:p>
    <w:p w14:paraId="44786783" w14:textId="37679307" w:rsidR="001E0A41" w:rsidRPr="00F10391" w:rsidRDefault="00B37229">
      <w:r>
        <w:t xml:space="preserve">The decision conference immediately proceeded my secondment in the CPH, and plans and notes on meetings relating to setting it up were recorded in my field notes there. </w:t>
      </w:r>
      <w:r w:rsidR="000905BC">
        <w:t xml:space="preserve">At the decision conference itself, two Dictaphones were used to record the proceedings, and I also took notes where possible </w:t>
      </w:r>
      <w:r w:rsidR="00ED139E">
        <w:t>as the</w:t>
      </w:r>
      <w:r w:rsidR="000905BC">
        <w:t xml:space="preserve"> meeting</w:t>
      </w:r>
      <w:r w:rsidR="00ED139E">
        <w:t xml:space="preserve"> pr</w:t>
      </w:r>
      <w:r w:rsidR="00CB2E60">
        <w:t>o</w:t>
      </w:r>
      <w:r w:rsidR="00ED139E">
        <w:t>gressed</w:t>
      </w:r>
      <w:r w:rsidR="000905BC">
        <w:t xml:space="preserve">. </w:t>
      </w:r>
      <w:r w:rsidR="008742F2">
        <w:t>The meeting’s m</w:t>
      </w:r>
      <w:r w:rsidR="000905BC">
        <w:t xml:space="preserve">inutes were sent to participants in a follow up email to ensure that the events and decisions taken </w:t>
      </w:r>
      <w:r w:rsidR="006A5AA3">
        <w:t>were fresh in their minds. This was important in</w:t>
      </w:r>
      <w:r w:rsidR="000905BC">
        <w:t xml:space="preserve"> allow</w:t>
      </w:r>
      <w:r w:rsidR="006A5AA3">
        <w:t>ing</w:t>
      </w:r>
      <w:r w:rsidR="000905BC">
        <w:t xml:space="preserve"> meaningful subsequent </w:t>
      </w:r>
      <w:r w:rsidR="00ED139E">
        <w:t>scoring</w:t>
      </w:r>
      <w:r w:rsidR="006A5AA3">
        <w:t xml:space="preserve"> for the remaining criteria</w:t>
      </w:r>
      <w:r w:rsidR="00ED139E">
        <w:t xml:space="preserve">, which was completed by </w:t>
      </w:r>
      <w:r w:rsidR="000905BC">
        <w:t xml:space="preserve">correspondence. This was </w:t>
      </w:r>
      <w:r w:rsidR="001E0A41">
        <w:t xml:space="preserve">also </w:t>
      </w:r>
      <w:r w:rsidR="000905BC">
        <w:t>carried out by email, apart from on</w:t>
      </w:r>
      <w:r w:rsidR="001E0A41">
        <w:t>e</w:t>
      </w:r>
      <w:r w:rsidR="000905BC">
        <w:t xml:space="preserve"> participant </w:t>
      </w:r>
      <w:r w:rsidR="001E0A41">
        <w:t xml:space="preserve">who </w:t>
      </w:r>
      <w:r w:rsidR="000905BC">
        <w:t>preferred to correspond by post.</w:t>
      </w:r>
    </w:p>
    <w:p w14:paraId="5A27EC6C" w14:textId="77777777" w:rsidR="00D22CE3" w:rsidRPr="00F10391" w:rsidRDefault="00D22CE3"/>
    <w:p w14:paraId="48A5D149" w14:textId="77777777" w:rsidR="00D22CE3" w:rsidRPr="00F10391" w:rsidRDefault="00D22CE3">
      <w:pPr>
        <w:pStyle w:val="Heading3"/>
      </w:pPr>
      <w:bookmarkStart w:id="649" w:name="_Toc453235447"/>
      <w:bookmarkStart w:id="650" w:name="_Toc453595520"/>
      <w:bookmarkStart w:id="651" w:name="_Toc476241617"/>
      <w:bookmarkStart w:id="652" w:name="_Toc283984159"/>
      <w:bookmarkStart w:id="653" w:name="_Toc441509008"/>
      <w:r w:rsidRPr="00F10391">
        <w:t>6.4.2</w:t>
      </w:r>
      <w:r w:rsidRPr="00F10391">
        <w:tab/>
      </w:r>
      <w:r w:rsidRPr="00F10391">
        <w:tab/>
        <w:t>Choosing a list of topics for evaluation</w:t>
      </w:r>
      <w:bookmarkEnd w:id="649"/>
      <w:bookmarkEnd w:id="650"/>
      <w:bookmarkEnd w:id="651"/>
      <w:r w:rsidRPr="00F10391">
        <w:t xml:space="preserve"> </w:t>
      </w:r>
    </w:p>
    <w:p w14:paraId="1C5AC67F" w14:textId="77777777" w:rsidR="00D22CE3" w:rsidRPr="00F10391" w:rsidRDefault="00D22CE3">
      <w:r w:rsidRPr="00F10391">
        <w:t xml:space="preserve">Because of the intention to mimic the real-life workings of a TAW-style process that used the MCDA techniques, realistic topics would ideally be appraised on the day (though not topics that had already been appraised in case this somehow biased the process). A list of 13 upcoming criteria to be considered by the real-life TAW was therefore obtained. No briefing papers had yet been written for these topics and it was unclear (even in vague terms) what interventions might be associated with some of these. Furthermore, because of time pressure on the day, it was clear that only a subset of these would be able to be scored properly using an MCDA approach (given the that participants had to also generate and weight a list of relevant criteria for doing so).  </w:t>
      </w:r>
    </w:p>
    <w:p w14:paraId="617DBBF8" w14:textId="77777777" w:rsidR="00D22CE3" w:rsidRPr="00F10391" w:rsidRDefault="00D22CE3">
      <w:pPr>
        <w:rPr>
          <w:lang w:eastAsia="en-IE"/>
        </w:rPr>
      </w:pPr>
      <w:r w:rsidRPr="00F10391">
        <w:t xml:space="preserve">For these reasons, five interventions were chosen for consideration: </w:t>
      </w:r>
      <w:r w:rsidRPr="00F10391">
        <w:rPr>
          <w:lang w:eastAsia="en-IE"/>
        </w:rPr>
        <w:t>Sickle Cell Screening; Tackling smoking through the media; Fluoridation of water; Substance Misuse; and Pain as a public health problem. Those excluded from consideration were: Physical Activity following the diagnosis of cancer; Sexual health; HIV and AIDS; Worklessness; Complex Families; Homeless Healthcare Initiative; Fluid Intake; and Recognising potentially serious symptoms.</w:t>
      </w:r>
    </w:p>
    <w:p w14:paraId="2FA0FE06" w14:textId="77777777" w:rsidR="00D22CE3" w:rsidRPr="00F10391" w:rsidRDefault="00D22CE3"/>
    <w:p w14:paraId="4E3DF95B" w14:textId="77777777" w:rsidR="00D22CE3" w:rsidRPr="00F10391" w:rsidRDefault="00D22CE3">
      <w:pPr>
        <w:pStyle w:val="Heading3"/>
      </w:pPr>
      <w:bookmarkStart w:id="654" w:name="_Toc304640249"/>
      <w:bookmarkStart w:id="655" w:name="_Toc453235448"/>
      <w:bookmarkStart w:id="656" w:name="_Toc453595521"/>
      <w:bookmarkStart w:id="657" w:name="_Toc476241618"/>
      <w:r w:rsidRPr="00F10391">
        <w:t>6.4.3</w:t>
      </w:r>
      <w:r w:rsidRPr="00F10391">
        <w:tab/>
      </w:r>
      <w:r w:rsidRPr="00F10391">
        <w:tab/>
        <w:t>Identifying criteria</w:t>
      </w:r>
      <w:bookmarkEnd w:id="652"/>
      <w:bookmarkEnd w:id="653"/>
      <w:bookmarkEnd w:id="654"/>
      <w:bookmarkEnd w:id="655"/>
      <w:bookmarkEnd w:id="656"/>
      <w:bookmarkEnd w:id="657"/>
      <w:r w:rsidRPr="00F10391">
        <w:t xml:space="preserve"> </w:t>
      </w:r>
    </w:p>
    <w:p w14:paraId="3A93F558" w14:textId="77777777" w:rsidR="00D22CE3" w:rsidRPr="00F10391" w:rsidRDefault="00D22CE3">
      <w:r w:rsidRPr="00F10391">
        <w:t>The first stage of the process on the day was the consideration of which criteria might be used in order to best differentiate a good topic from a poor one for the development of public health guidance. By way of an introduction to the concept of criteria, each participant was given three post-it notes and asked to write a useful criterion on each, without conferring with others present. Participants were then asked in turn to place these on a wall, positioning them beside any criteria already there that reflected similar themes. As such, it was hoped that clusters of relevant criteria might emerge</w:t>
      </w:r>
      <w:r w:rsidRPr="00F10391">
        <w:rPr>
          <w:rStyle w:val="FootnoteReference"/>
        </w:rPr>
        <w:footnoteReference w:id="7"/>
      </w:r>
      <w:r w:rsidRPr="00F10391">
        <w:t xml:space="preserve">, fostering further discussion. Over a number of iterations designed to remove redundant or doubly counted criteria, the participants converged around the hierarchy of criteria shown in Figure 6.1. </w:t>
      </w:r>
      <w:r w:rsidR="000905BC">
        <w:t>These post-it notes were kept</w:t>
      </w:r>
      <w:r w:rsidR="00BC2E1B">
        <w:t xml:space="preserve"> afterwards</w:t>
      </w:r>
      <w:r w:rsidR="001E0A41">
        <w:t xml:space="preserve"> in groups</w:t>
      </w:r>
      <w:r w:rsidR="00BC2E1B">
        <w:t xml:space="preserve"> to ensure that they</w:t>
      </w:r>
      <w:r w:rsidR="000905BC">
        <w:t xml:space="preserve"> could be accurately transcribed later.</w:t>
      </w:r>
    </w:p>
    <w:p w14:paraId="59381047" w14:textId="355A3D41" w:rsidR="00D22CE3" w:rsidRPr="00F10391" w:rsidRDefault="00D22CE3">
      <w:pPr>
        <w:pStyle w:val="Caption"/>
      </w:pPr>
      <w:bookmarkStart w:id="658" w:name="_Toc283984236"/>
      <w:bookmarkStart w:id="659" w:name="_Toc444180821"/>
      <w:bookmarkStart w:id="660" w:name="_Toc476241458"/>
      <w:bookmarkStart w:id="661" w:name="_Toc304640250"/>
      <w:bookmarkStart w:id="662" w:name="_Toc283984160"/>
      <w:r w:rsidRPr="00F10391">
        <w:t xml:space="preserve">Figure </w:t>
      </w:r>
      <w:r w:rsidR="000F1034">
        <w:fldChar w:fldCharType="begin"/>
      </w:r>
      <w:r w:rsidR="000F1034">
        <w:instrText xml:space="preserve"> STYLEREF 1 \s </w:instrText>
      </w:r>
      <w:r w:rsidR="000F1034">
        <w:fldChar w:fldCharType="separate"/>
      </w:r>
      <w:r w:rsidR="00B37229">
        <w:rPr>
          <w:noProof/>
        </w:rPr>
        <w:t>6</w:t>
      </w:r>
      <w:r w:rsidR="000F1034">
        <w:rPr>
          <w:noProof/>
        </w:rPr>
        <w:fldChar w:fldCharType="end"/>
      </w:r>
      <w:r w:rsidR="000E04E1"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Final iteration of criteria derived at the topic selection workshop, shown in hierarchy</w:t>
      </w:r>
      <w:bookmarkEnd w:id="658"/>
      <w:bookmarkEnd w:id="659"/>
      <w:bookmarkEnd w:id="660"/>
    </w:p>
    <w:p w14:paraId="56D54F6E" w14:textId="77777777" w:rsidR="00D22CE3" w:rsidRPr="00F10391" w:rsidRDefault="00D22CE3">
      <w:r w:rsidRPr="00F10391">
        <w:rPr>
          <w:noProof/>
          <w:lang w:val="en-IE" w:eastAsia="en-IE"/>
        </w:rPr>
        <w:drawing>
          <wp:inline distT="0" distB="0" distL="0" distR="0" wp14:anchorId="29B5E91B" wp14:editId="42BC693B">
            <wp:extent cx="5248910" cy="2465070"/>
            <wp:effectExtent l="0" t="0" r="8890" b="0"/>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0550E6B" w14:textId="77777777" w:rsidR="00D22CE3" w:rsidRPr="00F10391" w:rsidRDefault="00D22CE3"/>
    <w:p w14:paraId="6A170871" w14:textId="77777777" w:rsidR="00D22CE3" w:rsidRPr="00F10391" w:rsidRDefault="00D22CE3">
      <w:pPr>
        <w:pStyle w:val="Heading3"/>
      </w:pPr>
      <w:bookmarkStart w:id="663" w:name="_Toc441509009"/>
      <w:bookmarkStart w:id="664" w:name="_Toc453235449"/>
      <w:bookmarkStart w:id="665" w:name="_Toc453595522"/>
      <w:bookmarkStart w:id="666" w:name="_Toc476241619"/>
      <w:r w:rsidRPr="00F10391">
        <w:t>6.4.4</w:t>
      </w:r>
      <w:r w:rsidRPr="00F10391">
        <w:tab/>
      </w:r>
      <w:r w:rsidRPr="00F10391">
        <w:tab/>
        <w:t>Prioritising the criteria by weighting</w:t>
      </w:r>
      <w:bookmarkEnd w:id="661"/>
      <w:bookmarkEnd w:id="662"/>
      <w:bookmarkEnd w:id="663"/>
      <w:bookmarkEnd w:id="664"/>
      <w:bookmarkEnd w:id="665"/>
      <w:bookmarkEnd w:id="666"/>
    </w:p>
    <w:p w14:paraId="10ABD4A2" w14:textId="77777777" w:rsidR="00D22CE3" w:rsidRPr="00F10391" w:rsidRDefault="00D22CE3">
      <w:r w:rsidRPr="00F10391">
        <w:t xml:space="preserve">In MCDA approaches, criteria are weighted by comparing their relative importance to the decision. As previously described in Section 2.5.3.2, AHP uses an intuitive approach similar to Likert scales to do so, building up weightings based on pair-wise comparisons of criteria. Two criteria are selected and decision-makers choose which is more important, and by how much, according to the ‘fundamental scale’ in Table 2.4. The next pair of criteria is then considered. Over time a complete picture of the relative importance of each criterion can be derived, which is checked for consistency in order to ensure a rational and meaningful answer. Explicit numerical weights are then derived for each criterion using the relational matrix's maximal eigenvector. These weights can be considered by the decision-makers in order to ensure that they are acceptable and reflect their intuitive feelings of the relative importance of the criteria. </w:t>
      </w:r>
    </w:p>
    <w:p w14:paraId="2B090ED0" w14:textId="31C3CAD1" w:rsidR="00D22CE3" w:rsidRPr="00F10391" w:rsidRDefault="00D22CE3">
      <w:pPr>
        <w:pStyle w:val="Caption"/>
      </w:pPr>
      <w:bookmarkStart w:id="667" w:name="_Toc444180797"/>
      <w:bookmarkStart w:id="668" w:name="_Toc476241434"/>
      <w:r w:rsidRPr="00F10391">
        <w:t xml:space="preserve">Table </w:t>
      </w:r>
      <w:r w:rsidR="000F1034">
        <w:fldChar w:fldCharType="begin"/>
      </w:r>
      <w:r w:rsidR="000F1034">
        <w:instrText xml:space="preserve"> STYLEREF 1 \s </w:instrText>
      </w:r>
      <w:r w:rsidR="000F1034">
        <w:fldChar w:fldCharType="separate"/>
      </w:r>
      <w:r w:rsidR="00B37229">
        <w:rPr>
          <w:noProof/>
        </w:rPr>
        <w:t>6</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1</w:t>
      </w:r>
      <w:r w:rsidR="000F1034">
        <w:rPr>
          <w:noProof/>
        </w:rPr>
        <w:fldChar w:fldCharType="end"/>
      </w:r>
      <w:r w:rsidRPr="00F10391">
        <w:t xml:space="preserve"> – Implied weights for criterion headings derived at the decision conference</w:t>
      </w:r>
      <w:bookmarkEnd w:id="667"/>
      <w:bookmarkEnd w:id="668"/>
    </w:p>
    <w:p w14:paraId="158A11BD" w14:textId="77777777" w:rsidR="00D22CE3" w:rsidRPr="00F10391" w:rsidRDefault="00D22CE3">
      <w:pPr>
        <w:rPr>
          <w:color w:val="000000"/>
          <w:sz w:val="18"/>
          <w:szCs w:val="18"/>
        </w:rPr>
      </w:pPr>
      <w:r w:rsidRPr="00F10391">
        <w:rPr>
          <w:noProof/>
          <w:lang w:val="en-IE" w:eastAsia="en-IE"/>
        </w:rPr>
        <w:drawing>
          <wp:inline distT="0" distB="0" distL="0" distR="0" wp14:anchorId="511DCDA8" wp14:editId="7F677BF8">
            <wp:extent cx="5731510" cy="1687195"/>
            <wp:effectExtent l="0" t="0" r="8890" b="0"/>
            <wp:docPr id="21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687195"/>
                    </a:xfrm>
                    <a:prstGeom prst="rect">
                      <a:avLst/>
                    </a:prstGeom>
                    <a:noFill/>
                    <a:ln>
                      <a:noFill/>
                    </a:ln>
                  </pic:spPr>
                </pic:pic>
              </a:graphicData>
            </a:graphic>
          </wp:inline>
        </w:drawing>
      </w:r>
    </w:p>
    <w:p w14:paraId="6CD740C5" w14:textId="77777777" w:rsidR="00D22CE3" w:rsidRPr="00F10391" w:rsidRDefault="00D22CE3"/>
    <w:p w14:paraId="18DCBFDA" w14:textId="77777777" w:rsidR="00D22CE3" w:rsidRPr="00F10391" w:rsidRDefault="00D22CE3">
      <w:r w:rsidRPr="00F10391">
        <w:t xml:space="preserve">In this workshop, participants were initially asked to privately write down whether they felt the </w:t>
      </w:r>
      <w:r w:rsidRPr="00F10391">
        <w:rPr>
          <w:i/>
        </w:rPr>
        <w:t>Size of the problem</w:t>
      </w:r>
      <w:r w:rsidRPr="00F10391">
        <w:t xml:space="preserve"> was more important than </w:t>
      </w:r>
      <w:r w:rsidRPr="00F10391">
        <w:rPr>
          <w:i/>
        </w:rPr>
        <w:t>Making a difference</w:t>
      </w:r>
      <w:r w:rsidRPr="00F10391">
        <w:t>, and by how much according to the same fundamental scale.</w:t>
      </w:r>
    </w:p>
    <w:p w14:paraId="67B8D274" w14:textId="77777777" w:rsidR="00D22CE3" w:rsidRPr="00F10391" w:rsidRDefault="00D22CE3">
      <w:r w:rsidRPr="00F10391">
        <w:t xml:space="preserve">Individuals’ preferences were announced to the group, and the geometric mean of these individual results was used as a starting point for discussions until a consensus score for the overall group arose. In this, </w:t>
      </w:r>
      <w:r w:rsidRPr="00F10391">
        <w:rPr>
          <w:i/>
        </w:rPr>
        <w:t>Making a difference</w:t>
      </w:r>
      <w:r w:rsidRPr="00F10391">
        <w:t xml:space="preserve"> was between moderately and strongly more important (represented by a 4) and hence the </w:t>
      </w:r>
      <w:r w:rsidRPr="00F10391">
        <w:rPr>
          <w:i/>
        </w:rPr>
        <w:t xml:space="preserve">Size of the problem </w:t>
      </w:r>
      <w:r w:rsidRPr="00F10391">
        <w:t xml:space="preserve">was moderately to strongly less important (the reciprocal, hence ¼). </w:t>
      </w:r>
      <w:r w:rsidRPr="00F10391">
        <w:rPr>
          <w:i/>
        </w:rPr>
        <w:t xml:space="preserve">Size of the problem </w:t>
      </w:r>
      <w:r w:rsidRPr="00F10391">
        <w:t>was then compared with</w:t>
      </w:r>
      <w:r w:rsidRPr="00F10391">
        <w:rPr>
          <w:i/>
        </w:rPr>
        <w:t xml:space="preserve"> Current variation in practice</w:t>
      </w:r>
      <w:r w:rsidRPr="00F10391">
        <w:t xml:space="preserve">, and so on. Once the matrix was complete, the consistency index of the relationships between criteria was tested using the standard approach </w:t>
      </w:r>
      <w:r w:rsidRPr="00F10391">
        <w:fldChar w:fldCharType="begin"/>
      </w:r>
      <w:r w:rsidR="00D24504">
        <w:instrText xml:space="preserve"> ADDIN EN.CITE &lt;EndNote&gt;&lt;Cite&gt;&lt;Author&gt;Saaty&lt;/Author&gt;&lt;Year&gt;1990&lt;/Year&gt;&lt;RecNum&gt;125&lt;/RecNum&gt;&lt;DisplayText&gt;[346]&lt;/DisplayText&gt;&lt;record&gt;&lt;rec-number&gt;125&lt;/rec-number&gt;&lt;foreign-keys&gt;&lt;key app="EN" db-id="sz9092dv2s5fpze9wpgx0zxgv5ar00aezrvf" timestamp="0"&gt;125&lt;/key&gt;&lt;/foreign-keys&gt;&lt;ref-type name="Journal Article"&gt;17&lt;/ref-type&gt;&lt;contributors&gt;&lt;authors&gt;&lt;author&gt;Saaty, Thomas L&lt;/author&gt;&lt;/authors&gt;&lt;/contributors&gt;&lt;titles&gt;&lt;title&gt;How to make a decision: the analytic hierarchy process&lt;/title&gt;&lt;secondary-title&gt;European journal of operational research&lt;/secondary-title&gt;&lt;/titles&gt;&lt;pages&gt;9-26&lt;/pages&gt;&lt;volume&gt;48&lt;/volume&gt;&lt;number&gt;1&lt;/number&gt;&lt;dates&gt;&lt;year&gt;1990&lt;/year&gt;&lt;/dates&gt;&lt;isbn&gt;0377-2217&lt;/isbn&gt;&lt;urls&gt;&lt;related-urls&gt;&lt;url&gt;http://www.sciencedirect.com/science/article/pii/037722179090057I&lt;/url&gt;&lt;/related-urls&gt;&lt;/urls&gt;&lt;/record&gt;&lt;/Cite&gt;&lt;/EndNote&gt;</w:instrText>
      </w:r>
      <w:r w:rsidRPr="00F10391">
        <w:fldChar w:fldCharType="separate"/>
      </w:r>
      <w:r w:rsidR="00D24504">
        <w:rPr>
          <w:noProof/>
        </w:rPr>
        <w:t>[346]</w:t>
      </w:r>
      <w:r w:rsidRPr="00F10391">
        <w:fldChar w:fldCharType="end"/>
      </w:r>
      <w:r w:rsidRPr="00F10391">
        <w:t xml:space="preserve">. </w:t>
      </w:r>
    </w:p>
    <w:p w14:paraId="386E9830" w14:textId="77777777" w:rsidR="00D22CE3" w:rsidRPr="00F10391" w:rsidRDefault="00D22CE3">
      <w:r w:rsidRPr="00F10391">
        <w:t xml:space="preserve">The final results of the criterion headings, the second level of Figure 6.1, are shown in Table 6.1. The normalised geometric mean of each criterion is calculated, giving the matrix's maximal eigenvector, containing the weights of the criteria. For example, the geometric mean of the </w:t>
      </w:r>
      <w:r w:rsidRPr="00F10391">
        <w:rPr>
          <w:i/>
        </w:rPr>
        <w:t>Current variation in practice</w:t>
      </w:r>
      <w:r w:rsidRPr="00F10391">
        <w:t xml:space="preserve"> criterion is calculated [((0.5*0.333*1)^(1/3)) = 0.55] and then this is normalised in relation to the other means to calculate the criterion weight [0.55/ (0.79+2.29+0.55) = 0.15]. Using this approach, the most important of these criterion headings was </w:t>
      </w:r>
      <w:r w:rsidRPr="00F10391">
        <w:rPr>
          <w:i/>
        </w:rPr>
        <w:t>Making a difference</w:t>
      </w:r>
      <w:r w:rsidRPr="00F10391">
        <w:t xml:space="preserve">, with a weight of 0.63. </w:t>
      </w:r>
    </w:p>
    <w:p w14:paraId="05D1406F" w14:textId="77777777" w:rsidR="00D22CE3" w:rsidRPr="00F10391" w:rsidRDefault="00D22CE3">
      <w:r w:rsidRPr="00F10391">
        <w:t xml:space="preserve">The subsequent criteria in the branches on the bottom level of Figure 6.1 were compared similarly, and their absolute weights calculated by multiplying the derived relative weight by the weight of their associated parent criterion above. </w:t>
      </w:r>
    </w:p>
    <w:p w14:paraId="47A19161" w14:textId="77777777" w:rsidR="00D22CE3" w:rsidRPr="00F10391" w:rsidRDefault="00D22CE3">
      <w:pPr>
        <w:pStyle w:val="Caption"/>
      </w:pPr>
    </w:p>
    <w:p w14:paraId="1C5312C7" w14:textId="77777777" w:rsidR="00D22CE3" w:rsidRPr="00F10391" w:rsidRDefault="00D22CE3">
      <w:pPr>
        <w:pStyle w:val="Heading3"/>
      </w:pPr>
      <w:bookmarkStart w:id="669" w:name="_Toc304640251"/>
      <w:bookmarkStart w:id="670" w:name="_Toc283984161"/>
      <w:bookmarkStart w:id="671" w:name="_Toc441509010"/>
      <w:bookmarkStart w:id="672" w:name="_Toc453235450"/>
      <w:bookmarkStart w:id="673" w:name="_Toc453595523"/>
      <w:bookmarkStart w:id="674" w:name="_Toc476241620"/>
      <w:r w:rsidRPr="00F10391">
        <w:t>6.4.5</w:t>
      </w:r>
      <w:r w:rsidRPr="00F10391">
        <w:tab/>
      </w:r>
      <w:r w:rsidRPr="00F10391">
        <w:tab/>
        <w:t>Estimating the performance of the topics on each of the criteria</w:t>
      </w:r>
      <w:bookmarkEnd w:id="669"/>
      <w:bookmarkEnd w:id="670"/>
      <w:bookmarkEnd w:id="671"/>
      <w:bookmarkEnd w:id="672"/>
      <w:bookmarkEnd w:id="673"/>
      <w:bookmarkEnd w:id="674"/>
      <w:r w:rsidRPr="00F10391">
        <w:t xml:space="preserve"> </w:t>
      </w:r>
    </w:p>
    <w:p w14:paraId="3A041C48" w14:textId="77777777" w:rsidR="00D22CE3" w:rsidRPr="00F10391" w:rsidRDefault="00D22CE3">
      <w:r w:rsidRPr="00F10391">
        <w:t xml:space="preserve">The next stage of the process required that each topic under consideration be scored on each of the criteria. This could only be partially completed at the workshop, and scores on the remaining criteria were completed by email. The process follows a similar pattern to the weighting process explained in the previous section. Participants were asked to describe which of a pair of topics performed better on a given criterion, and by how much, using the same fundamental AHP scale of Table 2.4. By continuing this process for all such pairs, the scores for how each topic performs on that criterion can be derived. Topics are then compared on the next criterion, resulting in scores for each topic. The results for the </w:t>
      </w:r>
      <w:r w:rsidRPr="00F10391">
        <w:rPr>
          <w:i/>
        </w:rPr>
        <w:t>Current variation in practice</w:t>
      </w:r>
      <w:r w:rsidRPr="00F10391">
        <w:t xml:space="preserve"> criterion completed at the workshop are shown in Table 6.2. </w:t>
      </w:r>
    </w:p>
    <w:p w14:paraId="4ABDD4A4" w14:textId="77777777" w:rsidR="00D22CE3" w:rsidRPr="00F10391" w:rsidRDefault="00D22CE3"/>
    <w:p w14:paraId="6F93734A" w14:textId="4FB6E990" w:rsidR="00D22CE3" w:rsidRPr="00F10391" w:rsidRDefault="00D22CE3">
      <w:pPr>
        <w:pStyle w:val="Caption"/>
      </w:pPr>
      <w:bookmarkStart w:id="675" w:name="_Toc283984216"/>
      <w:bookmarkStart w:id="676" w:name="_Toc444180798"/>
      <w:bookmarkStart w:id="677" w:name="_Toc476241435"/>
      <w:bookmarkStart w:id="678" w:name="_Toc304640252"/>
      <w:r w:rsidRPr="00F10391">
        <w:t xml:space="preserve">Table </w:t>
      </w:r>
      <w:r w:rsidR="000F1034">
        <w:fldChar w:fldCharType="begin"/>
      </w:r>
      <w:r w:rsidR="000F1034">
        <w:instrText xml:space="preserve"> STYLEREF 1 \s </w:instrText>
      </w:r>
      <w:r w:rsidR="000F1034">
        <w:fldChar w:fldCharType="separate"/>
      </w:r>
      <w:r w:rsidR="00B37229">
        <w:rPr>
          <w:noProof/>
        </w:rPr>
        <w:t>6</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2</w:t>
      </w:r>
      <w:r w:rsidR="000F1034">
        <w:rPr>
          <w:noProof/>
        </w:rPr>
        <w:fldChar w:fldCharType="end"/>
      </w:r>
      <w:r w:rsidRPr="00F10391">
        <w:t xml:space="preserve"> – Performance of each potential topic on the 'Current variation in practice' criterion</w:t>
      </w:r>
      <w:bookmarkEnd w:id="675"/>
      <w:bookmarkEnd w:id="676"/>
      <w:bookmarkEnd w:id="677"/>
    </w:p>
    <w:p w14:paraId="06BAC450" w14:textId="77777777" w:rsidR="00D22CE3" w:rsidRPr="00F10391" w:rsidRDefault="00D22CE3">
      <w:r w:rsidRPr="00F10391">
        <w:rPr>
          <w:noProof/>
          <w:lang w:val="en-IE" w:eastAsia="en-IE"/>
        </w:rPr>
        <w:drawing>
          <wp:inline distT="0" distB="0" distL="0" distR="0" wp14:anchorId="400BE669" wp14:editId="239313CD">
            <wp:extent cx="5731510" cy="3769160"/>
            <wp:effectExtent l="0" t="0" r="2540"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769160"/>
                    </a:xfrm>
                    <a:prstGeom prst="rect">
                      <a:avLst/>
                    </a:prstGeom>
                    <a:noFill/>
                    <a:ln>
                      <a:noFill/>
                    </a:ln>
                  </pic:spPr>
                </pic:pic>
              </a:graphicData>
            </a:graphic>
          </wp:inline>
        </w:drawing>
      </w:r>
    </w:p>
    <w:p w14:paraId="4609F03A" w14:textId="77777777" w:rsidR="00D22CE3" w:rsidRPr="00F10391" w:rsidRDefault="00D22CE3">
      <w:pPr>
        <w:pStyle w:val="Heading3"/>
      </w:pPr>
      <w:bookmarkStart w:id="679" w:name="_Toc283984162"/>
      <w:bookmarkStart w:id="680" w:name="_Toc441509011"/>
      <w:bookmarkStart w:id="681" w:name="_Toc453235451"/>
      <w:bookmarkStart w:id="682" w:name="_Toc453595524"/>
      <w:bookmarkStart w:id="683" w:name="_Toc476241621"/>
      <w:r w:rsidRPr="00F10391">
        <w:t>6.4.6</w:t>
      </w:r>
      <w:r w:rsidRPr="00F10391">
        <w:tab/>
      </w:r>
      <w:r w:rsidRPr="00F10391">
        <w:tab/>
      </w:r>
      <w:bookmarkEnd w:id="678"/>
      <w:bookmarkEnd w:id="679"/>
      <w:bookmarkEnd w:id="680"/>
      <w:r w:rsidRPr="00F10391">
        <w:t>Combining scores</w:t>
      </w:r>
      <w:bookmarkEnd w:id="681"/>
      <w:bookmarkEnd w:id="682"/>
      <w:bookmarkEnd w:id="683"/>
    </w:p>
    <w:p w14:paraId="0651BFA2" w14:textId="77777777" w:rsidR="00D22CE3" w:rsidRPr="00F10391" w:rsidRDefault="00D22CE3"/>
    <w:p w14:paraId="0931662C" w14:textId="77777777" w:rsidR="00D22CE3" w:rsidRPr="00F10391" w:rsidRDefault="00D22CE3">
      <w:r w:rsidRPr="00F10391">
        <w:t xml:space="preserve">Given scores for each potential topic on each criterion and the associated weight of these criteria, a ‘total score’ for each topic can be derived using a weighted sum approach. These can be ranked and used as the basis for better informed discussion for prioritising topics for recommendation for future guidance to the Minister. These are shown in Table 6.3. The scores for </w:t>
      </w:r>
      <w:r w:rsidRPr="00F10391">
        <w:rPr>
          <w:i/>
        </w:rPr>
        <w:t>Current Variation in Practice</w:t>
      </w:r>
      <w:r w:rsidRPr="00F10391">
        <w:t xml:space="preserve">, for example, previously calculated in Table 6.2 are shown in the fourth column, alongside its weight as calculated in Table 6.1. As both weights and criterion scores are normalised, the total scores in the final column also sum to one. </w:t>
      </w:r>
    </w:p>
    <w:p w14:paraId="472961ED" w14:textId="7B6F4E69" w:rsidR="00D22CE3" w:rsidRPr="00F10391" w:rsidRDefault="00D22CE3">
      <w:pPr>
        <w:pStyle w:val="Caption"/>
      </w:pPr>
      <w:bookmarkStart w:id="684" w:name="_Toc283984217"/>
      <w:bookmarkStart w:id="685" w:name="_Toc444180799"/>
      <w:bookmarkStart w:id="686" w:name="_Toc476241436"/>
      <w:r w:rsidRPr="00F10391">
        <w:t xml:space="preserve">Table </w:t>
      </w:r>
      <w:r w:rsidR="000F1034">
        <w:fldChar w:fldCharType="begin"/>
      </w:r>
      <w:r w:rsidR="000F1034">
        <w:instrText xml:space="preserve"> STYLEREF 1 \s </w:instrText>
      </w:r>
      <w:r w:rsidR="000F1034">
        <w:fldChar w:fldCharType="separate"/>
      </w:r>
      <w:r w:rsidR="00B37229">
        <w:rPr>
          <w:noProof/>
        </w:rPr>
        <w:t>6</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3</w:t>
      </w:r>
      <w:r w:rsidR="000F1034">
        <w:rPr>
          <w:noProof/>
        </w:rPr>
        <w:fldChar w:fldCharType="end"/>
      </w:r>
      <w:r w:rsidRPr="00F10391">
        <w:t xml:space="preserve"> – Total scores derived for all topics under consideration</w:t>
      </w:r>
      <w:bookmarkEnd w:id="684"/>
      <w:bookmarkEnd w:id="685"/>
      <w:bookmarkEnd w:id="686"/>
    </w:p>
    <w:p w14:paraId="199EA6EE" w14:textId="77777777" w:rsidR="00D22CE3" w:rsidRPr="00F10391" w:rsidRDefault="00D22CE3">
      <w:r w:rsidRPr="00F10391">
        <w:rPr>
          <w:noProof/>
          <w:lang w:val="en-IE" w:eastAsia="en-IE"/>
        </w:rPr>
        <w:drawing>
          <wp:inline distT="0" distB="0" distL="0" distR="0" wp14:anchorId="5C6B6827" wp14:editId="1F87815A">
            <wp:extent cx="5731510" cy="2392045"/>
            <wp:effectExtent l="0" t="0" r="8890" b="0"/>
            <wp:docPr id="21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392045"/>
                    </a:xfrm>
                    <a:prstGeom prst="rect">
                      <a:avLst/>
                    </a:prstGeom>
                    <a:noFill/>
                    <a:ln>
                      <a:noFill/>
                    </a:ln>
                  </pic:spPr>
                </pic:pic>
              </a:graphicData>
            </a:graphic>
          </wp:inline>
        </w:drawing>
      </w:r>
    </w:p>
    <w:p w14:paraId="7676A62A" w14:textId="77777777" w:rsidR="00D22CE3" w:rsidRPr="00F10391" w:rsidRDefault="00D22CE3">
      <w:bookmarkStart w:id="687" w:name="_Toc283984163"/>
    </w:p>
    <w:p w14:paraId="40D191D1" w14:textId="77777777" w:rsidR="00D22CE3" w:rsidRPr="00F10391" w:rsidRDefault="00D22CE3">
      <w:pPr>
        <w:pStyle w:val="Heading3"/>
        <w:rPr>
          <w:rFonts w:eastAsia="Times New Roman"/>
          <w:color w:val="000000"/>
          <w:sz w:val="20"/>
          <w:szCs w:val="20"/>
          <w:lang w:eastAsia="en-GB"/>
        </w:rPr>
      </w:pPr>
      <w:bookmarkStart w:id="688" w:name="_Toc283984165"/>
      <w:bookmarkStart w:id="689" w:name="_Toc441509013"/>
      <w:bookmarkStart w:id="690" w:name="_Toc453235452"/>
      <w:bookmarkStart w:id="691" w:name="_Toc453595525"/>
      <w:bookmarkStart w:id="692" w:name="_Toc476241622"/>
      <w:bookmarkStart w:id="693" w:name="_Toc441509012"/>
      <w:r w:rsidRPr="00F10391">
        <w:t>6</w:t>
      </w:r>
      <w:bookmarkStart w:id="694" w:name="_Toc304640254"/>
      <w:r w:rsidRPr="00F10391">
        <w:t>.</w:t>
      </w:r>
      <w:bookmarkStart w:id="695" w:name="_Toc304640255"/>
      <w:bookmarkEnd w:id="694"/>
      <w:r w:rsidRPr="00F10391">
        <w:t>4.7</w:t>
      </w:r>
      <w:r w:rsidRPr="00F10391">
        <w:tab/>
      </w:r>
      <w:r w:rsidRPr="00F10391">
        <w:tab/>
        <w:t>Interpretation of results</w:t>
      </w:r>
      <w:bookmarkEnd w:id="688"/>
      <w:bookmarkEnd w:id="689"/>
      <w:bookmarkEnd w:id="690"/>
      <w:bookmarkEnd w:id="691"/>
      <w:bookmarkEnd w:id="692"/>
      <w:bookmarkEnd w:id="695"/>
      <w:r w:rsidRPr="00F10391">
        <w:t xml:space="preserve"> </w:t>
      </w:r>
    </w:p>
    <w:p w14:paraId="42D3E2CE" w14:textId="77777777" w:rsidR="00D22CE3" w:rsidRPr="00F10391" w:rsidRDefault="00D22CE3">
      <w:r w:rsidRPr="00F10391">
        <w:t>According to the total scores shown in Table 6.3, ‘Fluoridation of Water’ is the best performing topic based upon the selected criteria, and ‘Sickle Cell Screening’</w:t>
      </w:r>
      <w:r w:rsidRPr="00F10391">
        <w:rPr>
          <w:i/>
        </w:rPr>
        <w:t xml:space="preserve"> </w:t>
      </w:r>
      <w:r w:rsidRPr="00F10391">
        <w:t xml:space="preserve">is the worst. However, in practice further discussion is required to ensure that recommendations reflect the broader concerns of the health services, NICE and the public, as extensive discussion is typically required to transform health care prioritisation decisions into a simple ‘Yes’ or ‘No’ answer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 xml:space="preserve">. This will also likely provide the opportunity to increase understanding and the range of perspectives included and “provide a basis for thoughtful and informed moral choices” </w:t>
      </w:r>
      <w:r w:rsidRPr="00F10391">
        <w:fldChar w:fldCharType="begin"/>
      </w:r>
      <w:r w:rsidR="00700267">
        <w:instrText xml:space="preserve"> ADDIN EN.CITE &lt;EndNote&gt;&lt;Cite&gt;&lt;Author&gt;Airoldi&lt;/Author&gt;&lt;Year&gt;2011&lt;/Year&gt;&lt;RecNum&gt;3&lt;/RecNum&gt;&lt;DisplayText&gt;[68]&lt;/DisplayText&gt;&lt;record&gt;&lt;rec-number&gt;3&lt;/rec-number&gt;&lt;foreign-keys&gt;&lt;key app="EN" db-id="sz9092dv2s5fpze9wpgx0zxgv5ar00aezrvf" timestamp="0"&gt;3&lt;/key&gt;&lt;/foreign-keys&gt;&lt;ref-type name="Journal Article"&gt;17&lt;/ref-type&gt;&lt;contributors&gt;&lt;authors&gt;&lt;author&gt;Airoldi, M&lt;/author&gt;&lt;author&gt;Morton, A&lt;/author&gt;&lt;author&gt;Smith, J&lt;/author&gt;&lt;author&gt;Bevan, G&lt;/author&gt;&lt;/authors&gt;&lt;/contributors&gt;&lt;titles&gt;&lt;title&gt;Healthcare prioritisation at the local level: a socio-technical approach&lt;/title&gt;&lt;secondary-title&gt;Priority-setting for Population Health Working Paper Series, Working Paper&lt;/secondary-title&gt;&lt;/titles&gt;&lt;number&gt;7&lt;/number&gt;&lt;dates&gt;&lt;year&gt;2011&lt;/year&gt;&lt;/dates&gt;&lt;urls&gt;&lt;/urls&gt;&lt;/record&gt;&lt;/Cite&gt;&lt;/EndNote&gt;</w:instrText>
      </w:r>
      <w:r w:rsidRPr="00F10391">
        <w:fldChar w:fldCharType="separate"/>
      </w:r>
      <w:r w:rsidR="00700267">
        <w:rPr>
          <w:noProof/>
        </w:rPr>
        <w:t>[68]</w:t>
      </w:r>
      <w:r w:rsidRPr="00F10391">
        <w:fldChar w:fldCharType="end"/>
      </w:r>
      <w:r w:rsidRPr="00F10391">
        <w:t>.</w:t>
      </w:r>
    </w:p>
    <w:p w14:paraId="55B0D78B" w14:textId="6AAE1E01" w:rsidR="00D22CE3" w:rsidRPr="00F10391" w:rsidRDefault="00D22CE3">
      <w:r w:rsidRPr="00F10391">
        <w:t xml:space="preserve">It was therefore envisaged that the TAW (or some other similar) committee would continue to play a key role at this stage to address issues related to uncertainty. The AHP approach outlined does not give the ‘correct answer’ or relieve decision-makers of their responsibility to use appropriate </w:t>
      </w:r>
      <w:r w:rsidR="001B7ADD">
        <w:t>judgment</w:t>
      </w:r>
      <w:r w:rsidRPr="00F10391">
        <w:t xml:space="preserve">; it can only inform this process </w:t>
      </w:r>
      <w:r w:rsidRPr="00F10391">
        <w:fldChar w:fldCharType="begin"/>
      </w:r>
      <w:r w:rsidR="00D24504">
        <w:instrText xml:space="preserve"> ADDIN EN.CITE &lt;EndNote&gt;&lt;Cite&gt;&lt;Author&gt;Wilson&lt;/Author&gt;&lt;Year&gt;2006&lt;/Year&gt;&lt;RecNum&gt;265&lt;/RecNum&gt;&lt;DisplayText&gt;[347]&lt;/DisplayText&gt;&lt;record&gt;&lt;rec-number&gt;265&lt;/rec-number&gt;&lt;foreign-keys&gt;&lt;key app="EN" db-id="sz9092dv2s5fpze9wpgx0zxgv5ar00aezrvf" timestamp="0"&gt;265&lt;/key&gt;&lt;/foreign-keys&gt;&lt;ref-type name="Journal Article"&gt;17&lt;/ref-type&gt;&lt;contributors&gt;&lt;authors&gt;&lt;author&gt;Wilson, Edward CF; Rees, John; Fordham, Richard J&lt;/author&gt;&lt;/authors&gt;&lt;/contributors&gt;&lt;titles&gt;&lt;title&gt;Developing a prioritisation framework in an English Primary Care Trust&lt;/title&gt;&lt;secondary-title&gt;Cost Effectiveness and Resource Allocation&lt;/secondary-title&gt;&lt;/titles&gt;&lt;periodical&gt;&lt;full-title&gt;Cost effectiveness and resource allocation&lt;/full-title&gt;&lt;/periodical&gt;&lt;pages&gt;3&lt;/pages&gt;&lt;volume&gt;4&lt;/volume&gt;&lt;dates&gt;&lt;year&gt;2006&lt;/year&gt;&lt;/dates&gt;&lt;urls&gt;&lt;related-urls&gt;&lt;url&gt;http://www.ncbi.nlm.nih.gov/pmc/articles/PMC1395334/pdf/1478-7547-4-3.pdf&lt;/url&gt;&lt;/related-urls&gt;&lt;/urls&gt;&lt;/record&gt;&lt;/Cite&gt;&lt;/EndNote&gt;</w:instrText>
      </w:r>
      <w:r w:rsidRPr="00F10391">
        <w:fldChar w:fldCharType="separate"/>
      </w:r>
      <w:r w:rsidR="00D24504">
        <w:rPr>
          <w:noProof/>
        </w:rPr>
        <w:t>[347]</w:t>
      </w:r>
      <w:r w:rsidRPr="00F10391">
        <w:fldChar w:fldCharType="end"/>
      </w:r>
      <w:r w:rsidRPr="00F10391">
        <w:t xml:space="preserve">. However, it is likely to provide an initial snapshot of how the topics perform on key criteria and may highlight clear ‘winner’ and ‘dud’ topics, making subsequent discussion not just better informed, but calmer, easier and quicker. </w:t>
      </w:r>
    </w:p>
    <w:p w14:paraId="7C49E01C" w14:textId="77777777" w:rsidR="00D22CE3" w:rsidRPr="00F10391" w:rsidRDefault="00D22CE3"/>
    <w:p w14:paraId="3927929A" w14:textId="77777777" w:rsidR="00D22CE3" w:rsidRPr="00F10391" w:rsidRDefault="00D22CE3">
      <w:pPr>
        <w:pStyle w:val="Heading3"/>
        <w:rPr>
          <w:color w:val="000000"/>
          <w:sz w:val="20"/>
          <w:szCs w:val="20"/>
        </w:rPr>
      </w:pPr>
      <w:bookmarkStart w:id="696" w:name="_Toc453235453"/>
      <w:bookmarkStart w:id="697" w:name="_Toc453595526"/>
      <w:bookmarkStart w:id="698" w:name="_Toc476241623"/>
      <w:r w:rsidRPr="00F10391">
        <w:t>6</w:t>
      </w:r>
      <w:bookmarkStart w:id="699" w:name="_Toc304640253"/>
      <w:r w:rsidRPr="00F10391">
        <w:t>.4.8</w:t>
      </w:r>
      <w:r w:rsidRPr="00F10391">
        <w:tab/>
      </w:r>
      <w:r w:rsidRPr="00F10391">
        <w:tab/>
        <w:t>Sensitivity analyses</w:t>
      </w:r>
      <w:bookmarkEnd w:id="687"/>
      <w:bookmarkEnd w:id="693"/>
      <w:bookmarkEnd w:id="696"/>
      <w:bookmarkEnd w:id="697"/>
      <w:bookmarkEnd w:id="698"/>
      <w:bookmarkEnd w:id="699"/>
      <w:r w:rsidRPr="00F10391">
        <w:t xml:space="preserve"> </w:t>
      </w:r>
    </w:p>
    <w:p w14:paraId="3E2FDE4F" w14:textId="1890E682" w:rsidR="00D22CE3" w:rsidRPr="00F10391" w:rsidRDefault="00D22CE3">
      <w:r w:rsidRPr="00F10391">
        <w:t xml:space="preserve">Healthcare decisions are by their nature often highly uncertain – Arrow stated in a seminal paper </w:t>
      </w:r>
      <w:r w:rsidRPr="00F10391">
        <w:fldChar w:fldCharType="begin"/>
      </w:r>
      <w:r w:rsidR="00D24504">
        <w:instrText xml:space="preserve"> ADDIN EN.CITE &lt;EndNote&gt;&lt;Cite ExcludeAuth="1"&gt;&lt;Author&gt;Arrow&lt;/Author&gt;&lt;Year&gt;1963&lt;/Year&gt;&lt;RecNum&gt;5&lt;/RecNum&gt;&lt;DisplayText&gt;[348]&lt;/DisplayText&gt;&lt;record&gt;&lt;rec-number&gt;5&lt;/rec-number&gt;&lt;foreign-keys&gt;&lt;key app="EN" db-id="sz9092dv2s5fpze9wpgx0zxgv5ar00aezrvf" timestamp="0"&gt;5&lt;/key&gt;&lt;/foreign-keys&gt;&lt;ref-type name="Journal Article"&gt;17&lt;/ref-type&gt;&lt;contributors&gt;&lt;authors&gt;&lt;author&gt;Arrow, Kenneth J&lt;/author&gt;&lt;/authors&gt;&lt;/contributors&gt;&lt;titles&gt;&lt;title&gt;Uncertainty and the welfare economics of medical care&lt;/title&gt;&lt;secondary-title&gt;The American economic review&lt;/secondary-title&gt;&lt;/titles&gt;&lt;pages&gt;941-973&lt;/pages&gt;&lt;dates&gt;&lt;year&gt;1963&lt;/year&gt;&lt;/dates&gt;&lt;isbn&gt;0002-8282&lt;/isbn&gt;&lt;urls&gt;&lt;/urls&gt;&lt;/record&gt;&lt;/Cite&gt;&lt;Cite ExcludeAuth="1"&gt;&lt;Author&gt;Arrow&lt;/Author&gt;&lt;Year&gt;1963&lt;/Year&gt;&lt;RecNum&gt;5&lt;/RecNum&gt;&lt;record&gt;&lt;rec-number&gt;5&lt;/rec-number&gt;&lt;foreign-keys&gt;&lt;key app="EN" db-id="sz9092dv2s5fpze9wpgx0zxgv5ar00aezrvf" timestamp="0"&gt;5&lt;/key&gt;&lt;/foreign-keys&gt;&lt;ref-type name="Journal Article"&gt;17&lt;/ref-type&gt;&lt;contributors&gt;&lt;authors&gt;&lt;author&gt;Arrow, Kenneth J&lt;/author&gt;&lt;/authors&gt;&lt;/contributors&gt;&lt;titles&gt;&lt;title&gt;Uncertainty and the welfare economics of medical care&lt;/title&gt;&lt;secondary-title&gt;The American economic review&lt;/secondary-title&gt;&lt;/titles&gt;&lt;pages&gt;941-973&lt;/pages&gt;&lt;dates&gt;&lt;year&gt;1963&lt;/year&gt;&lt;/dates&gt;&lt;isbn&gt;0002-8282&lt;/isbn&gt;&lt;urls&gt;&lt;/urls&gt;&lt;/record&gt;&lt;/Cite&gt;&lt;/EndNote&gt;</w:instrText>
      </w:r>
      <w:r w:rsidRPr="00F10391">
        <w:fldChar w:fldCharType="separate"/>
      </w:r>
      <w:r w:rsidR="00D24504">
        <w:rPr>
          <w:noProof/>
        </w:rPr>
        <w:t>[348]</w:t>
      </w:r>
      <w:r w:rsidRPr="00F10391">
        <w:fldChar w:fldCharType="end"/>
      </w:r>
      <w:r w:rsidRPr="00F10391">
        <w:t xml:space="preserve"> </w:t>
      </w:r>
      <w:r w:rsidR="005035D0">
        <w:t xml:space="preserve">(p.946) </w:t>
      </w:r>
      <w:r w:rsidRPr="00F10391">
        <w:t xml:space="preserve">that “all the special features of this industry, in fact, stem from the prevalence of uncertainty”. Sensitivity analysis is therefore a vital part of such decision processes. While AHP approaches required the use of subjective </w:t>
      </w:r>
      <w:r w:rsidR="001B7ADD">
        <w:t>judgment</w:t>
      </w:r>
      <w:r w:rsidRPr="00F10391">
        <w:t xml:space="preserve">, MCDA approaches in general are remarkably insensitive to imprecision in scoring </w:t>
      </w:r>
      <w:r w:rsidRPr="00F10391">
        <w:fldChar w:fldCharType="begin">
          <w:fldData xml:space="preserve">PEVuZE5vdGU+PENpdGU+PEF1dGhvcj5Wb24gV2ludGVyZmVsZHQ8L0F1dGhvcj48WWVhcj4xOTg2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</w:fldData>
        </w:fldChar>
      </w:r>
      <w:r w:rsidR="00700267">
        <w:instrText xml:space="preserve"> ADDIN EN.CITE </w:instrText>
      </w:r>
      <w:r w:rsidR="00700267">
        <w:fldChar w:fldCharType="begin">
          <w:fldData xml:space="preserve">PEVuZE5vdGU+PENpdGU+PEF1dGhvcj5Wb24gV2ludGVyZmVsZHQ8L0F1dGhvcj48WWVhcj4xOTg2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</w:fldData>
        </w:fldChar>
      </w:r>
      <w:r w:rsidR="00700267">
        <w:instrText xml:space="preserve"> ADDIN EN.CITE.DATA </w:instrText>
      </w:r>
      <w:r w:rsidR="00700267">
        <w:fldChar w:fldCharType="end"/>
      </w:r>
      <w:r w:rsidRPr="00F10391">
        <w:fldChar w:fldCharType="separate"/>
      </w:r>
      <w:r w:rsidR="00700267">
        <w:rPr>
          <w:noProof/>
        </w:rPr>
        <w:t>[86, 146]</w:t>
      </w:r>
      <w:r w:rsidRPr="00F10391">
        <w:fldChar w:fldCharType="end"/>
      </w:r>
      <w:r w:rsidRPr="00F10391">
        <w:t xml:space="preserve"> and the decisions makers' preferences reflected in such orderings tend to be exceptionally robust. </w:t>
      </w:r>
    </w:p>
    <w:p w14:paraId="4D7057A9" w14:textId="77777777" w:rsidR="00D22CE3" w:rsidRPr="00F10391" w:rsidRDefault="00D22CE3">
      <w:r w:rsidRPr="00F10391">
        <w:t xml:space="preserve">Sensitivity analyses are shown in Table 6.4, displaying the required increase (or decrease) in each criterion's relative weighting to change the final ordering of the topics. The most sensitive of the rankings was between first and second place; for ‘Tackling smoking through the media’ to overtake ‘Fluoridation of water’ either the </w:t>
      </w:r>
      <w:r w:rsidRPr="00F10391">
        <w:rPr>
          <w:i/>
        </w:rPr>
        <w:t>Current variation in practice</w:t>
      </w:r>
      <w:r w:rsidRPr="00F10391">
        <w:t xml:space="preserve"> criterion's relative weighting would have to be reduced by 19% (from 0.151 to 0.122) or </w:t>
      </w:r>
      <w:r w:rsidRPr="00F10391">
        <w:rPr>
          <w:i/>
        </w:rPr>
        <w:t>Societal size of problem</w:t>
      </w:r>
      <w:r w:rsidRPr="00F10391">
        <w:t xml:space="preserve"> be increased in importance by 30%. Given the broad consensus achieved between participants, and consistency found for each criterion, such changes seem unlikely (and regardless, there is no reason why more than one topic could not be chosen anyway). Other changes seem increasingly improbable, and for 40 of the 70 possible weighting changes, changes in rankings are infeasible regardless of the size of the increase or decrease. These results appear to show a robust dataset. If the results were presented in practice as part of a TAW meeting and found to be sensitive to change, further discussion could ensure that the issue can be further investigated and borne in mind in ultimate decision-making.</w:t>
      </w:r>
    </w:p>
    <w:p w14:paraId="69DFDBDD" w14:textId="30E3C40D" w:rsidR="00D22CE3" w:rsidRPr="00F10391" w:rsidRDefault="00D22CE3">
      <w:pPr>
        <w:pStyle w:val="Caption"/>
      </w:pPr>
      <w:bookmarkStart w:id="700" w:name="_Toc283984218"/>
      <w:bookmarkStart w:id="701" w:name="_Toc444180800"/>
      <w:bookmarkStart w:id="702" w:name="_Toc476241437"/>
      <w:r w:rsidRPr="00F10391">
        <w:t xml:space="preserve">Table </w:t>
      </w:r>
      <w:r w:rsidR="000F1034">
        <w:fldChar w:fldCharType="begin"/>
      </w:r>
      <w:r w:rsidR="000F1034">
        <w:instrText xml:space="preserve"> STYLEREF 1 \s </w:instrText>
      </w:r>
      <w:r w:rsidR="000F1034">
        <w:fldChar w:fldCharType="separate"/>
      </w:r>
      <w:r w:rsidR="00B37229">
        <w:rPr>
          <w:noProof/>
        </w:rPr>
        <w:t>6</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4</w:t>
      </w:r>
      <w:r w:rsidR="000F1034">
        <w:rPr>
          <w:noProof/>
        </w:rPr>
        <w:fldChar w:fldCharType="end"/>
      </w:r>
      <w:r w:rsidRPr="00F10391">
        <w:t xml:space="preserve"> – Relative percentage increase required in order to change ranking, i.e. giving Topic B a higher total score than Topic A</w:t>
      </w:r>
      <w:bookmarkEnd w:id="700"/>
      <w:bookmarkEnd w:id="701"/>
      <w:bookmarkEnd w:id="702"/>
    </w:p>
    <w:p w14:paraId="4C029596" w14:textId="77777777" w:rsidR="00D22CE3" w:rsidRPr="00F10391" w:rsidRDefault="00D22CE3">
      <w:r w:rsidRPr="00F10391">
        <w:rPr>
          <w:noProof/>
          <w:lang w:val="en-IE" w:eastAsia="en-IE"/>
        </w:rPr>
        <w:drawing>
          <wp:inline distT="0" distB="0" distL="0" distR="0" wp14:anchorId="2C7A23BA" wp14:editId="64B95BBA">
            <wp:extent cx="5731510" cy="4506595"/>
            <wp:effectExtent l="76200" t="76200" r="59690" b="65405"/>
            <wp:docPr id="21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506595"/>
                    </a:xfrm>
                    <a:prstGeom prst="rect">
                      <a:avLst/>
                    </a:prstGeom>
                    <a:noFill/>
                    <a:ln>
                      <a:noFill/>
                    </a:ln>
                    <a:scene3d>
                      <a:camera prst="orthographicFront">
                        <a:rot lat="0" lon="0" rev="0"/>
                      </a:camera>
                      <a:lightRig rig="threePt" dir="t"/>
                    </a:scene3d>
                  </pic:spPr>
                </pic:pic>
              </a:graphicData>
            </a:graphic>
          </wp:inline>
        </w:drawing>
      </w:r>
    </w:p>
    <w:p w14:paraId="1A316F57" w14:textId="77777777" w:rsidR="00D22CE3" w:rsidRPr="00F10391" w:rsidRDefault="00D22CE3"/>
    <w:p w14:paraId="758919E5" w14:textId="77777777" w:rsidR="00D22CE3" w:rsidRPr="00F10391" w:rsidRDefault="00D22CE3">
      <w:pPr>
        <w:pStyle w:val="Heading3"/>
      </w:pPr>
      <w:bookmarkStart w:id="703" w:name="_Toc453235454"/>
      <w:bookmarkStart w:id="704" w:name="_Toc453595527"/>
      <w:bookmarkStart w:id="705" w:name="_Toc476241624"/>
      <w:r w:rsidRPr="00F10391">
        <w:t>6.4.9</w:t>
      </w:r>
      <w:r w:rsidRPr="00F10391">
        <w:tab/>
      </w:r>
      <w:r w:rsidRPr="00F10391">
        <w:tab/>
        <w:t>Implementation of the approach</w:t>
      </w:r>
      <w:bookmarkEnd w:id="703"/>
      <w:bookmarkEnd w:id="704"/>
      <w:bookmarkEnd w:id="705"/>
    </w:p>
    <w:p w14:paraId="27B3565C" w14:textId="77777777" w:rsidR="00D22CE3" w:rsidRPr="00F10391" w:rsidRDefault="00D22CE3">
      <w:r w:rsidRPr="00F10391">
        <w:t xml:space="preserve">Because this was only a pilot, there was limited scope for it to be directly implemented. In hindsight, its chances of directly influencing policy were especially limited given the fact that the 2012 method guidance (which was where such changes in protocol are formalised) had just been written. It also cannot have helped that the timing of the meeting coincided with the completion of my secondment to NICE, which therefore limited the opportunity to further engage with colleagues about how the approach could be used in practice. While I gave a seminar to the CPH on the findings some months later, one unfortunate knock-on effect of the pan-directorate 2014 NICE methods manual may have been to make the findings moot. </w:t>
      </w:r>
    </w:p>
    <w:p w14:paraId="2604DE1E" w14:textId="77777777" w:rsidR="00D22CE3" w:rsidRPr="00F10391" w:rsidRDefault="00D22CE3">
      <w:r w:rsidRPr="00F10391">
        <w:t>The approach’s direct impact on NICE processes in this case seems therefore to have been very limited. It may be possible that it has influenced discussions more indirectly, or may do so in future, but this is effectively unknowable from my current standpoint. In terms of other impact, the case study has been published, and reported at a number of conferences and, again, may have had diffuse but unknown impact in broader academic settings.</w:t>
      </w:r>
    </w:p>
    <w:p w14:paraId="23C9DE72" w14:textId="77777777" w:rsidR="00D22CE3" w:rsidRPr="00F10391" w:rsidRDefault="00D22CE3"/>
    <w:p w14:paraId="12678213" w14:textId="77777777" w:rsidR="00D22CE3" w:rsidRPr="00F10391" w:rsidRDefault="00D22CE3">
      <w:pPr>
        <w:pStyle w:val="Heading3"/>
      </w:pPr>
      <w:bookmarkStart w:id="706" w:name="_Toc283984166"/>
      <w:bookmarkStart w:id="707" w:name="_Toc304640256"/>
      <w:bookmarkStart w:id="708" w:name="_Toc441509014"/>
      <w:bookmarkStart w:id="709" w:name="_Toc453235455"/>
      <w:bookmarkStart w:id="710" w:name="_Toc453595528"/>
      <w:bookmarkStart w:id="711" w:name="_Toc476241625"/>
      <w:r w:rsidRPr="00F10391">
        <w:t>6.</w:t>
      </w:r>
      <w:bookmarkEnd w:id="706"/>
      <w:r w:rsidRPr="00F10391">
        <w:t>4.10</w:t>
      </w:r>
      <w:r w:rsidRPr="00F10391">
        <w:tab/>
      </w:r>
      <w:r w:rsidRPr="00F10391">
        <w:tab/>
        <w:t>Evaluation of the approach</w:t>
      </w:r>
      <w:bookmarkEnd w:id="707"/>
      <w:bookmarkEnd w:id="708"/>
      <w:r w:rsidRPr="00F10391">
        <w:t>’s ‘suitability’</w:t>
      </w:r>
      <w:bookmarkEnd w:id="709"/>
      <w:bookmarkEnd w:id="710"/>
      <w:bookmarkEnd w:id="711"/>
    </w:p>
    <w:p w14:paraId="27F5D165" w14:textId="77777777" w:rsidR="00D22CE3" w:rsidRPr="00F10391" w:rsidRDefault="00D22CE3">
      <w:bookmarkStart w:id="712" w:name="_Toc304640257"/>
      <w:r w:rsidRPr="00F10391">
        <w:t xml:space="preserve">The aim of this study was primarily to investigate if such an MCDA approach could feasibly be used within NICE decision-making settings in future. It appears that they could do so. It is the ability to falsify a hypothesis that distinguishes a case study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This study verifies that the use of such approach is feasible in such a setting, with a committee similar in composition to that proposed to be used in practice. </w:t>
      </w:r>
    </w:p>
    <w:p w14:paraId="1C6ED5E7" w14:textId="77777777" w:rsidR="00D22CE3" w:rsidRPr="00F10391" w:rsidRDefault="00D22CE3">
      <w:r w:rsidRPr="00F10391">
        <w:t>Case studies are also useful in identifying unforeseen stumbling blocks, but this approach has shown few such problems (though it modelled only part of a broader process). There are a number of possible advantages to using this approach, and the use of resources is likely similar to the status quo. Together, this strengthens the case for implementation further.</w:t>
      </w:r>
    </w:p>
    <w:p w14:paraId="13BAF14E" w14:textId="1B804119" w:rsidR="00D22CE3" w:rsidRPr="00F10391" w:rsidRDefault="00D22CE3">
      <w:r w:rsidRPr="00F10391">
        <w:t>Ultimately, proving the approach’s ‘suitability’ is difficult, given that there is no direct counter-factual to act as a direct comparator. Regardless, it is important that this case study can prove that such a committee could identify criteria, weight them, score topics and generate rankings of topics as part of the decision conference, within a NICE setting. But ‘feasibility’ in this sense makes up only part of the thesis’ definition of suitability as being actually deemed appropriate for use.</w:t>
      </w:r>
      <w:r w:rsidR="001E0A41">
        <w:t xml:space="preserve"> </w:t>
      </w:r>
      <w:r w:rsidRPr="00F10391">
        <w:t xml:space="preserve">Williams and Bryan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and Airoldi </w:t>
      </w:r>
      <w:r w:rsidRPr="00F10391">
        <w:fldChar w:fldCharType="begin"/>
      </w:r>
      <w:r w:rsidR="00700267">
        <w:instrText xml:space="preserve"> ADDIN EN.CITE &lt;EndNote&gt;&lt;Cite&gt;&lt;Author&gt;Airoldi&lt;/Author&gt;&lt;Year&gt;2014&lt;/Year&gt;&lt;RecNum&gt;319&lt;/RecNum&gt;&lt;DisplayText&gt;[326]&lt;/DisplayText&gt;&lt;record&gt;&lt;rec-number&gt;319&lt;/rec-number&gt;&lt;foreign-keys&gt;&lt;key app="EN" db-id="sz9092dv2s5fpze9wpgx0zxgv5ar00aezrvf" timestamp="0"&gt;319&lt;/key&gt;&lt;/foreign-keys&gt;&lt;ref-type name="Journal Article"&gt;17&lt;/ref-type&gt;&lt;contributors&gt;&lt;authors&gt;&lt;author&gt;Airoldi, Mara&lt;/author&gt;&lt;author&gt;Morton, Alec&lt;/author&gt;&lt;author&gt;Smith, Jenifer AE&lt;/author&gt;&lt;author&gt;Bevan, Gwyn&lt;/author&gt;&lt;/authors&gt;&lt;/contributors&gt;&lt;titles&gt;&lt;title&gt;STAR—People-Powered Prioritization A 21st-Century Solution to Allocation Headaches&lt;/title&gt;&lt;secondary-title&gt;Medical Decision Making&lt;/secondary-title&gt;&lt;/titles&gt;&lt;periodical&gt;&lt;full-title&gt;Medical Decision Making&lt;/full-title&gt;&lt;/periodical&gt;&lt;pages&gt;965-975&lt;/pages&gt;&lt;volume&gt;34&lt;/volume&gt;&lt;number&gt;8&lt;/number&gt;&lt;dates&gt;&lt;year&gt;2014&lt;/year&gt;&lt;/dates&gt;&lt;isbn&gt;0272-989X&lt;/isbn&gt;&lt;urls&gt;&lt;related-urls&gt;&lt;url&gt;http://mdm.sagepub.com/content/34/8/965.full.pdf&lt;/url&gt;&lt;/related-urls&gt;&lt;/urls&gt;&lt;/record&gt;&lt;/Cite&gt;&lt;/EndNote&gt;</w:instrText>
      </w:r>
      <w:r w:rsidRPr="00F10391">
        <w:fldChar w:fldCharType="separate"/>
      </w:r>
      <w:r w:rsidR="00700267">
        <w:rPr>
          <w:noProof/>
        </w:rPr>
        <w:t>[326]</w:t>
      </w:r>
      <w:r w:rsidRPr="00F10391">
        <w:fldChar w:fldCharType="end"/>
      </w:r>
      <w:r w:rsidRPr="00F10391">
        <w:t xml:space="preserve"> describe the suitability of such approaches in terms of accessibility and acceptability. Though these were not formally tested in this pilot, some tentative conclusions can be drawn.</w:t>
      </w:r>
    </w:p>
    <w:p w14:paraId="05C7F623" w14:textId="224E0F7C" w:rsidR="00D22CE3" w:rsidRPr="00F10391" w:rsidRDefault="00D22CE3">
      <w:r w:rsidRPr="00F10391">
        <w:t xml:space="preserve">The approach’s accessibility relates to the availability of relevant findings in a timely manner, the clarity of its presentation and the extent to which it can be understood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The approach was carried out in real time, and the panel did not seem to have any major problems with the approach. All steps on the day were deemed </w:t>
      </w:r>
      <w:r w:rsidR="001B120B">
        <w:t xml:space="preserve">comprehensible and actionable </w:t>
      </w:r>
      <w:r w:rsidRPr="00F10391">
        <w:t>and were implemented. Minor problems with participants’ concentration did arise, though this was likely related to the multiple (and seemingly confusingly similar) stages of devising criteria, weighting these and scoring topics using the same approach. This influenced the broader, revised approach described in section 6.5.1. Naturally, participants did not immediately agree on the importance of criteria, and so the success of the approach may also have been down to the fact that participants were willing to compromise on their weights. By way of example, all bar one participants though that the societal size of the problem was more important than its impact on an individual. This was ironed out after some thoughtful discussion. But in practice, these criteria would need to be more carefully designed and defined so that such issues did not run the risk of developing into major problems on the day.</w:t>
      </w:r>
    </w:p>
    <w:p w14:paraId="633A440D" w14:textId="77777777" w:rsidR="00D22CE3" w:rsidRPr="00F10391" w:rsidRDefault="00D22CE3">
      <w:r w:rsidRPr="00F10391">
        <w:t xml:space="preserve">Acceptability, in this context, means that all barriers that arise after the model’s findings have been accessed and understood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Because of the approach’s design – which aimed to minimise any disturbance to other processes by these changes –  it seems very possible that the broader process approach could be acceptable to decision-makers (if it were implemented). The approach seems to fit in with NICE’s broader contextual factors. Procedurally, the two major differences between the approach outlined and the status quo are that </w:t>
      </w:r>
    </w:p>
    <w:p w14:paraId="4D518E6C" w14:textId="77777777" w:rsidR="00D22CE3" w:rsidRPr="00F10391" w:rsidRDefault="00D22CE3">
      <w:pPr>
        <w:pStyle w:val="ListParagraph"/>
        <w:numPr>
          <w:ilvl w:val="0"/>
          <w:numId w:val="53"/>
        </w:numPr>
      </w:pPr>
      <w:r w:rsidRPr="00F10391">
        <w:t xml:space="preserve">Criteria would be weighted (after all, the briefing papers already stick to certain pre-defined areas which could be thought of as criteria); and </w:t>
      </w:r>
    </w:p>
    <w:p w14:paraId="4CD1AE0F" w14:textId="77777777" w:rsidR="00D22CE3" w:rsidRPr="00F10391" w:rsidRDefault="00D22CE3">
      <w:pPr>
        <w:pStyle w:val="ListParagraph"/>
        <w:numPr>
          <w:ilvl w:val="0"/>
          <w:numId w:val="53"/>
        </w:numPr>
      </w:pPr>
      <w:r w:rsidRPr="00F10391">
        <w:t>The results would be subsequently published and open to public scrutiny.</w:t>
      </w:r>
    </w:p>
    <w:p w14:paraId="230F53B6" w14:textId="77777777" w:rsidR="00D22CE3" w:rsidRPr="00F10391" w:rsidRDefault="00D22CE3">
      <w:r w:rsidRPr="00F10391">
        <w:t>Because it was a pilot, rather than an action research model, we cannot know for certain if it would have been considered acceptable by decision</w:t>
      </w:r>
      <w:r w:rsidR="00801B4C">
        <w:t>-</w:t>
      </w:r>
      <w:r w:rsidRPr="00F10391">
        <w:t xml:space="preserve">makers. But the fact that it was not implemented – while it could be due to bad timing regarding updates to the methods manuals, insufficient follow up, or other reasons – gives evidence that perhaps it was not considered acceptable. </w:t>
      </w:r>
    </w:p>
    <w:p w14:paraId="1E0B33ED" w14:textId="77777777" w:rsidR="00D22CE3" w:rsidRPr="00F10391" w:rsidRDefault="00D22CE3">
      <w:r w:rsidRPr="00F10391">
        <w:t>One obvious risk here is that such publication of scores for each topic was deemed to actually lead to too much transparency, whether from the perspective of NICE, the Minister or other stakeholders. While the pilot does not correspond wholly to the broader proposed approach, regardless of the format of this case study, there would be no way to know for certain how all relevant stakeholders would react over the longer term to such an approach being implemented in practice. It is plausible for example that, if the Minister’s favoured topics were less likely to be chosen using this approach, that NICE would be directly instructed which topics to investigate more often. Such issues were not tested in the pilot, and to draw firmer conclusions would be speculative. Furthermore, one participant expressed concern over the course of the pilot that the use of subjective criteria (which is inevitable) would make the entire process more open to criticism, which could overshadow results.</w:t>
      </w:r>
    </w:p>
    <w:p w14:paraId="2ED3D787" w14:textId="77777777" w:rsidR="00D22CE3" w:rsidRPr="00F10391" w:rsidRDefault="00D22CE3">
      <w:r w:rsidRPr="00F10391">
        <w:t>Whether or not NICE would be willing to publicise explicit criteria to be used during this stage at the current time is unclear. Given that any scores used will be supplemented by further discussion, the final stage of the decision-making process will still be undertaken confidentially if this is a perceived requirement. But there is a potential risk that where the rankings of the publicised MCDA model differ from final decisions (without providing clear justification for doing so) that this too could prove controversial.</w:t>
      </w:r>
    </w:p>
    <w:p w14:paraId="10001403" w14:textId="77777777" w:rsidR="00D22CE3" w:rsidRPr="00F10391" w:rsidRDefault="00D22CE3">
      <w:r w:rsidRPr="00F10391">
        <w:t xml:space="preserve">Participants in the pilot had very little practical information about the topics ranked and no subsequent discussion or refinement was possible. While not directly comparable, it is instructive to compare the results of the approach and the findings of the actual TAW committee. ‘Fluoridation of water’ and ‘Pain as public health problem’ (ranked first and fourth respectively in the pilot) were rejected soon afterwards by the sitting TAW, and the only topic currently in development resembling any of the five topics considered at the workshop is “Drug misuse prevention” (which is anticipated to be published in February 2017). It is possible that other criteria may have been used to prioritise topics, or that there may have been specific concerns given the topics under consideration that are not captured by the general criteria used for this pilot. Perhaps the subset of topics chosen for appraisal were inadvertently weak compared to those that were excluded.  Further discussion may also have ultimately changed the final rankings, but the very uncertainty over what happened at this TAW highlights the lack of transparency inherent in the current prioritisation process. </w:t>
      </w:r>
    </w:p>
    <w:p w14:paraId="6E0C72E1" w14:textId="213BC5E9" w:rsidR="00D22CE3" w:rsidRPr="00F10391" w:rsidRDefault="00D22CE3">
      <w:r w:rsidRPr="00F10391">
        <w:t xml:space="preserve">Just because such an approach was deemed feasible in this setting does not mean that it would be at all other stages of the decision process listed previously in Figure 4.1. Nor does it prove that doing so would be worthwhile, given the possible costs associated with them. For any such approach to inform policy-making, ultimately deciding whether the approach is worthwhile requires value </w:t>
      </w:r>
      <w:r w:rsidR="001B7ADD">
        <w:t>judgment</w:t>
      </w:r>
      <w:r w:rsidRPr="00F10391">
        <w:t xml:space="preserve">s as to whether it can be considered a success or a failure </w:t>
      </w:r>
      <w:r w:rsidRPr="00F10391">
        <w:fldChar w:fldCharType="begin"/>
      </w:r>
      <w:r w:rsidR="00700267">
        <w:instrText xml:space="preserve"> ADDIN EN.CITE &lt;EndNote&gt;&lt;Cite&gt;&lt;Author&gt;Keen&lt;/Author&gt;&lt;Year&gt;1995&lt;/Year&gt;&lt;RecNum&gt;357&lt;/RecNum&gt;&lt;DisplayText&gt;[20]&lt;/DisplayText&gt;&lt;record&gt;&lt;rec-number&gt;357&lt;/rec-number&gt;&lt;foreign-keys&gt;&lt;key app="EN" db-id="sz9092dv2s5fpze9wpgx0zxgv5ar00aezrvf" timestamp="0"&gt;357&lt;/key&gt;&lt;/foreign-keys&gt;&lt;ref-type name="Journal Article"&gt;17&lt;/ref-type&gt;&lt;contributors&gt;&lt;authors&gt;&lt;author&gt;Keen, Justin&lt;/author&gt;&lt;author&gt;Packwood, Tim&lt;/author&gt;&lt;/authors&gt;&lt;/contributors&gt;&lt;titles&gt;&lt;title&gt;Case study evaluation&lt;/title&gt;&lt;secondary-title&gt;BMJ: British Medical Journal&lt;/secondary-title&gt;&lt;/titles&gt;&lt;pages&gt;444&lt;/pages&gt;&lt;volume&gt;311&lt;/volume&gt;&lt;number&gt;7002&lt;/number&gt;&lt;dates&gt;&lt;year&gt;1995&lt;/year&gt;&lt;/dates&gt;&lt;urls&gt;&lt;related-urls&gt;&lt;url&gt;http://www.ncbi.nlm.nih.gov/pmc/articles/PMC2550500/pdf/bmj00605-0048.pdf&lt;/url&gt;&lt;/related-urls&gt;&lt;/urls&gt;&lt;/record&gt;&lt;/Cite&gt;&lt;/EndNote&gt;</w:instrText>
      </w:r>
      <w:r w:rsidRPr="00F10391">
        <w:fldChar w:fldCharType="separate"/>
      </w:r>
      <w:r w:rsidR="00700267">
        <w:rPr>
          <w:noProof/>
        </w:rPr>
        <w:t>[20]</w:t>
      </w:r>
      <w:r w:rsidRPr="00F10391">
        <w:fldChar w:fldCharType="end"/>
      </w:r>
      <w:r w:rsidRPr="00F10391">
        <w:t xml:space="preserve">. If a secondary aim of this chapter is to ascertain whether such an approach is worthwhile – while it cannot be proven given the limitations in data collection of the approach used – there are good reasons to believe that it might be. There are clearly advantages and drawbacks of pursuing the outlined approach, and decisions on their appropriateness on the basis of one study necessarily rely on such </w:t>
      </w:r>
      <w:r w:rsidR="001B7ADD">
        <w:t>judgment</w:t>
      </w:r>
      <w:r w:rsidRPr="00F10391">
        <w:t>. But there is potentially much to gain from pursuing such an approach, at relatively little cost. If better targeting of NICE’s limited resources were made possible by use of such an approach it would represent a clear gain. On the other hand, given that NICE have not adopted it as yet, they may well feel differently.</w:t>
      </w:r>
    </w:p>
    <w:p w14:paraId="6EA01FFD" w14:textId="77777777" w:rsidR="00D22CE3" w:rsidRPr="00F10391" w:rsidRDefault="00D22CE3"/>
    <w:p w14:paraId="0FF82FAA" w14:textId="77777777" w:rsidR="00D22CE3" w:rsidRPr="00F10391" w:rsidRDefault="00D22CE3">
      <w:pPr>
        <w:pStyle w:val="Numberedheading2"/>
      </w:pPr>
      <w:bookmarkStart w:id="713" w:name="_Toc441509016"/>
      <w:bookmarkStart w:id="714" w:name="_Toc453235456"/>
      <w:bookmarkStart w:id="715" w:name="_Toc453595529"/>
      <w:bookmarkStart w:id="716" w:name="_Toc476241626"/>
      <w:bookmarkStart w:id="717" w:name="_Toc304640259"/>
      <w:bookmarkEnd w:id="712"/>
      <w:r w:rsidRPr="00F10391">
        <w:t>6.5</w:t>
      </w:r>
      <w:r w:rsidRPr="00F10391">
        <w:tab/>
      </w:r>
      <w:r w:rsidRPr="00F10391">
        <w:tab/>
        <w:t>Discussion</w:t>
      </w:r>
      <w:bookmarkEnd w:id="713"/>
      <w:bookmarkEnd w:id="714"/>
      <w:bookmarkEnd w:id="715"/>
      <w:bookmarkEnd w:id="716"/>
    </w:p>
    <w:p w14:paraId="3F493EE3" w14:textId="77777777" w:rsidR="00D22CE3" w:rsidRPr="00F10391" w:rsidRDefault="00D22CE3"/>
    <w:p w14:paraId="77FE51CB" w14:textId="2375C3BB" w:rsidR="00D22CE3" w:rsidRPr="00F10391" w:rsidRDefault="001B7ADD">
      <w:r>
        <w:t>Judgment</w:t>
      </w:r>
      <w:r w:rsidR="00D22CE3" w:rsidRPr="00F10391">
        <w:t xml:space="preserve"> is at the heart of the AHP approach used, from the early stages until final revisions. Given the lack of hard evidence available </w:t>
      </w:r>
      <w:r w:rsidR="00D22CE3" w:rsidRPr="00F10391">
        <w:rPr>
          <w:i/>
        </w:rPr>
        <w:t>a priori</w:t>
      </w:r>
      <w:r w:rsidR="00D22CE3" w:rsidRPr="00F10391">
        <w:t xml:space="preserve"> in public health settings, the use of ‘subjective’ measures in on some level inevitable. It may instead be better therefore to embrace them, better understand them and apply them in the most appropriate way possible. </w:t>
      </w:r>
    </w:p>
    <w:p w14:paraId="7294D5F3" w14:textId="77777777" w:rsidR="00D22CE3" w:rsidRPr="00F10391" w:rsidRDefault="00D22CE3"/>
    <w:p w14:paraId="52E0B932" w14:textId="77777777" w:rsidR="00D22CE3" w:rsidRPr="00F10391" w:rsidRDefault="00D22CE3">
      <w:pPr>
        <w:pStyle w:val="Heading3"/>
      </w:pPr>
      <w:bookmarkStart w:id="718" w:name="_Toc453235457"/>
      <w:bookmarkStart w:id="719" w:name="_Toc453595530"/>
      <w:bookmarkStart w:id="720" w:name="_Toc476241627"/>
      <w:r w:rsidRPr="00F10391">
        <w:t xml:space="preserve">6.5.1 </w:t>
      </w:r>
      <w:r w:rsidRPr="00F10391">
        <w:tab/>
        <w:t>Lessons from the case study and potential use in practice</w:t>
      </w:r>
      <w:bookmarkEnd w:id="718"/>
      <w:bookmarkEnd w:id="719"/>
      <w:bookmarkEnd w:id="720"/>
    </w:p>
    <w:p w14:paraId="122D9EFD" w14:textId="77777777" w:rsidR="00D22CE3" w:rsidRPr="00F10391" w:rsidRDefault="00D22CE3">
      <w:r w:rsidRPr="00F10391">
        <w:t xml:space="preserve">This pilot investigated only the decision conference stage of a proposed broader approach. A broader assumption in the case study was that, whereas the status quo approach relies heavily on deliberation, participants could use an MCDA technique (such as the AHP process used here) to score the alternative topics. </w:t>
      </w:r>
    </w:p>
    <w:p w14:paraId="7B3911FE" w14:textId="2510B414" w:rsidR="00D22CE3" w:rsidRPr="00F10391" w:rsidRDefault="00D22CE3">
      <w:r w:rsidRPr="00F10391">
        <w:t xml:space="preserve">In practice, </w:t>
      </w:r>
      <w:r w:rsidRPr="00F10391">
        <w:rPr>
          <w:i/>
        </w:rPr>
        <w:t>pre-defined</w:t>
      </w:r>
      <w:r w:rsidRPr="00F10391">
        <w:rPr>
          <w:i/>
        </w:rPr>
        <w:softHyphen/>
        <w:t xml:space="preserve"> </w:t>
      </w:r>
      <w:r w:rsidRPr="00F10391">
        <w:t xml:space="preserve">criteria could be used, using the same weights each time to ensure consistency across studies, increase accountability and could potentially reduce the risk of gaming. This would be followed by a deliberative stage to ensure that other factors that had not been considered as part of the model can also be taken into account. This could take less time than current deliberations, given that clear </w:t>
      </w:r>
      <w:r w:rsidR="00C4401A">
        <w:t>‘</w:t>
      </w:r>
      <w:r w:rsidRPr="00F10391">
        <w:t>winner</w:t>
      </w:r>
      <w:r w:rsidR="00C4401A">
        <w:t>’</w:t>
      </w:r>
      <w:r w:rsidRPr="00F10391">
        <w:t xml:space="preserve"> and </w:t>
      </w:r>
      <w:r w:rsidR="00C4401A">
        <w:t>‘</w:t>
      </w:r>
      <w:r w:rsidRPr="00F10391">
        <w:t>dud</w:t>
      </w:r>
      <w:r w:rsidR="00C4401A">
        <w:t>’</w:t>
      </w:r>
      <w:r w:rsidRPr="00F10391">
        <w:t xml:space="preserve"> topics will have already been highlighted by the topic scores derived by the would-be deliberators.</w:t>
      </w:r>
    </w:p>
    <w:p w14:paraId="5774456B" w14:textId="77777777" w:rsidR="00D22CE3" w:rsidRPr="00F10391" w:rsidRDefault="00D22CE3">
      <w:r w:rsidRPr="00F10391">
        <w:t xml:space="preserve">The resources required to do so are comparable to the status quo. The current process requires half a day to deliberate, and it is likely such an approach would take about the same (though the pilot ran over time, over 50% of the half day was given over to generating a hierarchy of criteria and their associated weights, which would not be required at every such meeting in practice). Other resources will remain unchanged; the scoping reports preceding this phase will still be required, and subsequent stages would not be altered either. </w:t>
      </w:r>
    </w:p>
    <w:p w14:paraId="2297F55C" w14:textId="77777777" w:rsidR="00D22CE3" w:rsidRPr="00F10391" w:rsidRDefault="00D22CE3">
      <w:r w:rsidRPr="00F10391">
        <w:t xml:space="preserve">One obvious extra cost of following the proposed approach is ensuring that an appropriate process is followed to identify and weight the criteria to be used, which would be once-off (or more likely updated with each set of methods guidance every 3-4 years). </w:t>
      </w:r>
    </w:p>
    <w:p w14:paraId="3AAC9BF2" w14:textId="77777777" w:rsidR="00D22CE3" w:rsidRPr="00F10391" w:rsidRDefault="00D22CE3">
      <w:r w:rsidRPr="00F10391">
        <w:t>This was a demanding exercise for those taking part – by the end participants were mentally drained and seemed to get confused at times between the criteria they had derived. For this reason, it appears that larger batches of 10-15 topics (as is currently carried out in TAWs) would be unrealistic. Smaller batches, as here, should instead be considered, even if this required TAWs to meet more regularly. These extra meetings would also represent an increase in resources needed.</w:t>
      </w:r>
    </w:p>
    <w:p w14:paraId="0AE75E5F" w14:textId="77777777" w:rsidR="00D22CE3" w:rsidRPr="00F10391" w:rsidRDefault="00D22CE3">
      <w:r w:rsidRPr="00F10391">
        <w:t xml:space="preserve">It may be worthwhile to include the highest scoring rejected topic from the previous meeting to decrease the impact of variation of topic standards between batches and act as a better benchmark across time. Given that scores, with the AHP approach, sum to one, rather than some objective measure, it would otherwise be difficult to compare topics in absolute terms across meetings. Sensitivity analyses should be carried out as part of the meeting so that participants can discuss their likely implications. Furthermore, participants are likely to become more comfortable and faster at using the approach over time, though this familiarity could potentially lead to increased risk of gaming. The requirement to discuss and refine the model's rankings afterwards may help to reduce this bias. </w:t>
      </w:r>
    </w:p>
    <w:p w14:paraId="691C129D" w14:textId="77777777" w:rsidR="00D22CE3" w:rsidRPr="00F10391" w:rsidRDefault="00D22CE3">
      <w:r w:rsidRPr="00F10391">
        <w:t xml:space="preserve">The deliberation that would be proposed to follow the MCDA stage is no different from elsewhere in NICE (or in the status quo) and it is it unlikely that there would be difficulties in concluding this stage. While it would have been better to include this process on the day nonetheless, the lack of firm proposals for each intervention (due to the unavailability of briefing papers) would have made such discussions nothing more than a hypothetical role-play. As it was, there would have been no time to do so on the day anyway. </w:t>
      </w:r>
    </w:p>
    <w:p w14:paraId="75030266" w14:textId="77777777" w:rsidR="00D22CE3" w:rsidRPr="00F10391" w:rsidRDefault="00D22CE3">
      <w:r w:rsidRPr="00F10391">
        <w:t xml:space="preserve">The explicit weighting of the criteria and scores of the proposed topics is not necessarily without risks, particularly in a public body such as NICE. However, this explicitness of MCDA techniques affords increased legitimacy, and further public commentary arising out of this process may be healthy and could be used to inform future updates to criteria and their weights. Their criteria were intended to be illustrative of how the process might work, but for use in practice clearer definitions would be required to better foster understanding and consistency over time. </w:t>
      </w:r>
    </w:p>
    <w:p w14:paraId="0F7FFC71" w14:textId="77777777" w:rsidR="00D22CE3" w:rsidRPr="00F10391" w:rsidRDefault="00D22CE3">
      <w:r w:rsidRPr="00F10391">
        <w:t xml:space="preserve">While the decision about which criteria to include is a normative one (and in my role as facilitator, not one I could take part in in the case study), it is likely that some version of the </w:t>
      </w:r>
      <w:r w:rsidRPr="00F10391">
        <w:rPr>
          <w:i/>
        </w:rPr>
        <w:t xml:space="preserve">Feasibility </w:t>
      </w:r>
      <w:r w:rsidRPr="00F10391">
        <w:t xml:space="preserve">criterion would be required in practice. Currently, topic selection is the only phase of the CPH's decision process at which ‘resource impact’ is explicitly considered. After this point, NICE is expected to recommend all cost-effective approaches to increasing public health care, regardless of the likely impact on the overall health budget. However, it would be damaging to recommend any such approaches that are unlikely to prove affordable, not least in public health, where the borders of what constitutes a 'health' intervention can be vague. </w:t>
      </w:r>
    </w:p>
    <w:p w14:paraId="3C04386B" w14:textId="24114EF6" w:rsidR="00D22CE3" w:rsidRPr="00F10391" w:rsidRDefault="00D22CE3">
      <w:r w:rsidRPr="00F10391">
        <w:t xml:space="preserve">MCDA approaches typically require more resources and effort than standard approaches and are not always worthwhile </w:t>
      </w:r>
      <w:r w:rsidRPr="00F10391">
        <w:fldChar w:fldCharType="begin"/>
      </w:r>
      <w:r w:rsidR="00700267">
        <w:instrText xml:space="preserve"> ADDIN EN.CITE &lt;EndNote&gt;&lt;Cite&gt;&lt;Author&gt;Mussen&lt;/Author&gt;&lt;Year&gt;2009&lt;/Year&gt;&lt;RecNum&gt;98&lt;/RecNum&gt;&lt;DisplayText&gt;[143]&lt;/DisplayText&gt;&lt;record&gt;&lt;rec-number&gt;98&lt;/rec-number&gt;&lt;foreign-keys&gt;&lt;key app="EN" db-id="sz9092dv2s5fpze9wpgx0zxgv5ar00aezrvf" timestamp="0"&gt;98&lt;/key&gt;&lt;/foreign-keys&gt;&lt;ref-type name="Book"&gt;6&lt;/ref-type&gt;&lt;contributors&gt;&lt;authors&gt;&lt;author&gt;Mussen, F&lt;/author&gt;&lt;author&gt;Salek, S&lt;/author&gt;&lt;author&gt;Walker, S&lt;/author&gt;&lt;/authors&gt;&lt;/contributors&gt;&lt;titles&gt;&lt;title&gt;Benefit-Risk Appraisal of Medicines: A Systematic Approach to Decision-Making (2009 ed.)&lt;/title&gt;&lt;/titles&gt;&lt;dates&gt;&lt;year&gt;2009&lt;/year&gt;&lt;/dates&gt;&lt;publisher&gt;John Wiley &amp;amp; Sons, Chichester, West Sussex, United Kingdom&lt;/publisher&gt;&lt;urls&gt;&lt;/urls&gt;&lt;/record&gt;&lt;/Cite&gt;&lt;/EndNote&gt;</w:instrText>
      </w:r>
      <w:r w:rsidRPr="00F10391">
        <w:fldChar w:fldCharType="separate"/>
      </w:r>
      <w:r w:rsidR="00700267">
        <w:rPr>
          <w:noProof/>
        </w:rPr>
        <w:t>[143]</w:t>
      </w:r>
      <w:r w:rsidRPr="00F10391">
        <w:fldChar w:fldCharType="end"/>
      </w:r>
      <w:r w:rsidRPr="00F10391">
        <w:t xml:space="preserve">. It is unclear whether this would be the case in this setting. The panel could not get all scores completed in the allotted time and the process was clearly draining for all involved. Other MCDA approaches may allow for less collaboration and resources on the day, especially by assembling the performance of topics on criteria before the meeting by literature review </w:t>
      </w:r>
      <w:r w:rsidRPr="00F10391">
        <w:fldChar w:fldCharType="begin"/>
      </w:r>
      <w:r w:rsidR="00700267">
        <w:instrText xml:space="preserve"> ADDIN EN.CITE &lt;EndNote&gt;&lt;Cite&gt;&lt;Author&gt;Matrix Insight&lt;/Author&gt;&lt;Year&gt;2009&lt;/Year&gt;&lt;RecNum&gt;92&lt;/RecNum&gt;&lt;DisplayText&gt;[168]&lt;/DisplayText&gt;&lt;record&gt;&lt;rec-number&gt;92&lt;/rec-number&gt;&lt;foreign-keys&gt;&lt;key app="EN" db-id="sz9092dv2s5fpze9wpgx0zxgv5ar00aezrvf" timestamp="0"&gt;92&lt;/key&gt;&lt;/foreign-keys&gt;&lt;ref-type name="Journal Article"&gt;17&lt;/ref-type&gt;&lt;contributors&gt;&lt;authors&gt;&lt;author&gt;Matrix Insight, &lt;/author&gt;&lt;/authors&gt;&lt;/contributors&gt;&lt;titles&gt;&lt;title&gt;Prioritising investments in preventative health&lt;/title&gt;&lt;secondary-title&gt;Health England&lt;/secondary-title&gt;&lt;/titles&gt;&lt;dates&gt;&lt;year&gt;2009&lt;/year&gt;&lt;/dates&gt;&lt;urls&gt;&lt;/urls&gt;&lt;/record&gt;&lt;/Cite&gt;&lt;/EndNote&gt;</w:instrText>
      </w:r>
      <w:r w:rsidRPr="00F10391">
        <w:fldChar w:fldCharType="separate"/>
      </w:r>
      <w:r w:rsidR="00700267">
        <w:rPr>
          <w:noProof/>
        </w:rPr>
        <w:t>[168]</w:t>
      </w:r>
      <w:r w:rsidRPr="00F10391">
        <w:fldChar w:fldCharType="end"/>
      </w:r>
      <w:r w:rsidRPr="00F10391">
        <w:t xml:space="preserve">. However, given the relative lack of clear evidence available in public health settings, this approach may not be suitable in practice, which was why the </w:t>
      </w:r>
      <w:r w:rsidR="001B7ADD">
        <w:t>judgment</w:t>
      </w:r>
      <w:r w:rsidRPr="00F10391">
        <w:t xml:space="preserve">-based AHP was used for this pilot. If used in practice, NICE's Information Services team might continue to provide briefing documents (as it currently does) to the participants, but scores could be derived after discussion. </w:t>
      </w:r>
    </w:p>
    <w:p w14:paraId="417E5970" w14:textId="77777777" w:rsidR="00D22CE3" w:rsidRPr="00F10391" w:rsidRDefault="00D22CE3">
      <w:bookmarkStart w:id="721" w:name="_Toc441509015"/>
    </w:p>
    <w:p w14:paraId="2739F701" w14:textId="77777777" w:rsidR="00D22CE3" w:rsidRPr="00F10391" w:rsidRDefault="00D22CE3">
      <w:pPr>
        <w:pStyle w:val="Heading3"/>
      </w:pPr>
      <w:bookmarkStart w:id="722" w:name="_Toc453235458"/>
      <w:bookmarkStart w:id="723" w:name="_Toc453595531"/>
      <w:bookmarkStart w:id="724" w:name="_Toc476241628"/>
      <w:r w:rsidRPr="00F10391">
        <w:t>6</w:t>
      </w:r>
      <w:bookmarkStart w:id="725" w:name="_Toc304640258"/>
      <w:r w:rsidRPr="00F10391">
        <w:t>.5.2</w:t>
      </w:r>
      <w:r w:rsidRPr="00F10391">
        <w:tab/>
      </w:r>
      <w:r w:rsidRPr="00F10391">
        <w:tab/>
        <w:t>Limitations</w:t>
      </w:r>
      <w:bookmarkEnd w:id="721"/>
      <w:bookmarkEnd w:id="722"/>
      <w:bookmarkEnd w:id="723"/>
      <w:bookmarkEnd w:id="724"/>
      <w:bookmarkEnd w:id="725"/>
      <w:r w:rsidRPr="00F10391">
        <w:t xml:space="preserve"> </w:t>
      </w:r>
    </w:p>
    <w:p w14:paraId="75C5A89E" w14:textId="16793C89" w:rsidR="000905BC" w:rsidRDefault="006A5AA3">
      <w:r>
        <w:t>Context-laden realities are an inevitable part of</w:t>
      </w:r>
      <w:r w:rsidR="00722E8F">
        <w:t xml:space="preserve"> such a</w:t>
      </w:r>
      <w:r w:rsidR="000905BC">
        <w:t xml:space="preserve"> case study, so it was not realistic to assume that </w:t>
      </w:r>
      <w:r w:rsidR="00ED139E">
        <w:t>universally</w:t>
      </w:r>
      <w:r w:rsidR="000905BC">
        <w:t xml:space="preserve"> </w:t>
      </w:r>
      <w:r w:rsidR="00ED139E">
        <w:t>generalis</w:t>
      </w:r>
      <w:r w:rsidR="000905BC">
        <w:t>able solutions</w:t>
      </w:r>
      <w:r w:rsidR="00F32D66">
        <w:t xml:space="preserve"> </w:t>
      </w:r>
      <w:r w:rsidR="00722E8F">
        <w:t>w</w:t>
      </w:r>
      <w:r w:rsidR="00C5145C">
        <w:t xml:space="preserve">ere </w:t>
      </w:r>
      <w:r w:rsidR="00722E8F">
        <w:t>likely to be identifi</w:t>
      </w:r>
      <w:r w:rsidR="00B37229">
        <w:t>ed</w:t>
      </w:r>
      <w:r w:rsidR="00F32D66">
        <w:t xml:space="preserve"> upon its completion</w:t>
      </w:r>
      <w:r w:rsidR="000905BC">
        <w:t xml:space="preserve">. </w:t>
      </w:r>
      <w:r w:rsidR="00F32D66">
        <w:t>However, w</w:t>
      </w:r>
      <w:r w:rsidR="000905BC">
        <w:t>ith the benefit of hindsight there are certain</w:t>
      </w:r>
      <w:r w:rsidR="00F32D66">
        <w:t>l</w:t>
      </w:r>
      <w:r w:rsidR="000905BC">
        <w:t xml:space="preserve">y some issues that could have been </w:t>
      </w:r>
      <w:r w:rsidR="00ED139E">
        <w:t xml:space="preserve">carried out differently </w:t>
      </w:r>
      <w:r w:rsidR="0007519A">
        <w:t>to</w:t>
      </w:r>
      <w:r>
        <w:t xml:space="preserve"> reduce </w:t>
      </w:r>
      <w:r w:rsidR="00ED139E">
        <w:t>some remaining uncertainties.</w:t>
      </w:r>
    </w:p>
    <w:p w14:paraId="46CD13D0" w14:textId="0B442E8A" w:rsidR="006F5074" w:rsidRDefault="00F32D66" w:rsidP="006F5074">
      <w:r>
        <w:t xml:space="preserve">The </w:t>
      </w:r>
      <w:r w:rsidR="001E0A41">
        <w:t xml:space="preserve">piloting </w:t>
      </w:r>
      <w:r w:rsidR="006A5AA3">
        <w:t>aspect</w:t>
      </w:r>
      <w:r w:rsidR="001E0A41">
        <w:t xml:space="preserve"> of the </w:t>
      </w:r>
      <w:r>
        <w:t xml:space="preserve">study design </w:t>
      </w:r>
      <w:r w:rsidR="00097A0C">
        <w:t>w</w:t>
      </w:r>
      <w:r w:rsidR="00ED139E">
        <w:t>as constrained</w:t>
      </w:r>
      <w:r>
        <w:t xml:space="preserve"> in that,</w:t>
      </w:r>
      <w:r w:rsidR="000905BC">
        <w:t xml:space="preserve"> </w:t>
      </w:r>
      <w:r>
        <w:t>d</w:t>
      </w:r>
      <w:r w:rsidRPr="00F10391">
        <w:t xml:space="preserve">ue to the lack of available briefing papers and background information, </w:t>
      </w:r>
      <w:r>
        <w:t>it</w:t>
      </w:r>
      <w:r w:rsidRPr="00F10391">
        <w:t xml:space="preserve"> could not directly mimic the approach</w:t>
      </w:r>
      <w:r>
        <w:t xml:space="preserve"> that was proposed</w:t>
      </w:r>
      <w:r w:rsidRPr="00F10391">
        <w:t xml:space="preserve"> to be used. This </w:t>
      </w:r>
      <w:r w:rsidR="00ED139E">
        <w:t xml:space="preserve">likely </w:t>
      </w:r>
      <w:r w:rsidRPr="00F10391">
        <w:t xml:space="preserve">impacted on participants' scoring of topics on the criteria and therefore on their total scores. </w:t>
      </w:r>
      <w:r>
        <w:t>T</w:t>
      </w:r>
      <w:r w:rsidR="00D22CE3" w:rsidRPr="00F10391">
        <w:t xml:space="preserve">he necessarily illustrative (rather than comprehensive) nature of the criteria was potentially a problem, and ideally the criterion weighting and scoring would have taken place over separate days to allow greater reflection on the nature of the criteria and to reduce the cognitive burden placed on participants. </w:t>
      </w:r>
    </w:p>
    <w:p w14:paraId="3E7C184B" w14:textId="51BA1ACB" w:rsidR="006F5074" w:rsidRPr="00F10391" w:rsidRDefault="006F5074" w:rsidP="006F5074">
      <w:r>
        <w:t xml:space="preserve">A clear limitation of the approach used was that it was naïve in investigating solely the decision conference stage. This seemed appropriate at the time – it is the key stage of the process and I was eager to get on with an example of actual implementation of MCDA techniques. But without a richer understanding of the decision context, especially fuller engagement with stakeholders over a longer period, it may have </w:t>
      </w:r>
      <w:r w:rsidR="00B37229">
        <w:t>reduced the likelihood</w:t>
      </w:r>
      <w:r>
        <w:t xml:space="preserve"> that the approach would ultimately be implemented. The case study described in the next chapter acknowledged (and attempted to learn from) this mistake. The fact it was a pilot approach at all is also a clear limitation in itself, in terms of its knowing its possible</w:t>
      </w:r>
      <w:r w:rsidR="001C2F16">
        <w:t xml:space="preserve"> impleme</w:t>
      </w:r>
      <w:r>
        <w:t xml:space="preserve">ntability in the real world. </w:t>
      </w:r>
      <w:r w:rsidR="00B37229">
        <w:t>Similarly, t</w:t>
      </w:r>
      <w:r>
        <w:t>he fact it involved volunteers rather</w:t>
      </w:r>
      <w:r w:rsidRPr="00F10391">
        <w:t xml:space="preserve"> than the sitting TAW meant that the findings could not be directly put into practice</w:t>
      </w:r>
      <w:r>
        <w:t>.</w:t>
      </w:r>
    </w:p>
    <w:p w14:paraId="24DF57F8" w14:textId="77777777" w:rsidR="00D22CE3" w:rsidRPr="00F10391" w:rsidRDefault="00F32D66">
      <w:r>
        <w:t>T</w:t>
      </w:r>
      <w:r w:rsidRPr="00F10391">
        <w:t>he fact that the workshop had to take place on a single half day</w:t>
      </w:r>
      <w:r>
        <w:t xml:space="preserve"> also</w:t>
      </w:r>
      <w:r w:rsidRPr="00F10391">
        <w:t xml:space="preserve"> led to a number of limitations. </w:t>
      </w:r>
      <w:r w:rsidR="00D22CE3" w:rsidRPr="00F10391">
        <w:t xml:space="preserve">The lack of time available for reflection meant that participants were at times confused as to the purpose of each criterion, despite having chosen them themselves a couple of hours previously. Further scoring and comments were conducted by email, removing the possibility for face-to-face discussions and consensus-building at this stage. Geometric means of these scores were used in their place, as advised by </w:t>
      </w:r>
      <w:r w:rsidR="00D22CE3" w:rsidRPr="00F10391">
        <w:fldChar w:fldCharType="begin"/>
      </w:r>
      <w:r w:rsidR="00700267">
        <w:instrText xml:space="preserve"> ADDIN EN.CITE &lt;EndNote&gt;&lt;Cite AuthorYear="1"&gt;&lt;Author&gt;Saaty&lt;/Author&gt;&lt;Year&gt;2008&lt;/Year&gt;&lt;RecNum&gt;124&lt;/RecNum&gt;&lt;DisplayText&gt;Saaty [129]&lt;/DisplayText&gt;&lt;record&gt;&lt;rec-number&gt;124&lt;/rec-number&gt;&lt;foreign-keys&gt;&lt;key app="EN" db-id="sz9092dv2s5fpze9wpgx0zxgv5ar00aezrvf" timestamp="0"&gt;124&lt;/key&gt;&lt;/foreign-keys&gt;&lt;ref-type name="Journal Article"&gt;17&lt;/ref-type&gt;&lt;contributors&gt;&lt;authors&gt;&lt;author&gt;Saaty, Thomas L&lt;/author&gt;&lt;/authors&gt;&lt;/contributors&gt;&lt;titles&gt;&lt;title&gt;Decision making with the analytic hierarchy process&lt;/title&gt;&lt;secondary-title&gt;International journal of services sciences&lt;/secondary-title&gt;&lt;/titles&gt;&lt;pages&gt;83-98&lt;/pages&gt;&lt;volume&gt;1&lt;/volume&gt;&lt;number&gt;1&lt;/number&gt;&lt;dates&gt;&lt;year&gt;2008&lt;/year&gt;&lt;/dates&gt;&lt;isbn&gt;1753-1446&lt;/isbn&gt;&lt;urls&gt;&lt;/urls&gt;&lt;/record&gt;&lt;/Cite&gt;&lt;/EndNote&gt;</w:instrText>
      </w:r>
      <w:r w:rsidR="00D22CE3" w:rsidRPr="00F10391">
        <w:fldChar w:fldCharType="separate"/>
      </w:r>
      <w:r w:rsidR="00700267">
        <w:rPr>
          <w:noProof/>
        </w:rPr>
        <w:t>Saaty [129]</w:t>
      </w:r>
      <w:r w:rsidR="00D22CE3" w:rsidRPr="00F10391">
        <w:fldChar w:fldCharType="end"/>
      </w:r>
      <w:r w:rsidR="00D22CE3" w:rsidRPr="00F10391">
        <w:t>, but this is not best practice.</w:t>
      </w:r>
    </w:p>
    <w:p w14:paraId="273E9113" w14:textId="6BA2B7D8" w:rsidR="00D22CE3" w:rsidRDefault="00D22CE3">
      <w:r w:rsidRPr="00F10391">
        <w:t xml:space="preserve">Because the meeting ran over time somewhat, there was no opportunity on the day to debrief the participants. Either way, there was no structured process (such as an online form) used to gather the opinions of the participants on their experience using the approach. This was in hindsight clearly a missed opportunity. Further engagement of this sort may even have helped increase the likelihood of </w:t>
      </w:r>
      <w:r w:rsidR="00ED139E">
        <w:t xml:space="preserve">subsequent </w:t>
      </w:r>
      <w:r w:rsidRPr="00F10391">
        <w:t>implementation</w:t>
      </w:r>
      <w:r w:rsidR="001E0A41">
        <w:t>.</w:t>
      </w:r>
    </w:p>
    <w:p w14:paraId="2650406C" w14:textId="5C73D6BF" w:rsidR="00F32D66" w:rsidRDefault="00F32D66">
      <w:r w:rsidRPr="00F10391">
        <w:t>Towards the end of the pilot, one participant suggested that it should be repeated with a new set of volunteers, and the results compared. Other participants agreed that this would be worthwhile. While this may have led to further interesting findings, it was not possible to do so given the limited number of relevant participants with NICE experience that were available (and given the fact that I had to rely on help from a number of NICE colleagues in recruiting and setting up the pilot). But had this been possible, it could have led to a number of advantages. It would have been interesting to see whether the criteria converged on a similar hierarchy, and similar levels of importance (and scores) for each</w:t>
      </w:r>
      <w:r w:rsidR="00097A0C">
        <w:t>.</w:t>
      </w:r>
      <w:r w:rsidR="001E0A41">
        <w:t xml:space="preserve"> W</w:t>
      </w:r>
      <w:r w:rsidRPr="00F10391">
        <w:t xml:space="preserve">ere the rankings very different this might have led to questions about the appropriateness of the technique. But perhaps more importantly, carrying out the approach again may have led to the highlighting of further potential stumbling blocks in the process that could be ironed out before actual implementation. </w:t>
      </w:r>
    </w:p>
    <w:p w14:paraId="64854AE6" w14:textId="3EACD6C3" w:rsidR="00D22CE3" w:rsidRDefault="000905BC">
      <w:r>
        <w:t xml:space="preserve">There are also </w:t>
      </w:r>
      <w:r w:rsidR="0007519A">
        <w:t xml:space="preserve">separate </w:t>
      </w:r>
      <w:r>
        <w:t>issues regarding how</w:t>
      </w:r>
      <w:r w:rsidR="00722E8F">
        <w:t xml:space="preserve"> reliable</w:t>
      </w:r>
      <w:r>
        <w:t xml:space="preserve"> the results are</w:t>
      </w:r>
      <w:r w:rsidR="00722E8F">
        <w:t xml:space="preserve">, arising from </w:t>
      </w:r>
      <w:r w:rsidR="00CB2E60">
        <w:t xml:space="preserve">institutional </w:t>
      </w:r>
      <w:r w:rsidR="00722E8F">
        <w:t>factors which could not be investigated in the context of the pilot.</w:t>
      </w:r>
      <w:r w:rsidR="00F32D66">
        <w:t xml:space="preserve"> I </w:t>
      </w:r>
      <w:r w:rsidR="00C5145C">
        <w:t>did not, and would</w:t>
      </w:r>
      <w:r w:rsidR="00F32D66">
        <w:t xml:space="preserve"> not </w:t>
      </w:r>
      <w:r w:rsidR="00C5145C">
        <w:t xml:space="preserve">now, </w:t>
      </w:r>
      <w:r w:rsidR="00F32D66">
        <w:t xml:space="preserve">advocate that all </w:t>
      </w:r>
      <w:r>
        <w:t xml:space="preserve">stages </w:t>
      </w:r>
      <w:r w:rsidR="00ED139E">
        <w:t xml:space="preserve">described in this chapter </w:t>
      </w:r>
      <w:r>
        <w:t>should actually be carried out on a single day</w:t>
      </w:r>
      <w:r w:rsidR="001E0A41">
        <w:t xml:space="preserve"> as was the case described in this chapter</w:t>
      </w:r>
      <w:r w:rsidR="00ED139E">
        <w:t>. These</w:t>
      </w:r>
      <w:r w:rsidR="00C5145C">
        <w:t xml:space="preserve"> sh</w:t>
      </w:r>
      <w:r w:rsidR="00F32D66">
        <w:t xml:space="preserve">ould </w:t>
      </w:r>
      <w:r w:rsidR="00ED139E">
        <w:t xml:space="preserve">also </w:t>
      </w:r>
      <w:r w:rsidR="00F32D66">
        <w:t xml:space="preserve">ideally </w:t>
      </w:r>
      <w:r w:rsidR="00F32D66" w:rsidRPr="00F10391">
        <w:t>be used recurrently over a longer period of time</w:t>
      </w:r>
      <w:r w:rsidR="00ED139E">
        <w:t>, which</w:t>
      </w:r>
      <w:r w:rsidR="001E0A41">
        <w:t xml:space="preserve"> </w:t>
      </w:r>
      <w:r w:rsidR="00D22CE3" w:rsidRPr="00F10391">
        <w:t>may throw up further issues not captured in a one-off pilot, such as the potential for increased gamesmanship. Th</w:t>
      </w:r>
      <w:r w:rsidR="001E0A41">
        <w:t>ese</w:t>
      </w:r>
      <w:r w:rsidR="00D22CE3" w:rsidRPr="00F10391">
        <w:t xml:space="preserve"> would </w:t>
      </w:r>
      <w:r w:rsidR="001E0A41">
        <w:t xml:space="preserve">therefore </w:t>
      </w:r>
      <w:r w:rsidR="00D22CE3" w:rsidRPr="00F10391">
        <w:t>have to be managed effectively, such as by ensuring that experienced participants do not dominate discussions.</w:t>
      </w:r>
      <w:r w:rsidR="001E0A41">
        <w:t xml:space="preserve"> </w:t>
      </w:r>
      <w:r w:rsidR="00B37229">
        <w:t>How to test the longer term impacters of such an approach would have been difficult, though they clearly would have gone some way to reducing the uncertainty of implementing such an approach in the real world.</w:t>
      </w:r>
      <w:r w:rsidR="00D22CE3" w:rsidRPr="00F10391">
        <w:t>The approach may also have consequences outside the control of NICE, such as whether Ministers would be more likely to avoid the TAW process completely by fast-tracking favoured topics. Such issues are hard to predict</w:t>
      </w:r>
      <w:r w:rsidR="00722E8F">
        <w:t>.</w:t>
      </w:r>
    </w:p>
    <w:p w14:paraId="68975170" w14:textId="5F4DC52F" w:rsidR="00722E8F" w:rsidRDefault="00722E8F">
      <w:r>
        <w:t>The approach would also clearly need an experienced, impartial facilitator to over</w:t>
      </w:r>
      <w:r w:rsidR="00B24DC1">
        <w:t>see</w:t>
      </w:r>
      <w:r>
        <w:t xml:space="preserve"> the process, which might not be available.</w:t>
      </w:r>
      <w:r w:rsidR="00C5145C">
        <w:t xml:space="preserve"> By </w:t>
      </w:r>
      <w:r w:rsidR="00ED139E">
        <w:t>definition</w:t>
      </w:r>
      <w:r w:rsidR="00C5145C">
        <w:t xml:space="preserve"> the approach could not be tested </w:t>
      </w:r>
      <w:r w:rsidR="00ED139E">
        <w:t xml:space="preserve">here </w:t>
      </w:r>
      <w:r w:rsidR="00C5145C">
        <w:t>without such a facilitator. In practice, th</w:t>
      </w:r>
      <w:r>
        <w:t xml:space="preserve">e CPH would have to either hire </w:t>
      </w:r>
      <w:r w:rsidR="00C5145C">
        <w:t>in an external expert</w:t>
      </w:r>
      <w:r>
        <w:t xml:space="preserve"> to oversee this, or else train someone themselves, both of which require resources which are not </w:t>
      </w:r>
      <w:r w:rsidR="00C5145C">
        <w:t>necessarily easy to justify in the current economic climate.</w:t>
      </w:r>
    </w:p>
    <w:p w14:paraId="4DB749E6" w14:textId="49F6A132" w:rsidR="006F5074" w:rsidRPr="00F10391" w:rsidRDefault="006F5074" w:rsidP="006F5074">
      <w:r>
        <w:t>Finally, o</w:t>
      </w:r>
      <w:r w:rsidRPr="00F10391">
        <w:t xml:space="preserve">ne potential concern with the AHP approach is that it will be open to criticism of the technique itself. While the use of pair-wise qualitative statements makes AHP a relatively intuitive approach at decision-maker level – even to those not accustomed to using quantitative approaches – and mathematically elegant, this comes at a cost. It has been found that by introducing a new topic for consideration (if, in this example, after the meeting a sixth topic was introduced and scoring calculations revised), the rankings of the topics previously considered may change, a concept known as rank reversal </w:t>
      </w:r>
      <w:r w:rsidRPr="00F10391">
        <w:fldChar w:fldCharType="begin"/>
      </w:r>
      <w:r>
        <w:instrText xml:space="preserve"> ADDIN EN.CITE &lt;EndNote&gt;&lt;Cite&gt;&lt;Author&gt;Belton&lt;/Author&gt;&lt;Year&gt;1983&lt;/Year&gt;&lt;RecNum&gt;11&lt;/RecNum&gt;&lt;DisplayText&gt;[349]&lt;/DisplayText&gt;&lt;record&gt;&lt;rec-number&gt;11&lt;/rec-number&gt;&lt;foreign-keys&gt;&lt;key app="EN" db-id="sz9092dv2s5fpze9wpgx0zxgv5ar00aezrvf" timestamp="0"&gt;11&lt;/key&gt;&lt;/foreign-keys&gt;&lt;ref-type name="Journal Article"&gt;17&lt;/ref-type&gt;&lt;contributors&gt;&lt;authors&gt;&lt;author&gt;Belton, Valerie&lt;/author&gt;&lt;author&gt;Gear, Tony&lt;/author&gt;&lt;/authors&gt;&lt;/contributors&gt;&lt;titles&gt;&lt;title&gt;On a short-coming of Saaty&amp;apos;s method of analytic hierarchies&lt;/title&gt;&lt;secondary-title&gt;Omega&lt;/secondary-title&gt;&lt;/titles&gt;&lt;pages&gt;228-230&lt;/pages&gt;&lt;volume&gt;11&lt;/volume&gt;&lt;number&gt;3&lt;/number&gt;&lt;dates&gt;&lt;year&gt;1983&lt;/year&gt;&lt;/dates&gt;&lt;isbn&gt;0305-0483&lt;/isbn&gt;&lt;urls&gt;&lt;related-urls&gt;&lt;url&gt;http://www.sciencedirect.com/science/article/pii/0305048383900476&lt;/url&gt;&lt;/related-urls&gt;&lt;/urls&gt;&lt;/record&gt;&lt;/Cite&gt;&lt;/EndNote&gt;</w:instrText>
      </w:r>
      <w:r w:rsidRPr="00F10391">
        <w:fldChar w:fldCharType="separate"/>
      </w:r>
      <w:r>
        <w:rPr>
          <w:noProof/>
        </w:rPr>
        <w:t>[349]</w:t>
      </w:r>
      <w:r w:rsidRPr="00F10391">
        <w:fldChar w:fldCharType="end"/>
      </w:r>
      <w:r w:rsidRPr="00F10391">
        <w:t xml:space="preserve">. Given the flaws associated with any such prioritisation approach – not least </w:t>
      </w:r>
      <w:r w:rsidRPr="00F10391">
        <w:rPr>
          <w:i/>
        </w:rPr>
        <w:t>ad hoc</w:t>
      </w:r>
      <w:r w:rsidRPr="00F10391">
        <w:t xml:space="preserve"> discussion – there remains a need to match the most appropriate approach with the given decision problem. Ideally these approaches should also be compensatory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to allow rankings of topics, be easy to understand for participants and so on. AHP broadly met these criteria, but this</w:t>
      </w:r>
      <w:r>
        <w:t xml:space="preserve"> </w:t>
      </w:r>
      <w:r w:rsidRPr="00F10391">
        <w:t xml:space="preserve">must be borne in mind. </w:t>
      </w:r>
    </w:p>
    <w:p w14:paraId="5284421F" w14:textId="77777777" w:rsidR="00D22CE3" w:rsidRPr="00F10391" w:rsidRDefault="00D22CE3" w:rsidP="00CF18B4">
      <w:bookmarkStart w:id="726" w:name="_Toc283984169"/>
    </w:p>
    <w:p w14:paraId="004B0DE3" w14:textId="77777777" w:rsidR="0063065F" w:rsidRDefault="0063065F" w:rsidP="00CF18B4">
      <w:bookmarkStart w:id="727" w:name="_Toc453235459"/>
      <w:bookmarkStart w:id="728" w:name="_Toc453595532"/>
      <w:bookmarkStart w:id="729" w:name="_Toc441509017"/>
    </w:p>
    <w:p w14:paraId="1AB4965F" w14:textId="15B87397" w:rsidR="0063065F" w:rsidRDefault="0063065F" w:rsidP="00CF18B4"/>
    <w:p w14:paraId="603717A8" w14:textId="77777777" w:rsidR="00CF18B4" w:rsidRDefault="00CF18B4" w:rsidP="00CF18B4"/>
    <w:p w14:paraId="36E982FE" w14:textId="13BB7CEF" w:rsidR="00D22CE3" w:rsidRPr="00F10391" w:rsidRDefault="00D22CE3">
      <w:pPr>
        <w:pStyle w:val="Numberedheading2"/>
      </w:pPr>
      <w:bookmarkStart w:id="730" w:name="_Toc476241629"/>
      <w:r w:rsidRPr="00F10391">
        <w:t>6.6</w:t>
      </w:r>
      <w:r w:rsidRPr="00F10391">
        <w:tab/>
      </w:r>
      <w:r w:rsidRPr="00F10391">
        <w:tab/>
        <w:t>Conclusions</w:t>
      </w:r>
      <w:bookmarkEnd w:id="717"/>
      <w:bookmarkEnd w:id="726"/>
      <w:bookmarkEnd w:id="727"/>
      <w:bookmarkEnd w:id="728"/>
      <w:bookmarkEnd w:id="730"/>
      <w:r w:rsidRPr="00F10391">
        <w:t xml:space="preserve"> </w:t>
      </w:r>
      <w:bookmarkEnd w:id="729"/>
    </w:p>
    <w:p w14:paraId="37531B0C" w14:textId="77777777" w:rsidR="00D22CE3" w:rsidRPr="00F10391" w:rsidRDefault="00D22CE3"/>
    <w:p w14:paraId="0A416DDC" w14:textId="77777777" w:rsidR="00D22CE3" w:rsidRPr="00F10391" w:rsidRDefault="00D22CE3">
      <w:r w:rsidRPr="00F10391">
        <w:t xml:space="preserve">There is a paradox at the heart of this chapter, in that it uses a case study to capture the specific subtleties of the undertaken process, but for a technique that tries to better generalise results. Flyvberg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and others differentiate between ‘knowledge’ – which can be derived from a formulaic approach (such as, in principle, MCDA) and ‘expertise’ which cannot be reduced in this way and instead requires experience and the human ability to capture nuance. On the other hand, as previously described, attempting to make complex decisions without such a model may lead to unnecessary mistakes. In practice, real-life expertise is undeniably vital in decision-making in NICE and elsewhere. MCDA should not seek to replace deliberation but to aid it – both in structuring the deliberations around the decision during the scoring stage and through allowing further adjusting of results if required subsequently. The suggested approach described in this chapter attempts to pragmatically match the best of both approaches.</w:t>
      </w:r>
    </w:p>
    <w:p w14:paraId="0B2043E0" w14:textId="6FCD9DE4" w:rsidR="00D22CE3" w:rsidRPr="00F10391" w:rsidRDefault="00D22CE3">
      <w:r w:rsidRPr="00F10391">
        <w:t xml:space="preserve">Given the relative lack of availability of firm evidence in many public health interventions, choosing the right topics for guidance at the earliest possible time is of fundamental importance, and </w:t>
      </w:r>
      <w:r w:rsidR="001B7ADD">
        <w:t>judgment</w:t>
      </w:r>
      <w:r w:rsidRPr="00F10391">
        <w:t xml:space="preserve"> is likely to continue to play an important part in doing so. MCDA techniques offer a potentially useful approach to structuring the problem in a rational way, along with the opportunity to make explicit the </w:t>
      </w:r>
      <w:r w:rsidR="001B7ADD">
        <w:t>judgment</w:t>
      </w:r>
      <w:r w:rsidRPr="00F10391">
        <w:t xml:space="preserve">s used as part of the decision-making model. While there may be some issues with doing so publicly, such explicitness adds to the legitimacy of the approach and may ultimately increase the public's faith in and engagement with NICE's decision-making process. Many decisions in public health will remain debatable, and any rankings produced by the AHP model will need to be refined by further discussion. This approach may however help to make some decisions to accept or reject topics easier and more consistent. </w:t>
      </w:r>
    </w:p>
    <w:p w14:paraId="6FD8AFA1" w14:textId="77777777" w:rsidR="00D22CE3" w:rsidRPr="00F10391" w:rsidRDefault="00D22CE3">
      <w:r w:rsidRPr="00F10391">
        <w:t xml:space="preserve">The chapter shows that that the decision conference stage of an MCDA-structured decision-making process appears to be accessible in this setting. Whether or not it was acceptable is difficult to surmise as, on the one hand it has not yet been implemented. On the other, however, there was no simple route available for this to happen given it was a pilot study. Nonetheless in hindsight I am sure that could have taken further steps to help facilitate this process. </w:t>
      </w:r>
    </w:p>
    <w:p w14:paraId="66D6A9B9" w14:textId="77777777" w:rsidR="00D22CE3" w:rsidRPr="00F10391" w:rsidRDefault="00D22CE3">
      <w:r w:rsidRPr="00F10391">
        <w:t xml:space="preserve">Whether or not the approach </w:t>
      </w:r>
      <w:r w:rsidRPr="00F10391">
        <w:rPr>
          <w:i/>
        </w:rPr>
        <w:t xml:space="preserve">should </w:t>
      </w:r>
      <w:r w:rsidRPr="00F10391">
        <w:t xml:space="preserve">be carried out it more difficult to establish as this was not directly tested as part of the pilot. But there are a number of reasons to believe its benefits may outweigh the costs of doing so. It also indicates that MCDA approaches could be incorporated into NICE’s other decision-making sub-processes where necessary, and not confined to hypothetical discussions around whether it can be used in place of cost-effectiveness techniques. While this chapter does not answer all of the potentially relevant questions, it is clear that there is room for improvement in the current topic selection process. NICE should consider carefully whether such an approach might be worth pursuing in the future. </w:t>
      </w:r>
    </w:p>
    <w:p w14:paraId="543A1052" w14:textId="77777777" w:rsidR="00D22CE3" w:rsidRPr="00F10391" w:rsidRDefault="00D22CE3">
      <w:r w:rsidRPr="00F10391">
        <w:t xml:space="preserve">The case study in the next chapter describes an action research project to generate rankings of potential interventions to reduce smoking across four local government areas, which had to be carried out with a limited evidence base. The differences in context subsequently placed different requirements and constraints on the decision process described in this chapter; the MCDA framework used reflected these issues and therefore differed in a number of ways as a result. It built upon my experiences as outlined in this chapter and, perhaps for this reason, had greater success in ensuring its suitability and, perhaps more importantly, in terms of its impact. </w:t>
      </w:r>
    </w:p>
    <w:p w14:paraId="52910C21" w14:textId="77777777" w:rsidR="00D22CE3" w:rsidRPr="00F10391" w:rsidRDefault="00D22CE3" w:rsidP="0063065F">
      <w:r w:rsidRPr="00F10391">
        <w:br w:type="page"/>
      </w:r>
    </w:p>
    <w:p w14:paraId="218B2EDF" w14:textId="77777777" w:rsidR="00D22CE3" w:rsidRPr="00F10391" w:rsidRDefault="00340B97" w:rsidP="00494A9A">
      <w:pPr>
        <w:pStyle w:val="Heading1"/>
      </w:pPr>
      <w:bookmarkStart w:id="731" w:name="_Toc283984183"/>
      <w:bookmarkStart w:id="732" w:name="_Toc304640272"/>
      <w:bookmarkStart w:id="733" w:name="_Toc441509018"/>
      <w:bookmarkStart w:id="734" w:name="_Toc453235460"/>
      <w:bookmarkStart w:id="735" w:name="_Toc453595533"/>
      <w:bookmarkStart w:id="736" w:name="_Toc476241630"/>
      <w:r>
        <w:softHyphen/>
      </w:r>
      <w:r w:rsidR="00D22CE3" w:rsidRPr="00F10391">
        <w:t>:</w:t>
      </w:r>
      <w:r w:rsidR="00D22CE3" w:rsidRPr="00F10391">
        <w:tab/>
        <w:t>Case study 2 – Using MCDA to inform local government investment in public health</w:t>
      </w:r>
      <w:bookmarkEnd w:id="731"/>
      <w:bookmarkEnd w:id="732"/>
      <w:bookmarkEnd w:id="733"/>
      <w:bookmarkEnd w:id="734"/>
      <w:bookmarkEnd w:id="735"/>
      <w:bookmarkEnd w:id="736"/>
    </w:p>
    <w:p w14:paraId="7391F587" w14:textId="77777777" w:rsidR="00D22CE3" w:rsidRPr="00F10391" w:rsidRDefault="00D22CE3" w:rsidP="00494A9A"/>
    <w:p w14:paraId="4185380D" w14:textId="77777777" w:rsidR="00D22CE3" w:rsidRPr="00F10391" w:rsidRDefault="00D22CE3" w:rsidP="00490B5D">
      <w:pPr>
        <w:pStyle w:val="Numberedheading2"/>
      </w:pPr>
      <w:bookmarkStart w:id="737" w:name="_Toc283984184"/>
      <w:bookmarkStart w:id="738" w:name="_Toc304640273"/>
      <w:bookmarkStart w:id="739" w:name="_Toc441509019"/>
      <w:bookmarkStart w:id="740" w:name="_Toc453235461"/>
      <w:bookmarkStart w:id="741" w:name="_Toc453595534"/>
      <w:bookmarkStart w:id="742" w:name="_Toc476241631"/>
      <w:r w:rsidRPr="00F10391">
        <w:t>7.1</w:t>
      </w:r>
      <w:r w:rsidRPr="00F10391">
        <w:tab/>
      </w:r>
      <w:r w:rsidRPr="00F10391">
        <w:tab/>
        <w:t>Introduction</w:t>
      </w:r>
      <w:bookmarkEnd w:id="737"/>
      <w:bookmarkEnd w:id="738"/>
      <w:bookmarkEnd w:id="739"/>
      <w:bookmarkEnd w:id="740"/>
      <w:bookmarkEnd w:id="741"/>
      <w:bookmarkEnd w:id="742"/>
    </w:p>
    <w:p w14:paraId="2EC415E1" w14:textId="77777777" w:rsidR="00D22CE3" w:rsidRPr="00F10391" w:rsidRDefault="00D22CE3" w:rsidP="00490B5D"/>
    <w:p w14:paraId="33881355" w14:textId="796CA85A" w:rsidR="00D22CE3" w:rsidRPr="00F10391" w:rsidRDefault="00D22CE3" w:rsidP="006942ED">
      <w:r w:rsidRPr="00F10391">
        <w:t xml:space="preserve">This chapter describes a project to investigate whether an MCDA approach could be used as a framework to inform decision-makers attempting to prioritise between a range of public health interventions to reduce tobacco prevalence, given a limited evidence base. This approach, as with the previous chapter, investigates the research question of </w:t>
      </w:r>
      <w:r w:rsidR="00C4401A">
        <w:t>‘</w:t>
      </w:r>
      <w:r w:rsidR="001C2F16">
        <w:rPr>
          <w:i/>
        </w:rPr>
        <w:t>C</w:t>
      </w:r>
      <w:r w:rsidRPr="00F10391">
        <w:rPr>
          <w:i/>
        </w:rPr>
        <w:t>an suitable MCDA techniques be piloted or implemented at decision-maker level?</w:t>
      </w:r>
      <w:r w:rsidR="00C4401A">
        <w:t>’</w:t>
      </w:r>
      <w:r w:rsidRPr="00F10391">
        <w:t xml:space="preserve">, and reflects upon how MCDA techniques could be incorporated into public health decision-making in such settings in practice. </w:t>
      </w:r>
    </w:p>
    <w:p w14:paraId="065A7F5F" w14:textId="5A96EECA" w:rsidR="00D22CE3" w:rsidRPr="00F10391" w:rsidRDefault="00D22CE3">
      <w:r w:rsidRPr="00F10391">
        <w:t xml:space="preserve">This chapter is based upon a paper which has been published in the EURO Journal of Decision Processes </w:t>
      </w:r>
      <w:r w:rsidRPr="00F10391">
        <w:fldChar w:fldCharType="begin"/>
      </w:r>
      <w:r w:rsidR="00700267">
        <w:instrText xml:space="preserve"> ADDIN EN.CITE &lt;EndNote&gt;&lt;Cite&gt;&lt;Author&gt;Reddy&lt;/Author&gt;&lt;Year&gt;2016&lt;/Year&gt;&lt;RecNum&gt;444&lt;/RecNum&gt;&lt;DisplayText&gt;[324]&lt;/DisplayText&gt;&lt;record&gt;&lt;rec-number&gt;444&lt;/rec-number&gt;&lt;foreign-keys&gt;&lt;key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Processes&lt;/full-title&gt;&lt;/periodical&gt;&lt;pages&gt;1-21&lt;/pages&gt;&lt;dates&gt;&lt;year&gt;2016&lt;/year&gt;&lt;/dates&gt;&lt;isbn&gt;2193-9438&lt;/isbn&gt;&lt;urls&gt;&lt;/urls&gt;&lt;/record&gt;&lt;/Cite&gt;&lt;/EndNote&gt;</w:instrText>
      </w:r>
      <w:r w:rsidRPr="00F10391">
        <w:fldChar w:fldCharType="separate"/>
      </w:r>
      <w:r w:rsidR="00700267">
        <w:rPr>
          <w:noProof/>
        </w:rPr>
        <w:t>[324]</w:t>
      </w:r>
      <w:r w:rsidRPr="00F10391">
        <w:fldChar w:fldCharType="end"/>
      </w:r>
      <w:r w:rsidRPr="00F10391">
        <w:t>. It is also reported in a chapter in the upcoming book entitled “</w:t>
      </w:r>
      <w:r w:rsidR="00883193" w:rsidRPr="00883193">
        <w:t>Multi-criteria decision analysis t</w:t>
      </w:r>
      <w:r w:rsidR="00883193">
        <w:t>o support healthcare decisions”</w:t>
      </w:r>
      <w:r w:rsidR="000F05F8">
        <w:t xml:space="preserve">, </w:t>
      </w:r>
      <w:r w:rsidRPr="00F10391">
        <w:t xml:space="preserve">to be published by Springer </w:t>
      </w:r>
      <w:r w:rsidRPr="00F10391">
        <w:fldChar w:fldCharType="begin"/>
      </w:r>
      <w:r w:rsidR="00D24504">
        <w:instrText xml:space="preserve"> ADDIN EN.CITE &lt;EndNote&gt;&lt;Cite&gt;&lt;Author&gt;Reddy&lt;/Author&gt;&lt;Year&gt;In press&lt;/Year&gt;&lt;RecNum&gt;434&lt;/RecNum&gt;&lt;DisplayText&gt;[350]&lt;/DisplayText&gt;&lt;record&gt;&lt;rec-number&gt;434&lt;/rec-number&gt;&lt;foreign-keys&gt;&lt;key app="EN" db-id="sz9092dv2s5fpze9wpgx0zxgv5ar00aezrvf" timestamp="1462378224"&gt;434&lt;/key&gt;&lt;/foreign-keys&gt;&lt;ref-type name="Book Section"&gt;5&lt;/ref-type&gt;&lt;contributors&gt;&lt;authors&gt;&lt;author&gt;Reddy, BP&lt;/author&gt;&lt;author&gt;Thokala, P&lt;/author&gt;&lt;author&gt;Duenas, A&lt;/author&gt;&lt;/authors&gt;&lt;secondary-authors&gt;&lt;author&gt;Kevin Marsh, Praveen Thokala, Rob Baltussen, Mireille Goetghebeur &lt;/author&gt;&lt;/secondary-authors&gt;&lt;/contributors&gt;&lt;titles&gt;&lt;title&gt;MCDA for resource allocation at a local level: an application in the UK&lt;/title&gt;&lt;secondary-title&gt;Multi-criteria decision analysis to support healthcare decisions&lt;/secondary-title&gt;&lt;/titles&gt;&lt;pages&gt;171–194&lt;/pages&gt;&lt;dates&gt;&lt;year&gt;In press&lt;/year&gt;&lt;/dates&gt;&lt;pub-location&gt;Cham&lt;/pub-location&gt;&lt;publisher&gt;Springer&lt;/publisher&gt;&lt;urls&gt;&lt;/urls&gt;&lt;/record&gt;&lt;/Cite&gt;&lt;/EndNote&gt;</w:instrText>
      </w:r>
      <w:r w:rsidRPr="00F10391">
        <w:fldChar w:fldCharType="separate"/>
      </w:r>
      <w:r w:rsidR="00D24504">
        <w:rPr>
          <w:noProof/>
        </w:rPr>
        <w:t>[350]</w:t>
      </w:r>
      <w:r w:rsidRPr="00F10391">
        <w:fldChar w:fldCharType="end"/>
      </w:r>
      <w:r w:rsidRPr="00F10391">
        <w:t xml:space="preserve">. At the time of the study, responsibilities for public health were being transferred from the NHS to local government level. An action research project was used to inform subsequent decision-making on resource allocation, relating to possible interventions to reduce tobacco prevalence. </w:t>
      </w:r>
    </w:p>
    <w:p w14:paraId="58D50AAB" w14:textId="77777777" w:rsidR="00D22CE3" w:rsidRPr="00F10391" w:rsidRDefault="00D22CE3">
      <w:pPr>
        <w:rPr>
          <w:rStyle w:val="apple-converted-space"/>
        </w:rPr>
      </w:pPr>
      <w:r w:rsidRPr="00F10391">
        <w:t>The changes in the provision of public health, which had been introduced by the Health and Social Care Act, coincided with an extremely difficult financial climate, which hastened the perceived need for such changes in the portfolio of interventions offered. An MCDA approach was used to inform this prioritisation process across four local government areas in South Yorkshire, where prior evidence of most interventions’ effectiveness was limited (and to a certain extent potentially misleading). It took place in the context of smoking prevalence not having changed across four areas for some years.</w:t>
      </w:r>
    </w:p>
    <w:p w14:paraId="000733F1" w14:textId="77777777" w:rsidR="00D22CE3" w:rsidRPr="00F10391" w:rsidRDefault="00D22CE3">
      <w:pPr>
        <w:rPr>
          <w:u w:val="single"/>
        </w:rPr>
      </w:pPr>
      <w:r w:rsidRPr="00F10391">
        <w:t>In contrast with the prior case study, which piloted only the MCDA stage of a broader process, a more holistic approach was possible (and necessary) for this project given the intention for it to be implemented. There were three phases to this process: problem structuring; decision conferencing and broader MCDA approach; and using these scores to influence decision-making at local government level. An MCDA approach was used to collate information in a consistent and transparent manner, using expert and stakeholder opinion to fill known gaps in evidence.</w:t>
      </w:r>
      <w:r w:rsidRPr="00F10391">
        <w:rPr>
          <w:rStyle w:val="apple-converted-space"/>
        </w:rPr>
        <w:t> </w:t>
      </w:r>
    </w:p>
    <w:p w14:paraId="2F6054A8" w14:textId="77777777" w:rsidR="00D22CE3" w:rsidRPr="00F10391" w:rsidRDefault="00D22CE3">
      <w:r w:rsidRPr="00F10391">
        <w:t>The public, stakeholders, experts and decision-makers were involved at various stages in the process to ensure a wide range of perspectives and knowledge could be incorporated into the final decision. 15 interventions were ranked, across 8 criteria, allowing a range of relevant concerns to be incorporated. Subsequent steps were taken to translate the results of this stage into workable policy options. The suggested results differed significantly from prior practice. Sensitivity analysis showed that the findings were robust to changes in preference weights and multi-objective optimisation indicated the best policy decisions in a range of potential scenarios.</w:t>
      </w:r>
      <w:r w:rsidRPr="00F10391">
        <w:rPr>
          <w:rStyle w:val="apple-converted-space"/>
        </w:rPr>
        <w:t> </w:t>
      </w:r>
    </w:p>
    <w:p w14:paraId="1D9C7C0A" w14:textId="77777777" w:rsidR="00D22CE3" w:rsidRPr="00F10391" w:rsidRDefault="00D22CE3">
      <w:r w:rsidRPr="00F10391">
        <w:t>The approach successfully brought together the viewpoints of a wide range of stakeholders and prioritised interventions based upon these. The MCDA framework structured the process, clarified programme aims, built stakeholder relationships and identified tangible policy options.</w:t>
      </w:r>
      <w:r w:rsidRPr="00F10391">
        <w:rPr>
          <w:rStyle w:val="apple-converted-space"/>
        </w:rPr>
        <w:t>  This informed subsequent decision-making in each of the local governments, which have each since made substantial changes to provision informed by this study.</w:t>
      </w:r>
    </w:p>
    <w:p w14:paraId="174F45EE" w14:textId="77777777" w:rsidR="00D22CE3" w:rsidRPr="00F10391" w:rsidRDefault="00D22CE3"/>
    <w:p w14:paraId="573A7B13" w14:textId="77777777" w:rsidR="00D22CE3" w:rsidRPr="00F10391" w:rsidRDefault="00D22CE3">
      <w:pPr>
        <w:pStyle w:val="Numberedheading2"/>
      </w:pPr>
      <w:bookmarkStart w:id="743" w:name="_Toc453235462"/>
      <w:bookmarkStart w:id="744" w:name="_Toc453595535"/>
      <w:bookmarkStart w:id="745" w:name="_Toc476241632"/>
      <w:r w:rsidRPr="00F10391">
        <w:t xml:space="preserve">7.2 </w:t>
      </w:r>
      <w:r w:rsidRPr="00F10391">
        <w:tab/>
        <w:t>Background</w:t>
      </w:r>
      <w:bookmarkEnd w:id="743"/>
      <w:bookmarkEnd w:id="744"/>
      <w:bookmarkEnd w:id="745"/>
    </w:p>
    <w:p w14:paraId="799069E8" w14:textId="77777777" w:rsidR="00D22CE3" w:rsidRPr="00F10391" w:rsidRDefault="00D22CE3"/>
    <w:p w14:paraId="343BD99A" w14:textId="77777777" w:rsidR="00D22CE3" w:rsidRPr="00F10391" w:rsidRDefault="00D22CE3">
      <w:r w:rsidRPr="00F10391">
        <w:t xml:space="preserve">Smoking is the single biggest cause of preventable death in the UK. It is a major cause of coronary heart disease, cancers and respiratory disease, including chronic obstructive pulmonary disease (COPD).  These issues most impact on the least well off in society and it is estimated that up to half of the difference in life expectancy between most and least affluent groups is explained by patterns in smoking </w:t>
      </w:r>
      <w:r w:rsidRPr="00F10391">
        <w:fldChar w:fldCharType="begin"/>
      </w:r>
      <w:r w:rsidR="00D24504">
        <w:instrText xml:space="preserve"> ADDIN EN.CITE &lt;EndNote&gt;&lt;Cite&gt;&lt;Author&gt;Jarvis&lt;/Author&gt;&lt;Year&gt;1999&lt;/Year&gt;&lt;RecNum&gt;62&lt;/RecNum&gt;&lt;DisplayText&gt;[351]&lt;/DisplayText&gt;&lt;record&gt;&lt;rec-number&gt;62&lt;/rec-number&gt;&lt;foreign-keys&gt;&lt;key app="EN" db-id="sz9092dv2s5fpze9wpgx0zxgv5ar00aezrvf" timestamp="0"&gt;62&lt;/key&gt;&lt;/foreign-keys&gt;&lt;ref-type name="Book"&gt;6&lt;/ref-type&gt;&lt;contributors&gt;&lt;authors&gt;&lt;author&gt;Jarvis, Martin J&lt;/author&gt;&lt;author&gt;Wardle, Jane&lt;/author&gt;&lt;/authors&gt;&lt;/contributors&gt;&lt;titles&gt;&lt;title&gt;Social patterning of individual health behaviours: the case of cigarette smoking&lt;/title&gt;&lt;/titles&gt;&lt;volume&gt;90&lt;/volume&gt;&lt;dates&gt;&lt;year&gt;1999&lt;/year&gt;&lt;/dates&gt;&lt;publisher&gt;Social determinants of health. Oxford: Oxford University Press&lt;/publisher&gt;&lt;urls&gt;&lt;/urls&gt;&lt;/record&gt;&lt;/Cite&gt;&lt;/EndNote&gt;</w:instrText>
      </w:r>
      <w:r w:rsidRPr="00F10391">
        <w:fldChar w:fldCharType="separate"/>
      </w:r>
      <w:r w:rsidR="00D24504">
        <w:rPr>
          <w:noProof/>
        </w:rPr>
        <w:t>[351]</w:t>
      </w:r>
      <w:r w:rsidRPr="00F10391">
        <w:fldChar w:fldCharType="end"/>
      </w:r>
      <w:r w:rsidRPr="00F10391">
        <w:t>. Despite high tax rates on tobacco products, t</w:t>
      </w:r>
      <w:r w:rsidRPr="00F10391">
        <w:softHyphen/>
        <w:t xml:space="preserve">he total annual societal cost of smoking was estimated at £13.74 billion </w:t>
      </w:r>
      <w:r w:rsidRPr="00F10391">
        <w:fldChar w:fldCharType="begin"/>
      </w:r>
      <w:r w:rsidR="00D24504">
        <w:instrText xml:space="preserve"> ADDIN EN.CITE &lt;EndNote&gt;&lt;Cite&gt;&lt;Author&gt;Nash&lt;/Author&gt;&lt;Year&gt;2010&lt;/Year&gt;&lt;RecNum&gt;100&lt;/RecNum&gt;&lt;DisplayText&gt;[352]&lt;/DisplayText&gt;&lt;record&gt;&lt;rec-number&gt;100&lt;/rec-number&gt;&lt;foreign-keys&gt;&lt;key app="EN" db-id="sz9092dv2s5fpze9wpgx0zxgv5ar00aezrvf" timestamp="0"&gt;100&lt;/key&gt;&lt;/foreign-keys&gt;&lt;ref-type name="Report"&gt;27&lt;/ref-type&gt;&lt;contributors&gt;&lt;authors&gt;&lt;author&gt;Nash, Robert&lt;/author&gt;&lt;author&gt;Featherstone, Henry&lt;/author&gt;&lt;/authors&gt;&lt;/contributors&gt;&lt;titles&gt;&lt;title&gt;Cough Up: Balancing tobacco income and costs in society&lt;/title&gt;&lt;/titles&gt;&lt;dates&gt;&lt;year&gt;2010&lt;/year&gt;&lt;/dates&gt;&lt;pub-location&gt;London&lt;/pub-location&gt;&lt;publisher&gt;Policy Exchange&lt;/publisher&gt;&lt;urls&gt;&lt;/urls&gt;&lt;/record&gt;&lt;/Cite&gt;&lt;/EndNote&gt;</w:instrText>
      </w:r>
      <w:r w:rsidRPr="00F10391">
        <w:fldChar w:fldCharType="separate"/>
      </w:r>
      <w:r w:rsidR="00D24504">
        <w:rPr>
          <w:noProof/>
        </w:rPr>
        <w:t>[352]</w:t>
      </w:r>
      <w:r w:rsidRPr="00F10391">
        <w:fldChar w:fldCharType="end"/>
      </w:r>
      <w:r w:rsidRPr="00F10391">
        <w:t xml:space="preserve">, representing a net loss to society of 6.5p per cigarette smoked. </w:t>
      </w:r>
    </w:p>
    <w:p w14:paraId="7717A735" w14:textId="77777777" w:rsidR="00D22CE3" w:rsidRPr="00F10391" w:rsidRDefault="00D22CE3">
      <w:r w:rsidRPr="00F10391">
        <w:t xml:space="preserve">After the election of the UK’s coalition government in 2010, there were significant changes in the provision of public health in England, previously described. Primary Care Trusts were dissolved and their public health responsibilities transferred to local government. The previous administration had to a certain extent strengthened central control of health in many ways, founding NICE and encouraging an evidence-led approach to decision-making at a national level. This study commenced in late 2012, with the then government indicating it would encourage increased ‘localism’ and discretion at the local government level, allowing for checks, balances and priorities to be managed by the democratic process. In the “Healthy Lives Healthy People: a Tobacco Control Plan for England” white paper </w:t>
      </w:r>
      <w:r w:rsidRPr="00F10391">
        <w:fldChar w:fldCharType="begin"/>
      </w:r>
      <w:r w:rsidR="00D24504">
        <w:instrText xml:space="preserve"> ADDIN EN.CITE &lt;EndNote&gt;&lt;Cite&gt;&lt;Author&gt;UK Government&lt;/Author&gt;&lt;Year&gt;2010&lt;/Year&gt;&lt;RecNum&gt;35&lt;/RecNum&gt;&lt;DisplayText&gt;[353]&lt;/DisplayText&gt;&lt;record&gt;&lt;rec-number&gt;35&lt;/rec-number&gt;&lt;foreign-keys&gt;&lt;key app="EN" db-id="sz9092dv2s5fpze9wpgx0zxgv5ar00aezrvf" timestamp="0"&gt;35&lt;/key&gt;&lt;/foreign-keys&gt;&lt;ref-type name="Report"&gt;27&lt;/ref-type&gt;&lt;contributors&gt;&lt;authors&gt;&lt;author&gt;UK Government,&lt;/author&gt;&lt;/authors&gt;&lt;/contributors&gt;&lt;titles&gt;&lt;title&gt;Healthy lives, healthy people: our strategy for public health in England&lt;/title&gt;&lt;/titles&gt;&lt;dates&gt;&lt;year&gt;2010&lt;/year&gt;&lt;/dates&gt;&lt;publisher&gt;Stationery Office (Great Britain)&lt;/publisher&gt;&lt;isbn&gt;0101798520&lt;/isbn&gt;&lt;urls&gt;&lt;/urls&gt;&lt;/record&gt;&lt;/Cite&gt;&lt;/EndNote&gt;</w:instrText>
      </w:r>
      <w:r w:rsidRPr="00F10391">
        <w:fldChar w:fldCharType="separate"/>
      </w:r>
      <w:r w:rsidR="00D24504">
        <w:rPr>
          <w:noProof/>
        </w:rPr>
        <w:t>[353]</w:t>
      </w:r>
      <w:r w:rsidRPr="00F10391">
        <w:fldChar w:fldCharType="end"/>
      </w:r>
      <w:r w:rsidRPr="00F10391">
        <w:t xml:space="preserve">, the government set out three ‘national ambitions’ in smoking prevalence for the coming 5 years: </w:t>
      </w:r>
    </w:p>
    <w:p w14:paraId="61769A48" w14:textId="77777777" w:rsidR="00D22CE3" w:rsidRPr="00F10391" w:rsidRDefault="00D22CE3">
      <w:pPr>
        <w:pStyle w:val="ListParagraph"/>
        <w:numPr>
          <w:ilvl w:val="0"/>
          <w:numId w:val="13"/>
        </w:numPr>
      </w:pPr>
      <w:r w:rsidRPr="00F10391">
        <w:t xml:space="preserve">To reduce </w:t>
      </w:r>
      <w:r w:rsidRPr="00F10391">
        <w:rPr>
          <w:i/>
        </w:rPr>
        <w:t>adult (aged 18 or over) smoking prevalence</w:t>
      </w:r>
      <w:r w:rsidRPr="00F10391">
        <w:t xml:space="preserve"> in England to 18.5 per cent or less by the end of 2015 (from 21.2 per cent), meaning around 210,000 fewer smokers a year.</w:t>
      </w:r>
    </w:p>
    <w:p w14:paraId="1E09AA14" w14:textId="77777777" w:rsidR="00D22CE3" w:rsidRPr="00F10391" w:rsidRDefault="00D22CE3">
      <w:pPr>
        <w:pStyle w:val="ListParagraph"/>
        <w:numPr>
          <w:ilvl w:val="0"/>
          <w:numId w:val="13"/>
        </w:numPr>
      </w:pPr>
      <w:r w:rsidRPr="00F10391">
        <w:t xml:space="preserve">To reduce rates of regular </w:t>
      </w:r>
      <w:r w:rsidRPr="00F10391">
        <w:rPr>
          <w:i/>
        </w:rPr>
        <w:t>smoking among 15 year olds</w:t>
      </w:r>
      <w:r w:rsidRPr="00F10391">
        <w:t xml:space="preserve"> in England to 12 per cent or less (from 15 per cent) by the end of 2015.</w:t>
      </w:r>
    </w:p>
    <w:p w14:paraId="73CE86A5" w14:textId="77777777" w:rsidR="00D22CE3" w:rsidRPr="00F10391" w:rsidRDefault="00D22CE3">
      <w:pPr>
        <w:pStyle w:val="ListParagraph"/>
        <w:numPr>
          <w:ilvl w:val="0"/>
          <w:numId w:val="13"/>
        </w:numPr>
      </w:pPr>
      <w:r w:rsidRPr="00F10391">
        <w:t xml:space="preserve">To reduce </w:t>
      </w:r>
      <w:r w:rsidRPr="00F10391">
        <w:rPr>
          <w:i/>
        </w:rPr>
        <w:t>rates of smoking throughout pregnancy</w:t>
      </w:r>
      <w:r w:rsidRPr="00F10391">
        <w:t xml:space="preserve"> to 11 per cent or less (from 14 per cent) by the end of 2015 (measured at time of giving birth).</w:t>
      </w:r>
    </w:p>
    <w:p w14:paraId="55106FC9" w14:textId="77777777" w:rsidR="00D22CE3" w:rsidRPr="00F10391" w:rsidRDefault="00D22CE3">
      <w:r w:rsidRPr="00F10391">
        <w:t xml:space="preserve">These were not binding targets and local areas were to “decide on their own priorities and ways of improving health in their communities, in line with the evidence base and local circumstances” </w:t>
      </w:r>
      <w:r w:rsidRPr="00F10391">
        <w:fldChar w:fldCharType="begin"/>
      </w:r>
      <w:r w:rsidR="00D24504">
        <w:instrText xml:space="preserve"> ADDIN EN.CITE &lt;EndNote&gt;&lt;Cite&gt;&lt;Author&gt;UK Government&lt;/Author&gt;&lt;Year&gt;2010&lt;/Year&gt;&lt;RecNum&gt;35&lt;/RecNum&gt;&lt;DisplayText&gt;[353]&lt;/DisplayText&gt;&lt;record&gt;&lt;rec-number&gt;35&lt;/rec-number&gt;&lt;foreign-keys&gt;&lt;key app="EN" db-id="sz9092dv2s5fpze9wpgx0zxgv5ar00aezrvf" timestamp="0"&gt;35&lt;/key&gt;&lt;/foreign-keys&gt;&lt;ref-type name="Report"&gt;27&lt;/ref-type&gt;&lt;contributors&gt;&lt;authors&gt;&lt;author&gt;UK Government,&lt;/author&gt;&lt;/authors&gt;&lt;/contributors&gt;&lt;titles&gt;&lt;title&gt;Healthy lives, healthy people: our strategy for public health in England&lt;/title&gt;&lt;/titles&gt;&lt;dates&gt;&lt;year&gt;2010&lt;/year&gt;&lt;/dates&gt;&lt;publisher&gt;Stationery Office (Great Britain)&lt;/publisher&gt;&lt;isbn&gt;0101798520&lt;/isbn&gt;&lt;urls&gt;&lt;/urls&gt;&lt;/record&gt;&lt;/Cite&gt;&lt;/EndNote&gt;</w:instrText>
      </w:r>
      <w:r w:rsidRPr="00F10391">
        <w:fldChar w:fldCharType="separate"/>
      </w:r>
      <w:r w:rsidR="00D24504">
        <w:rPr>
          <w:noProof/>
        </w:rPr>
        <w:t>[353]</w:t>
      </w:r>
      <w:r w:rsidRPr="00F10391">
        <w:fldChar w:fldCharType="end"/>
      </w:r>
      <w:r w:rsidR="00B922C5">
        <w:t xml:space="preserve"> (p.6)</w:t>
      </w:r>
      <w:r w:rsidRPr="00F10391">
        <w:t xml:space="preserve">. The prior government had instead imposed targets directly, and estimated the effectiveness of approaches by comparing PCTs on how well they performed on a metric describing the four week quit rate. These measured the number of those accessing stop smoking services (SSS) that had not yet relapsed after this period, which could be relatively easily quantified. </w:t>
      </w:r>
    </w:p>
    <w:p w14:paraId="729D57FF" w14:textId="77777777" w:rsidR="00D22CE3" w:rsidRPr="00F10391" w:rsidRDefault="00D22CE3">
      <w:r w:rsidRPr="00F10391">
        <w:t xml:space="preserve">It is worth noting that this project took place at a time not only of great change in the health service, but in the aftermath of the ‘Great Recession’ and subsequent austerity. This meant that – through one force or another – increased scrutiny was inevitable in health budgets, and given the new powers available to local government decision-makers, programmes with little evidence of success stood to lose out. It was in this context that those responsible for tobacco services attempted to find an approach that was more sustainable in the longer term. </w:t>
      </w:r>
    </w:p>
    <w:p w14:paraId="1945B3A5" w14:textId="77777777" w:rsidR="00D22CE3" w:rsidRPr="00F10391" w:rsidRDefault="00D22CE3">
      <w:r w:rsidRPr="00F10391">
        <w:t xml:space="preserve">The metropolitan county of South Yorkshire is made up of four boroughs and their councils – Barnsley, Doncaster, Rotherham and Sheffield – and is home to approximately 1.3 million people. Each council acts independently and has its own Director of Public Health (DPH), responsible for prioritising and managing public health services. Each had similar sized budgets relating to tobacco, and a Tobacco Control Commissioner (TCC) responsible for the area. The TCCs had been liaising for some time to share information and with the intention of designing and tendering for services together in order to benefit from economies of scale. </w:t>
      </w:r>
    </w:p>
    <w:p w14:paraId="22098AE6" w14:textId="77777777" w:rsidR="00D22CE3" w:rsidRPr="00F10391" w:rsidRDefault="00D22CE3">
      <w:r w:rsidRPr="00F10391">
        <w:t xml:space="preserve">The vast majority of resources (around 90%) in each borough had been invested in SSS, in line with the prior SSS-specific targets and the associated availability of evidence of cost-effectiveness. Four week quit rates in South Yorkshire were the best in the region (and good on a national level), but the overall smoking prevalence rate in each of the boroughs had not changed for a number of years. These rates were higher than the national average for England of 20.7%; from 21.5% in Sheffield to 26.3% in Doncaster </w:t>
      </w:r>
      <w:r w:rsidRPr="00F10391">
        <w:fldChar w:fldCharType="begin"/>
      </w:r>
      <w:r w:rsidR="00D24504">
        <w:instrText xml:space="preserve"> ADDIN EN.CITE &lt;EndNote&gt;&lt;Cite&gt;&lt;Author&gt;Office for National Statistics&lt;/Author&gt;&lt;Year&gt;2012&lt;/Year&gt;&lt;RecNum&gt;309&lt;/RecNum&gt;&lt;DisplayText&gt;[354]&lt;/DisplayText&gt;&lt;record&gt;&lt;rec-number&gt;309&lt;/rec-number&gt;&lt;foreign-keys&gt;&lt;key app="EN" db-id="sz9092dv2s5fpze9wpgx0zxgv5ar00aezrvf" timestamp="0"&gt;309&lt;/key&gt;&lt;/foreign-keys&gt;&lt;ref-type name="Government Document"&gt;46&lt;/ref-type&gt;&lt;contributors&gt;&lt;authors&gt;&lt;author&gt;Office for National Statistics,&lt;/author&gt;&lt;/authors&gt;&lt;/contributors&gt;&lt;titles&gt;&lt;title&gt;Social Survey Division, Integrated Household Survey, April 2011 - March 2012 &lt;/title&gt;&lt;/titles&gt;&lt;number&gt;November&lt;/number&gt;&lt;dates&gt;&lt;year&gt;2012&lt;/year&gt;&lt;/dates&gt;&lt;pub-location&gt;Colchester, Essex&lt;/pub-location&gt;&lt;publisher&gt;UK Data Archive&lt;/publisher&gt;&lt;urls&gt;&lt;related-urls&gt;&lt;url&gt;http://dx.doi.org/10.5255/UKDA-SN-7159-1&lt;/url&gt;&lt;/related-urls&gt;&lt;/urls&gt;&lt;/record&gt;&lt;/Cite&gt;&lt;/EndNote&gt;</w:instrText>
      </w:r>
      <w:r w:rsidRPr="00F10391">
        <w:fldChar w:fldCharType="separate"/>
      </w:r>
      <w:r w:rsidR="00D24504">
        <w:rPr>
          <w:noProof/>
        </w:rPr>
        <w:t>[354]</w:t>
      </w:r>
      <w:r w:rsidRPr="00F10391">
        <w:fldChar w:fldCharType="end"/>
      </w:r>
      <w:r w:rsidRPr="00F10391">
        <w:t>. There may be a number of reasons for this. Smoking quit rates may not be an ideal proxy for the effectiveness in terms of prevalence, whether because new smokers replace the former smokers, or because former smokers relapse after this period. It is also possible that South Yorkshire is unusual nationally in either or both of these ways, offering a case for increased local autonomy. It also seems that, in South Yorkshire at least, overwhelming investment in SSS did not appear to be reducing prevalence, and that other approaches might be required. These approaches lack clear evidence (in part because spending across the country was so focussed on the SSS strategy), creating difficulties even though there was reason to believe that they should be effective.</w:t>
      </w:r>
    </w:p>
    <w:p w14:paraId="632257BE" w14:textId="77777777" w:rsidR="00D22CE3" w:rsidRPr="00F10391" w:rsidRDefault="00D22CE3">
      <w:r w:rsidRPr="00F10391">
        <w:t xml:space="preserve">Both the World Bank and national government </w:t>
      </w:r>
      <w:r w:rsidRPr="00F10391">
        <w:fldChar w:fldCharType="begin"/>
      </w:r>
      <w:r w:rsidR="00D24504">
        <w:instrText xml:space="preserve"> ADDIN EN.CITE &lt;EndNote&gt;&lt;Cite&gt;&lt;Author&gt;Health&lt;/Author&gt;&lt;Year&gt;2010&lt;/Year&gt;&lt;RecNum&gt;168&lt;/RecNum&gt;&lt;DisplayText&gt;[353, 355]&lt;/DisplayText&gt;&lt;record&gt;&lt;rec-number&gt;168&lt;/rec-number&gt;&lt;foreign-keys&gt;&lt;key app="EN" db-id="sz9092dv2s5fpze9wpgx0zxgv5ar00aezrvf" timestamp="0"&gt;168&lt;/key&gt;&lt;/foreign-keys&gt;&lt;ref-type name="Report"&gt;27&lt;/ref-type&gt;&lt;contributors&gt;&lt;authors&gt;&lt;author&gt;All-Party Parliamentary Group on Smoking and Health,&lt;/author&gt;&lt;/authors&gt;&lt;/contributors&gt;&lt;titles&gt;&lt;title&gt;Inquiry into the effectiveness and cost-effectiveness of tobacco control: Submission to the 2010 Spending Review and Public Health White Paper Consultation Process&lt;/title&gt;&lt;/titles&gt;&lt;dates&gt;&lt;year&gt;2010&lt;/year&gt;&lt;/dates&gt;&lt;pub-location&gt;UK&lt;/pub-location&gt;&lt;publisher&gt;All Party Parliamentary Group on Smoking and Health.&lt;/publisher&gt;&lt;urls&gt;&lt;/urls&gt;&lt;/record&gt;&lt;/Cite&gt;&lt;Cite&gt;&lt;Author&gt;UK Government&lt;/Author&gt;&lt;Year&gt;2010&lt;/Year&gt;&lt;RecNum&gt;35&lt;/RecNum&gt;&lt;record&gt;&lt;rec-number&gt;35&lt;/rec-number&gt;&lt;foreign-keys&gt;&lt;key app="EN" db-id="sz9092dv2s5fpze9wpgx0zxgv5ar00aezrvf" timestamp="0"&gt;35&lt;/key&gt;&lt;/foreign-keys&gt;&lt;ref-type name="Report"&gt;27&lt;/ref-type&gt;&lt;contributors&gt;&lt;authors&gt;&lt;author&gt;UK Government,&lt;/author&gt;&lt;/authors&gt;&lt;/contributors&gt;&lt;titles&gt;&lt;title&gt;Healthy lives, healthy people: our strategy for public health in England&lt;/title&gt;&lt;/titles&gt;&lt;dates&gt;&lt;year&gt;2010&lt;/year&gt;&lt;/dates&gt;&lt;publisher&gt;Stationery Office (Great Britain)&lt;/publisher&gt;&lt;isbn&gt;0101798520&lt;/isbn&gt;&lt;urls&gt;&lt;/urls&gt;&lt;/record&gt;&lt;/Cite&gt;&lt;/EndNote&gt;</w:instrText>
      </w:r>
      <w:r w:rsidRPr="00F10391">
        <w:fldChar w:fldCharType="separate"/>
      </w:r>
      <w:r w:rsidR="00D24504">
        <w:rPr>
          <w:noProof/>
        </w:rPr>
        <w:t>[353, 355]</w:t>
      </w:r>
      <w:r w:rsidRPr="00F10391">
        <w:fldChar w:fldCharType="end"/>
      </w:r>
      <w:r w:rsidRPr="00F10391">
        <w:rPr>
          <w:i/>
        </w:rPr>
        <w:t xml:space="preserve"> </w:t>
      </w:r>
      <w:r w:rsidRPr="00F10391">
        <w:t xml:space="preserve">have argued for a more multi-faceted approach to reducing prevalence. Such comprehensive tobacco control programmes have proved effective in reducing smoking prevalence in the UK and other countries </w:t>
      </w:r>
      <w:r w:rsidRPr="00F10391">
        <w:fldChar w:fldCharType="begin"/>
      </w:r>
      <w:r w:rsidR="00D24504">
        <w:instrText xml:space="preserve"> ADDIN EN.CITE &lt;EndNote&gt;&lt;Cite&gt;&lt;Author&gt;All-Party Parliamentary Group on Smoking and Health&lt;/Author&gt;&lt;Year&gt;2010&lt;/Year&gt;&lt;RecNum&gt;168&lt;/RecNum&gt;&lt;DisplayText&gt;[355]&lt;/DisplayText&gt;&lt;record&gt;&lt;rec-number&gt;168&lt;/rec-number&gt;&lt;foreign-keys&gt;&lt;key app="EN" db-id="sz9092dv2s5fpze9wpgx0zxgv5ar00aezrvf" timestamp="0"&gt;168&lt;/key&gt;&lt;/foreign-keys&gt;&lt;ref-type name="Report"&gt;27&lt;/ref-type&gt;&lt;contributors&gt;&lt;authors&gt;&lt;author&gt;All-Party Parliamentary Group on Smoking and Health,&lt;/author&gt;&lt;/authors&gt;&lt;/contributors&gt;&lt;titles&gt;&lt;title&gt;Inquiry into the effectiveness and cost-effectiveness of tobacco control: Submission to the 2010 Spending Review and Public Health White Paper Consultation Process&lt;/title&gt;&lt;/titles&gt;&lt;dates&gt;&lt;year&gt;2010&lt;/year&gt;&lt;/dates&gt;&lt;pub-location&gt;UK&lt;/pub-location&gt;&lt;publisher&gt;All Party Parliamentary Group on Smoking and Health.&lt;/publisher&gt;&lt;urls&gt;&lt;/urls&gt;&lt;/record&gt;&lt;/Cite&gt;&lt;/EndNote&gt;</w:instrText>
      </w:r>
      <w:r w:rsidRPr="00F10391">
        <w:fldChar w:fldCharType="separate"/>
      </w:r>
      <w:r w:rsidR="00D24504">
        <w:rPr>
          <w:noProof/>
        </w:rPr>
        <w:t>[355]</w:t>
      </w:r>
      <w:r w:rsidRPr="00F10391">
        <w:fldChar w:fldCharType="end"/>
      </w:r>
      <w:r w:rsidRPr="00F10391">
        <w:t>. One might expect that increased investment in areas outside of helping smokers to quit – such as undermining the illicit tobacco market, or in a wider media presence – may also play a role in decreasing prevalence. Unfortunately, hard data on the magnitude of effectiveness, and hence cost-effectiveness, of these interventions is scarce.</w:t>
      </w:r>
    </w:p>
    <w:p w14:paraId="378D0B16" w14:textId="77777777" w:rsidR="00D22CE3" w:rsidRPr="00F10391" w:rsidRDefault="00D22CE3">
      <w:r w:rsidRPr="00F10391">
        <w:t xml:space="preserve">As previously discussed, such challenges are common in applying cost-effectiveness approaches to public health settings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while attempting to find practical measures to improve health. The CPH addresses such gaps in evidence by inviting expert testimony to share knowledge and experience. This project was attempted in a similar spirit, but using MCDA approaches to better deal with the more complex context. </w:t>
      </w:r>
    </w:p>
    <w:p w14:paraId="38EF1685" w14:textId="77777777" w:rsidR="00D22CE3" w:rsidRPr="00F10391" w:rsidRDefault="00D22CE3"/>
    <w:p w14:paraId="473FC9C0" w14:textId="77777777" w:rsidR="00D22CE3" w:rsidRPr="00F10391" w:rsidRDefault="00D22CE3">
      <w:pPr>
        <w:pStyle w:val="Numberedheading2"/>
      </w:pPr>
      <w:bookmarkStart w:id="746" w:name="_Toc283984185"/>
      <w:bookmarkStart w:id="747" w:name="_Toc304640274"/>
      <w:bookmarkStart w:id="748" w:name="_Toc441509020"/>
      <w:bookmarkStart w:id="749" w:name="_Toc453235463"/>
      <w:bookmarkStart w:id="750" w:name="_Toc453595536"/>
      <w:bookmarkStart w:id="751" w:name="_Toc476241633"/>
      <w:r w:rsidRPr="00F10391">
        <w:t>7.3</w:t>
      </w:r>
      <w:r w:rsidRPr="00F10391">
        <w:tab/>
      </w:r>
      <w:r w:rsidRPr="00F10391">
        <w:tab/>
        <w:t>Objectives</w:t>
      </w:r>
      <w:bookmarkEnd w:id="746"/>
      <w:bookmarkEnd w:id="747"/>
      <w:bookmarkEnd w:id="748"/>
      <w:bookmarkEnd w:id="749"/>
      <w:bookmarkEnd w:id="750"/>
      <w:bookmarkEnd w:id="751"/>
    </w:p>
    <w:p w14:paraId="752BB7FE" w14:textId="77777777" w:rsidR="00D22CE3" w:rsidRPr="00F10391" w:rsidRDefault="00D22CE3"/>
    <w:p w14:paraId="293E8509" w14:textId="74AB60F7" w:rsidR="00D22CE3" w:rsidRPr="00F10391" w:rsidRDefault="00D22CE3">
      <w:r w:rsidRPr="00F10391">
        <w:t>This chapter presents a case study describing the development and application of an action research project to appraise interventions to reduce tobacco prevalence across four local government areas, in a challenging decision-making environment. It aimed to identify not only if such an approach was nominally</w:t>
      </w:r>
      <w:r w:rsidR="0006231D">
        <w:t xml:space="preserve"> technically</w:t>
      </w:r>
      <w:r w:rsidR="00ED340B">
        <w:t xml:space="preserve"> feasible, but also </w:t>
      </w:r>
      <w:r w:rsidR="0006231D">
        <w:t>suitable for</w:t>
      </w:r>
      <w:r w:rsidR="00D106CA">
        <w:t xml:space="preserve"> actual</w:t>
      </w:r>
      <w:r w:rsidR="0006231D">
        <w:t xml:space="preserve"> use by the TCCs in</w:t>
      </w:r>
      <w:r w:rsidR="00AA0B34">
        <w:t xml:space="preserve"> </w:t>
      </w:r>
      <w:r w:rsidR="00F274C1">
        <w:t>attempting to</w:t>
      </w:r>
      <w:r w:rsidR="0006231D">
        <w:t xml:space="preserve"> </w:t>
      </w:r>
      <w:r w:rsidRPr="00F10391">
        <w:t>influenc</w:t>
      </w:r>
      <w:r w:rsidR="00F274C1">
        <w:t>e</w:t>
      </w:r>
      <w:r w:rsidRPr="00F10391">
        <w:t xml:space="preserve"> policy decisions in reality. </w:t>
      </w:r>
      <w:r w:rsidR="00102FF1">
        <w:t>In doing so, it tested whether both aspects of suitability</w:t>
      </w:r>
      <w:r w:rsidR="00494A9A">
        <w:t xml:space="preserve"> previously described</w:t>
      </w:r>
      <w:r w:rsidR="00102FF1">
        <w:t xml:space="preserve"> – the approach’s acceptability and </w:t>
      </w:r>
      <w:r w:rsidR="00BC2E1B">
        <w:t xml:space="preserve">its </w:t>
      </w:r>
      <w:r w:rsidR="00102FF1">
        <w:t>accessibility – were possible in such settings. This required</w:t>
      </w:r>
      <w:r w:rsidR="00494A9A">
        <w:t xml:space="preserve"> </w:t>
      </w:r>
      <w:r w:rsidRPr="00F10391">
        <w:t>engagement with stakeholders and decision-makers</w:t>
      </w:r>
      <w:r w:rsidR="00102FF1">
        <w:t xml:space="preserve"> throughout, in order</w:t>
      </w:r>
      <w:r w:rsidR="00494A9A">
        <w:t xml:space="preserve"> </w:t>
      </w:r>
      <w:r w:rsidRPr="00F10391">
        <w:t xml:space="preserve">to provide </w:t>
      </w:r>
      <w:r w:rsidR="00494A9A">
        <w:t>suitable</w:t>
      </w:r>
      <w:r w:rsidR="00494A9A" w:rsidRPr="00F10391">
        <w:t xml:space="preserve"> </w:t>
      </w:r>
      <w:r w:rsidRPr="00F10391">
        <w:t>nuance</w:t>
      </w:r>
      <w:r w:rsidR="00BC2E1B">
        <w:t xml:space="preserve"> and insight</w:t>
      </w:r>
      <w:r w:rsidR="00102FF1">
        <w:t>.</w:t>
      </w:r>
    </w:p>
    <w:p w14:paraId="5E826430" w14:textId="77777777" w:rsidR="00D22CE3" w:rsidRPr="00F10391" w:rsidRDefault="00D22CE3">
      <w:r w:rsidRPr="00F10391">
        <w:t xml:space="preserve">As with the previous chapter, the methods section is based upon the eight steps required for an MCDA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along with descriptions of the process’ implementation and evaluation. This is followed by the Discussion and Conclusion settings.</w:t>
      </w:r>
    </w:p>
    <w:p w14:paraId="4B4A6EF0" w14:textId="77777777" w:rsidR="00D22CE3" w:rsidRPr="00F10391" w:rsidRDefault="00D22CE3"/>
    <w:p w14:paraId="018EBD71" w14:textId="77777777" w:rsidR="00D22CE3" w:rsidRPr="00F10391" w:rsidRDefault="00D22CE3">
      <w:pPr>
        <w:pStyle w:val="Numberedheading2"/>
      </w:pPr>
      <w:bookmarkStart w:id="752" w:name="_Toc283984186"/>
      <w:bookmarkStart w:id="753" w:name="_Toc304640275"/>
      <w:bookmarkStart w:id="754" w:name="_Toc441509021"/>
      <w:bookmarkStart w:id="755" w:name="_Toc453235464"/>
      <w:bookmarkStart w:id="756" w:name="_Toc453595537"/>
      <w:bookmarkStart w:id="757" w:name="_Toc476241634"/>
      <w:r w:rsidRPr="00F10391">
        <w:t>7.4</w:t>
      </w:r>
      <w:r w:rsidRPr="00F10391">
        <w:tab/>
      </w:r>
      <w:r w:rsidRPr="00F10391">
        <w:tab/>
        <w:t>Methods</w:t>
      </w:r>
      <w:bookmarkEnd w:id="752"/>
      <w:bookmarkEnd w:id="753"/>
      <w:bookmarkEnd w:id="754"/>
      <w:bookmarkEnd w:id="755"/>
      <w:bookmarkEnd w:id="756"/>
      <w:bookmarkEnd w:id="757"/>
    </w:p>
    <w:p w14:paraId="5C0639C4" w14:textId="77777777" w:rsidR="00D22CE3" w:rsidRPr="00F10391" w:rsidRDefault="00D22CE3"/>
    <w:p w14:paraId="75E30A5D" w14:textId="77777777" w:rsidR="00D22CE3" w:rsidRPr="00F10391" w:rsidRDefault="00D22CE3">
      <w:r w:rsidRPr="00F10391">
        <w:t xml:space="preserve">The TCCs initially approached ScHARR hoping to identify an appropriate “knowledge-based approach” (as they called it), in contrast to what they saw as a blinkered and impractical evidence-based </w:t>
      </w:r>
      <w:r w:rsidRPr="00F10391">
        <w:rPr>
          <w:i/>
        </w:rPr>
        <w:t>status quo</w:t>
      </w:r>
      <w:r w:rsidRPr="00F10391">
        <w:t>, that might inform future debate about how to reduce prevalence in the ‘new world’ in a rational and transparent way. The approaches chosen allowed public health decision-makers in local government to think about the project objectives, given their newfound responsibilities. The MCDA process highlighted areas that were likely to correspond to these objectives and hoped to inform decisions of the DsPH as well as possible, given the lack of clear evidence. A multi-stage approach was used, incorporating the views of the TCCs and a range of stakeholders, in order to arrive at a range of policy options to present to each borough’s respective DPH. There were three distinct phases to this process:</w:t>
      </w:r>
    </w:p>
    <w:p w14:paraId="22118840" w14:textId="77777777" w:rsidR="00D22CE3" w:rsidRPr="00F10391" w:rsidRDefault="00D22CE3">
      <w:pPr>
        <w:pStyle w:val="ListParagraph"/>
        <w:numPr>
          <w:ilvl w:val="0"/>
          <w:numId w:val="14"/>
        </w:numPr>
      </w:pPr>
      <w:r w:rsidRPr="00F10391">
        <w:t>Setting the scene/problem structuring.</w:t>
      </w:r>
    </w:p>
    <w:p w14:paraId="15A4B979" w14:textId="77777777" w:rsidR="00D22CE3" w:rsidRPr="00F10391" w:rsidRDefault="00D22CE3">
      <w:pPr>
        <w:pStyle w:val="ListParagraph"/>
        <w:numPr>
          <w:ilvl w:val="0"/>
          <w:numId w:val="14"/>
        </w:numPr>
      </w:pPr>
      <w:r w:rsidRPr="00F10391">
        <w:t>Conducting the MCDA scoring technique.</w:t>
      </w:r>
    </w:p>
    <w:p w14:paraId="6B6C0F9A" w14:textId="77777777" w:rsidR="00D22CE3" w:rsidRPr="00F10391" w:rsidRDefault="00D22CE3">
      <w:pPr>
        <w:pStyle w:val="ListParagraph"/>
        <w:numPr>
          <w:ilvl w:val="0"/>
          <w:numId w:val="14"/>
        </w:numPr>
      </w:pPr>
      <w:r w:rsidRPr="00F10391">
        <w:t xml:space="preserve">Utilising these scores to influence decision-making at local government level. </w:t>
      </w:r>
    </w:p>
    <w:p w14:paraId="2B9F6D13" w14:textId="0B54C200" w:rsidR="00D22CE3" w:rsidRDefault="00200EC8">
      <w:r>
        <w:t>The relevant</w:t>
      </w:r>
      <w:r w:rsidR="00494A9A">
        <w:t xml:space="preserve"> </w:t>
      </w:r>
      <w:r w:rsidR="00D22CE3" w:rsidRPr="00F10391">
        <w:t>sub-stages are listed in Table 7.1, with the three phases above separated by dashed lines. The sequence of stages allowed the views of the general public, expert opinion and other stakeholders to be incorporated at various points in the process. The findings were ultimately used as a basis for prioritisation between the options under consideration. The stages were meant as a rough guide and were revisited as necessary throughout the process – and as such the entire process perhaps is best seen as a framework for investigating and discussing the objectives and issues rather than a rigid formula.</w:t>
      </w:r>
    </w:p>
    <w:p w14:paraId="7BE9FE47" w14:textId="77777777" w:rsidR="00CE299C" w:rsidRDefault="00CE299C" w:rsidP="00CE299C">
      <w:r>
        <w:t xml:space="preserve">As with the case study described in the previous chapter, the decision conference itself was recorded by Dictaphone. More detailed notes were taken on the same day by a TCC, and relevant results were shared in real time with participants where possible. But the broader process used in this case study required a much more in depth engagement than that of the topic appraisal, both with stakeholders and in particular with the TCCs, and over a much longer period of time. </w:t>
      </w:r>
    </w:p>
    <w:p w14:paraId="4DA335DE" w14:textId="77777777" w:rsidR="00CE299C" w:rsidRPr="00F10391" w:rsidRDefault="00CE299C"/>
    <w:p w14:paraId="1E283B8F" w14:textId="77777777" w:rsidR="00D22CE3" w:rsidRPr="00F10391" w:rsidRDefault="00D22CE3">
      <w:r w:rsidRPr="00F10391">
        <w:br w:type="page"/>
      </w:r>
    </w:p>
    <w:p w14:paraId="0881A5A2" w14:textId="4B0186B3" w:rsidR="000E04E1" w:rsidRPr="00F10391" w:rsidRDefault="000E04E1" w:rsidP="00B37229">
      <w:pPr>
        <w:pStyle w:val="Caption"/>
      </w:pPr>
      <w:bookmarkStart w:id="758" w:name="_Toc476241438"/>
      <w:r w:rsidRPr="00F10391">
        <w:t xml:space="preserve">Table </w:t>
      </w:r>
      <w:r w:rsidR="000F1034">
        <w:fldChar w:fldCharType="begin"/>
      </w:r>
      <w:r w:rsidR="000F1034">
        <w:instrText xml:space="preserve"> STYLEREF 1 \s </w:instrText>
      </w:r>
      <w:r w:rsidR="000F1034">
        <w:fldChar w:fldCharType="separate"/>
      </w:r>
      <w:r w:rsidR="00B37229">
        <w:rPr>
          <w:noProof/>
        </w:rPr>
        <w:t>7</w:t>
      </w:r>
      <w:r w:rsidR="000F1034">
        <w:rPr>
          <w:noProof/>
        </w:rPr>
        <w:fldChar w:fldCharType="end"/>
      </w:r>
      <w:r w:rsidRPr="00F10391">
        <w:t>.</w:t>
      </w:r>
      <w:r w:rsidR="000F1034">
        <w:fldChar w:fldCharType="begin"/>
      </w:r>
      <w:r w:rsidR="000F1034">
        <w:instrText xml:space="preserve"> SEQ Table \* ARABIC \s 1 </w:instrText>
      </w:r>
      <w:r w:rsidR="000F1034">
        <w:fldChar w:fldCharType="separate"/>
      </w:r>
      <w:r w:rsidR="00B37229">
        <w:rPr>
          <w:noProof/>
        </w:rPr>
        <w:t>1</w:t>
      </w:r>
      <w:r w:rsidR="000F1034">
        <w:rPr>
          <w:noProof/>
        </w:rPr>
        <w:fldChar w:fldCharType="end"/>
      </w:r>
      <w:r w:rsidRPr="00F10391">
        <w:t xml:space="preserve">- Involvement by </w:t>
      </w:r>
      <w:r w:rsidR="00F10391" w:rsidRPr="00F10391">
        <w:t>relevant</w:t>
      </w:r>
      <w:r w:rsidRPr="00F10391">
        <w:t xml:space="preserve"> groups in each of the tobacco prevalence project's stages and phases during the decision-making process, and prior to the evaluation stage (Section 7.4.10)</w:t>
      </w:r>
      <w:bookmarkEnd w:id="758"/>
    </w:p>
    <w:p w14:paraId="70BBF2AB" w14:textId="77777777" w:rsidR="00D22CE3" w:rsidRPr="00F10391" w:rsidRDefault="00D22CE3" w:rsidP="0063065F">
      <w:r w:rsidRPr="00F10391">
        <w:rPr>
          <w:noProof/>
          <w:lang w:val="en-IE" w:eastAsia="en-IE"/>
        </w:rPr>
        <w:drawing>
          <wp:inline distT="0" distB="0" distL="0" distR="0" wp14:anchorId="3600E183" wp14:editId="5AD82A7E">
            <wp:extent cx="5731200" cy="5907600"/>
            <wp:effectExtent l="0" t="0" r="3175"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200" cy="5907600"/>
                    </a:xfrm>
                    <a:prstGeom prst="rect">
                      <a:avLst/>
                    </a:prstGeom>
                    <a:noFill/>
                    <a:ln>
                      <a:noFill/>
                    </a:ln>
                  </pic:spPr>
                </pic:pic>
              </a:graphicData>
            </a:graphic>
          </wp:inline>
        </w:drawing>
      </w:r>
      <w:bookmarkStart w:id="759" w:name="_Toc441509022"/>
    </w:p>
    <w:p w14:paraId="04BDDF1E" w14:textId="79EFAFC6" w:rsidR="00102FF1" w:rsidRDefault="00BC2E1B" w:rsidP="0063065F">
      <w:bookmarkStart w:id="760" w:name="_Toc453235465"/>
      <w:bookmarkStart w:id="761" w:name="_Toc453595538"/>
      <w:r>
        <w:t>As an action</w:t>
      </w:r>
      <w:r w:rsidR="00B37229">
        <w:t xml:space="preserve"> research project, regular face-to-</w:t>
      </w:r>
      <w:r>
        <w:t xml:space="preserve">face meetings </w:t>
      </w:r>
      <w:r w:rsidR="007B319A">
        <w:t xml:space="preserve">with TCCs </w:t>
      </w:r>
      <w:r>
        <w:t xml:space="preserve">were </w:t>
      </w:r>
      <w:r w:rsidR="007B319A">
        <w:t>required</w:t>
      </w:r>
      <w:r>
        <w:t xml:space="preserve"> throughout</w:t>
      </w:r>
      <w:r w:rsidR="007B319A">
        <w:t>,</w:t>
      </w:r>
      <w:r>
        <w:t xml:space="preserve"> spanning </w:t>
      </w:r>
      <w:r w:rsidR="00305DB7">
        <w:t xml:space="preserve">a </w:t>
      </w:r>
      <w:r w:rsidR="00AA0B34">
        <w:t>12-month</w:t>
      </w:r>
      <w:r w:rsidR="00305DB7">
        <w:t xml:space="preserve"> period from</w:t>
      </w:r>
      <w:r>
        <w:t xml:space="preserve"> April 2012</w:t>
      </w:r>
      <w:r w:rsidR="007B319A">
        <w:t xml:space="preserve">. </w:t>
      </w:r>
      <w:r w:rsidR="00AA0B34">
        <w:t>Formal or semi-formal</w:t>
      </w:r>
      <w:r w:rsidR="00B50563">
        <w:t xml:space="preserve"> minuted notes were taken at all such meetings, taking into account each stage of the process noted above. </w:t>
      </w:r>
      <w:r w:rsidR="007B319A">
        <w:t>While the decision conference took place in September 2012</w:t>
      </w:r>
      <w:r w:rsidR="00D106CA">
        <w:t xml:space="preserve">, prior documentation - </w:t>
      </w:r>
      <w:r w:rsidR="007B319A">
        <w:t>such as busine</w:t>
      </w:r>
      <w:r w:rsidR="00494A9A">
        <w:t xml:space="preserve">ss cases for each intervention </w:t>
      </w:r>
      <w:r w:rsidR="007B319A">
        <w:t>and descriptions of the cri</w:t>
      </w:r>
      <w:r w:rsidR="00D106CA">
        <w:t xml:space="preserve">teria for the weighting process - </w:t>
      </w:r>
      <w:r w:rsidR="007B319A">
        <w:t>were also naturally required at relevant periods as the project progressed. These were developed with the TCCs</w:t>
      </w:r>
      <w:r w:rsidR="00494A9A">
        <w:t xml:space="preserve">. </w:t>
      </w:r>
      <w:r w:rsidR="00B37229">
        <w:t>W</w:t>
      </w:r>
      <w:r w:rsidR="007B319A">
        <w:t xml:space="preserve">we had the opportunity </w:t>
      </w:r>
      <w:r w:rsidR="00B50563">
        <w:t xml:space="preserve">at the regular meetings </w:t>
      </w:r>
      <w:r w:rsidR="007B319A">
        <w:t xml:space="preserve">to appraise how well </w:t>
      </w:r>
      <w:r w:rsidR="00B37229">
        <w:t>each stage</w:t>
      </w:r>
      <w:r w:rsidR="007B319A">
        <w:t xml:space="preserve"> had p</w:t>
      </w:r>
      <w:r w:rsidR="00B50563">
        <w:t xml:space="preserve">erformed and where issues </w:t>
      </w:r>
      <w:r w:rsidR="00D106CA">
        <w:t xml:space="preserve">had </w:t>
      </w:r>
      <w:r w:rsidR="00B50563">
        <w:t>ar</w:t>
      </w:r>
      <w:r w:rsidR="00D106CA">
        <w:t>isen</w:t>
      </w:r>
      <w:r w:rsidR="00B50563">
        <w:t xml:space="preserve">. Email contact continued afterwards </w:t>
      </w:r>
      <w:r w:rsidR="00D106CA">
        <w:t xml:space="preserve">with TCCs </w:t>
      </w:r>
      <w:r w:rsidR="00B50563">
        <w:t>to ascertain the study’s impacts, and to a certain extent still continues now.</w:t>
      </w:r>
      <w:r w:rsidR="00AA0B34">
        <w:t xml:space="preserve"> A broad selection of documentation was therefore available for use in developing the narrative of this chapter.</w:t>
      </w:r>
    </w:p>
    <w:p w14:paraId="03252831" w14:textId="77777777" w:rsidR="00102FF1" w:rsidRDefault="00102FF1" w:rsidP="0063065F"/>
    <w:p w14:paraId="43838C4F" w14:textId="77777777" w:rsidR="00D22CE3" w:rsidRPr="00F10391" w:rsidRDefault="00D22CE3">
      <w:pPr>
        <w:pStyle w:val="Heading3"/>
      </w:pPr>
      <w:bookmarkStart w:id="762" w:name="_Toc476241635"/>
      <w:r w:rsidRPr="00F10391">
        <w:t>7.4.1</w:t>
      </w:r>
      <w:r w:rsidRPr="00F10391">
        <w:tab/>
      </w:r>
      <w:r w:rsidRPr="00F10391">
        <w:tab/>
        <w:t>Establishing decision context</w:t>
      </w:r>
      <w:bookmarkEnd w:id="759"/>
      <w:bookmarkEnd w:id="760"/>
      <w:bookmarkEnd w:id="761"/>
      <w:bookmarkEnd w:id="762"/>
    </w:p>
    <w:p w14:paraId="28AA887F" w14:textId="77777777" w:rsidR="00D22CE3" w:rsidRPr="00F10391" w:rsidRDefault="00D22CE3">
      <w:r w:rsidRPr="00F10391">
        <w:t xml:space="preserve">A narrow range of interventions had been previously offered by the councils, focussed almost entirely on SSS which was based upon the 4-week quit rate. The approaches offered had not improved outcomes in terms of prevalence for a number of years. The choice of interventions used was based upon the best evidence available and statutory guidelines issued by NICE. The Department of Health also expected year-on-year increases in the numbers of quitters achieved. At a time of immense change and increased pressures within public health provision, the </w:t>
      </w:r>
      <w:r w:rsidRPr="00F10391">
        <w:rPr>
          <w:i/>
        </w:rPr>
        <w:t>status quo</w:t>
      </w:r>
      <w:r w:rsidRPr="00F10391">
        <w:t xml:space="preserve"> was no longer felt to be tenable by the TCCs and a new approach was required. To ensure face validity and increased legitimacy amongst stakeholders, a broad range of relevant viewpoints was considered necessary for the process, representing both the general public and experts from a range of settings. Expert opinion is currently used to fill gaps in evidence when producing guidance in the CPH and it was hoped that it could similarly be used in a formal manner suitable to a local government setting.</w:t>
      </w:r>
    </w:p>
    <w:p w14:paraId="314339CB" w14:textId="77777777" w:rsidR="00D22CE3" w:rsidRPr="00F10391" w:rsidRDefault="00D22CE3"/>
    <w:p w14:paraId="7B0CE96C" w14:textId="77777777" w:rsidR="00D22CE3" w:rsidRPr="00F10391" w:rsidRDefault="00D22CE3">
      <w:pPr>
        <w:pStyle w:val="Heading4"/>
      </w:pPr>
      <w:bookmarkStart w:id="763" w:name="_Toc453235466"/>
      <w:bookmarkStart w:id="764" w:name="_Toc453595539"/>
      <w:bookmarkStart w:id="765" w:name="_Toc476241636"/>
      <w:r w:rsidRPr="00F10391">
        <w:t>7.4.1.1</w:t>
      </w:r>
      <w:r w:rsidRPr="00F10391">
        <w:tab/>
      </w:r>
      <w:r w:rsidRPr="00F10391">
        <w:tab/>
        <w:t>Matching MCDA technique with nature of the problem</w:t>
      </w:r>
      <w:bookmarkEnd w:id="763"/>
      <w:bookmarkEnd w:id="764"/>
      <w:bookmarkEnd w:id="765"/>
    </w:p>
    <w:p w14:paraId="3963DBC8" w14:textId="77777777" w:rsidR="00D22CE3" w:rsidRPr="00F10391" w:rsidRDefault="00D22CE3">
      <w:pPr>
        <w:rPr>
          <w:lang w:eastAsia="es-CO"/>
        </w:rPr>
      </w:pPr>
      <w:r w:rsidRPr="00F10391">
        <w:rPr>
          <w:lang w:eastAsia="es-CO"/>
        </w:rPr>
        <w:t xml:space="preserve">Though each MCDA technique has its own advantages and disadvantages, they follow the same steps, invariably identifying explicit criteria, weighting them, valuing the alternative courses of action on the criteria and combining all this information to support prioritisation. The main difference between MCDA methods is the way that this aggregation is carried out </w:t>
      </w:r>
      <w:r w:rsidRPr="00F10391">
        <w:rPr>
          <w:lang w:eastAsia="es-CO"/>
        </w:rPr>
        <w:fldChar w:fldCharType="begin"/>
      </w:r>
      <w:r w:rsidR="00D24504">
        <w:rPr>
          <w:lang w:eastAsia="es-CO"/>
        </w:rPr>
        <w:instrText xml:space="preserve"> ADDIN EN.CITE &lt;EndNote&gt;&lt;Cite&gt;&lt;Author&gt;Reddy&lt;/Author&gt;&lt;Year&gt;In press&lt;/Year&gt;&lt;RecNum&gt;434&lt;/RecNum&gt;&lt;DisplayText&gt;[350]&lt;/DisplayText&gt;&lt;record&gt;&lt;rec-number&gt;434&lt;/rec-number&gt;&lt;foreign-keys&gt;&lt;key app="EN" db-id="sz9092dv2s5fpze9wpgx0zxgv5ar00aezrvf" timestamp="1462378224"&gt;434&lt;/key&gt;&lt;/foreign-keys&gt;&lt;ref-type name="Book Section"&gt;5&lt;/ref-type&gt;&lt;contributors&gt;&lt;authors&gt;&lt;author&gt;Reddy, BP&lt;/author&gt;&lt;author&gt;Thokala, P&lt;/author&gt;&lt;author&gt;Duenas, A&lt;/author&gt;&lt;/authors&gt;&lt;secondary-authors&gt;&lt;author&gt;Kevin Marsh, Praveen Thokala, Rob Baltussen, Mireille Goetghebeur &lt;/author&gt;&lt;/secondary-authors&gt;&lt;/contributors&gt;&lt;titles&gt;&lt;title&gt;MCDA for resource allocation at a local level: an application in the UK&lt;/title&gt;&lt;secondary-title&gt;Multi-criteria decision analysis to support healthcare decisions&lt;/secondary-title&gt;&lt;/titles&gt;&lt;pages&gt;171–194&lt;/pages&gt;&lt;dates&gt;&lt;year&gt;In press&lt;/year&gt;&lt;/dates&gt;&lt;pub-location&gt;Cham&lt;/pub-location&gt;&lt;publisher&gt;Springer&lt;/publisher&gt;&lt;urls&gt;&lt;/urls&gt;&lt;/record&gt;&lt;/Cite&gt;&lt;/EndNote&gt;</w:instrText>
      </w:r>
      <w:r w:rsidRPr="00F10391">
        <w:rPr>
          <w:lang w:eastAsia="es-CO"/>
        </w:rPr>
        <w:fldChar w:fldCharType="separate"/>
      </w:r>
      <w:r w:rsidR="00D24504">
        <w:rPr>
          <w:noProof/>
          <w:lang w:eastAsia="es-CO"/>
        </w:rPr>
        <w:t>[350]</w:t>
      </w:r>
      <w:r w:rsidRPr="00F10391">
        <w:rPr>
          <w:lang w:eastAsia="es-CO"/>
        </w:rPr>
        <w:fldChar w:fldCharType="end"/>
      </w:r>
      <w:r w:rsidRPr="00F10391">
        <w:rPr>
          <w:lang w:eastAsia="es-CO"/>
        </w:rPr>
        <w:t xml:space="preserve">. Techniques operate at different levels of complexity and the use of techniques is partly determined by available time, data and skills. As described in Chapter 2, related approaches range from simple scorecards to aid deliberation to techniques that require computer-based modelling (even if not all will be within the scope of this thesis). </w:t>
      </w:r>
    </w:p>
    <w:p w14:paraId="46F351C3" w14:textId="77777777" w:rsidR="00D22CE3" w:rsidRPr="00F10391" w:rsidRDefault="00D22CE3">
      <w:pPr>
        <w:rPr>
          <w:lang w:eastAsia="es-CO"/>
        </w:rPr>
      </w:pPr>
      <w:r w:rsidRPr="00F10391">
        <w:rPr>
          <w:lang w:eastAsia="es-CO"/>
        </w:rPr>
        <w:t xml:space="preserve">Another aspect of consideration for priority setting is the availability of evidence. Data on the alternatives’ performance on each of the criteria can be gathered in a variety of ways, ranging from evidence synthesis to expert opinions. These include: </w:t>
      </w:r>
    </w:p>
    <w:p w14:paraId="7F9471F7" w14:textId="77777777" w:rsidR="00D22CE3" w:rsidRPr="00F10391" w:rsidRDefault="00D22CE3">
      <w:pPr>
        <w:pStyle w:val="ListParagraph"/>
        <w:numPr>
          <w:ilvl w:val="0"/>
          <w:numId w:val="54"/>
        </w:numPr>
      </w:pPr>
      <w:r w:rsidRPr="00F10391">
        <w:t xml:space="preserve">Evidence synthesis such as the building of economic models. </w:t>
      </w:r>
    </w:p>
    <w:p w14:paraId="7CE4FF8C" w14:textId="77777777" w:rsidR="00D22CE3" w:rsidRPr="00F10391" w:rsidRDefault="00D22CE3">
      <w:pPr>
        <w:pStyle w:val="ListParagraph"/>
        <w:numPr>
          <w:ilvl w:val="1"/>
          <w:numId w:val="54"/>
        </w:numPr>
      </w:pPr>
      <w:r w:rsidRPr="00F10391">
        <w:t>This needs time, resources and specialist skills which might not be available in house;</w:t>
      </w:r>
    </w:p>
    <w:p w14:paraId="782C9092" w14:textId="77777777" w:rsidR="00D22CE3" w:rsidRPr="00F10391" w:rsidRDefault="00D22CE3">
      <w:pPr>
        <w:pStyle w:val="ListParagraph"/>
        <w:numPr>
          <w:ilvl w:val="0"/>
          <w:numId w:val="54"/>
        </w:numPr>
      </w:pPr>
      <w:r w:rsidRPr="00F10391">
        <w:t xml:space="preserve">Internal data collection, such as current patterns of expenditure. </w:t>
      </w:r>
    </w:p>
    <w:p w14:paraId="60B334D6" w14:textId="77777777" w:rsidR="00D22CE3" w:rsidRPr="00F10391" w:rsidRDefault="00D22CE3">
      <w:pPr>
        <w:pStyle w:val="ListParagraph"/>
        <w:numPr>
          <w:ilvl w:val="1"/>
          <w:numId w:val="54"/>
        </w:numPr>
      </w:pPr>
      <w:r w:rsidRPr="00F10391">
        <w:t>However, there may not always be enough information in the organisation regarding the performance of options against the criteria;</w:t>
      </w:r>
    </w:p>
    <w:p w14:paraId="55FEE310" w14:textId="77777777" w:rsidR="00D22CE3" w:rsidRPr="00F10391" w:rsidRDefault="00D22CE3">
      <w:pPr>
        <w:pStyle w:val="ListParagraph"/>
        <w:numPr>
          <w:ilvl w:val="0"/>
          <w:numId w:val="54"/>
        </w:numPr>
      </w:pPr>
      <w:r w:rsidRPr="00F10391">
        <w:t xml:space="preserve">Published evidence, including literature reviews. </w:t>
      </w:r>
    </w:p>
    <w:p w14:paraId="2E59B72D" w14:textId="5A3E5F8B" w:rsidR="00D22CE3" w:rsidRPr="00F10391" w:rsidRDefault="00D22CE3">
      <w:pPr>
        <w:pStyle w:val="ListParagraph"/>
        <w:numPr>
          <w:ilvl w:val="1"/>
          <w:numId w:val="54"/>
        </w:numPr>
      </w:pPr>
      <w:r w:rsidRPr="00F10391">
        <w:t xml:space="preserve">These is quick to use, however, sufficiently relevant literature may not be available (and </w:t>
      </w:r>
      <w:r w:rsidR="001B7ADD">
        <w:t>judgment</w:t>
      </w:r>
      <w:r w:rsidRPr="00F10391">
        <w:t xml:space="preserve"> is required in extrapolating from these);</w:t>
      </w:r>
    </w:p>
    <w:p w14:paraId="42D5156F" w14:textId="389C1189" w:rsidR="00D22CE3" w:rsidRPr="00F10391" w:rsidRDefault="00D22CE3">
      <w:pPr>
        <w:pStyle w:val="ListParagraph"/>
        <w:numPr>
          <w:ilvl w:val="0"/>
          <w:numId w:val="54"/>
        </w:numPr>
      </w:pPr>
      <w:r w:rsidRPr="00F10391">
        <w:t xml:space="preserve">Subjective </w:t>
      </w:r>
      <w:r w:rsidR="001B7ADD">
        <w:t>judgment</w:t>
      </w:r>
      <w:r w:rsidRPr="00F10391">
        <w:t xml:space="preserve">, such as expert input. </w:t>
      </w:r>
    </w:p>
    <w:p w14:paraId="03A4263C" w14:textId="0CCBD8B8" w:rsidR="00D22CE3" w:rsidRPr="00F10391" w:rsidRDefault="00D22CE3">
      <w:pPr>
        <w:pStyle w:val="ListParagraph"/>
        <w:numPr>
          <w:ilvl w:val="1"/>
          <w:numId w:val="54"/>
        </w:numPr>
      </w:pPr>
      <w:r w:rsidRPr="00F10391">
        <w:t xml:space="preserve">This is useful in public health settings where there are insufficient alternatives in terms of evidence. However, the criticism of using subjective opinion rather than objective information remains, and over-reliance on </w:t>
      </w:r>
      <w:r w:rsidR="001B7ADD">
        <w:t>judgment</w:t>
      </w:r>
      <w:r w:rsidRPr="00F10391">
        <w:t xml:space="preserve"> may introduce bias.</w:t>
      </w:r>
    </w:p>
    <w:p w14:paraId="4B5B7648" w14:textId="77777777" w:rsidR="00FA5D35" w:rsidRPr="00F10391" w:rsidRDefault="00FA5D35">
      <w:r w:rsidRPr="00F10391">
        <w:t xml:space="preserve">Other factors also play a role in which approach to choose. Baltussen et al. </w:t>
      </w:r>
      <w:r w:rsidRPr="00F10391">
        <w:fldChar w:fldCharType="begin"/>
      </w:r>
      <w:r w:rsidR="00700267">
        <w:instrText xml:space="preserve"> ADDIN EN.CITE &lt;EndNote&gt;&lt;Cite&gt;&lt;Author&gt;Baltussen&lt;/Author&gt;&lt;Year&gt;2010&lt;/Year&gt;&lt;RecNum&gt;9&lt;/RecNum&gt;&lt;DisplayText&gt;[165]&lt;/DisplayText&gt;&lt;record&gt;&lt;rec-number&gt;9&lt;/rec-number&gt;&lt;foreign-keys&gt;&lt;key app="EN" db-id="sz9092dv2s5fpze9wpgx0zxgv5ar00aezrvf" timestamp="0"&gt;9&lt;/key&gt;&lt;/foreign-keys&gt;&lt;ref-type name="Journal Article"&gt;17&lt;/ref-type&gt;&lt;contributors&gt;&lt;authors&gt;&lt;author&gt;Baltussen, Rob&lt;/author&gt;&lt;author&gt;Youngkong, Sitapon&lt;/author&gt;&lt;author&gt;Paolucci, Francesco&lt;/author&gt;&lt;author&gt;Niessen, Louis&lt;/author&gt;&lt;/authors&gt;&lt;/contributors&gt;&lt;titles&gt;&lt;title&gt;Multi-criteria decision analysis to prioritize health interventions: Capitalizing on first experiences&lt;/title&gt;&lt;secondary-title&gt;Health Policy&lt;/secondary-title&gt;&lt;/titles&gt;&lt;periodical&gt;&lt;full-title&gt;Health Policy&lt;/full-title&gt;&lt;/periodical&gt;&lt;pages&gt;262-264&lt;/pages&gt;&lt;volume&gt;96&lt;/volume&gt;&lt;number&gt;3&lt;/number&gt;&lt;dates&gt;&lt;year&gt;2010&lt;/year&gt;&lt;/dates&gt;&lt;isbn&gt;0168-8510&lt;/isbn&gt;&lt;urls&gt;&lt;related-urls&gt;&lt;url&gt;http://www.healthpolicyjrnl.com/article/S0168-8510(10)00024-2/abstract&lt;/url&gt;&lt;url&gt;http://ac.els-cdn.com/S0168851010000242/1-s2.0-S0168851010000242-main.pdf?_tid=0964ae0c-9359-11e4-be50-00000aab0f26&amp;amp;acdnat=1420297314_a2769ca8c6aa0d2a1c25bfb55722bfe5&lt;/url&gt;&lt;/related-urls&gt;&lt;/urls&gt;&lt;/record&gt;&lt;/Cite&gt;&lt;/EndNote&gt;</w:instrText>
      </w:r>
      <w:r w:rsidRPr="00F10391">
        <w:fldChar w:fldCharType="separate"/>
      </w:r>
      <w:r w:rsidR="00700267">
        <w:rPr>
          <w:noProof/>
        </w:rPr>
        <w:t>[165]</w:t>
      </w:r>
      <w:r w:rsidRPr="00F10391">
        <w:fldChar w:fldCharType="end"/>
      </w:r>
      <w:r w:rsidRPr="00F10391">
        <w:t xml:space="preserve"> argue that PBMA is useful for choosing between a small set of alternatives in a specific context, but that studies that aim to inform prioritisation discussions on a larger scale are better suited to more formal MCDA techniques. </w:t>
      </w:r>
    </w:p>
    <w:p w14:paraId="0ED581A0" w14:textId="77777777" w:rsidR="00FA5D35" w:rsidRPr="00F10391" w:rsidRDefault="00FA5D35">
      <w:r w:rsidRPr="00F10391">
        <w:rPr>
          <w:lang w:eastAsia="es-CO"/>
        </w:rPr>
        <w:t xml:space="preserve">The choice of MCDA method for our study was based on the resource/time constraints, scientific validity and the significance and broader context of the decision problem. </w:t>
      </w:r>
      <w:r w:rsidRPr="00F10391">
        <w:t xml:space="preserve">A standard linear additive MCDA model was chosen as the most appropriate given these issues. This is the most commonly used approach in healthcare </w:t>
      </w:r>
      <w:r w:rsidRPr="00F10391">
        <w:fldChar w:fldCharType="begin"/>
      </w:r>
      <w:r w:rsidR="00700267">
        <w:instrText xml:space="preserve"> ADDIN EN.CITE &lt;EndNote&gt;&lt;Cite&gt;&lt;Author&gt;Marsh&lt;/Author&gt;&lt;Year&gt;2014&lt;/Year&gt;&lt;RecNum&gt;322&lt;/RecNum&gt;&lt;DisplayText&gt;[128]&lt;/DisplayText&gt;&lt;record&gt;&lt;rec-number&gt;322&lt;/rec-number&gt;&lt;foreign-keys&gt;&lt;key app="EN" db-id="sz9092dv2s5fpze9wpgx0zxgv5ar00aezrvf" timestamp="0"&gt;322&lt;/key&gt;&lt;/foreign-keys&gt;&lt;ref-type name="Journal Article"&gt;17&lt;/ref-type&gt;&lt;contributors&gt;&lt;authors&gt;&lt;author&gt;Marsh, Kevin&lt;/author&gt;&lt;author&gt;Lanitis, Tereza&lt;/author&gt;&lt;author&gt;Neasham, David&lt;/author&gt;&lt;author&gt;Orfanos, Panagiotis&lt;/author&gt;&lt;author&gt;Caro, Jaime&lt;/author&gt;&lt;/authors&gt;&lt;/contributors&gt;&lt;titles&gt;&lt;title&gt;Assessing the value of healthcare interventions using multi-criteria decision analysis: a review of the literature&lt;/title&gt;&lt;secondary-title&gt;Pharmacoeconomics&lt;/secondary-title&gt;&lt;/titles&gt;&lt;periodical&gt;&lt;full-title&gt;Pharmacoeconomics&lt;/full-title&gt;&lt;/periodical&gt;&lt;pages&gt;345-365&lt;/pages&gt;&lt;volume&gt;32&lt;/volume&gt;&lt;number&gt;4&lt;/number&gt;&lt;dates&gt;&lt;year&gt;2014&lt;/year&gt;&lt;/dates&gt;&lt;isbn&gt;1170-7690&lt;/isbn&gt;&lt;urls&gt;&lt;related-urls&gt;&lt;url&gt;http://link.springer.com/article/10.1007%2Fs40273-014-0135-0&lt;/url&gt;&lt;/related-urls&gt;&lt;/urls&gt;&lt;/record&gt;&lt;/Cite&gt;&lt;/EndNote&gt;</w:instrText>
      </w:r>
      <w:r w:rsidRPr="00F10391">
        <w:fldChar w:fldCharType="separate"/>
      </w:r>
      <w:r w:rsidR="00700267">
        <w:rPr>
          <w:noProof/>
        </w:rPr>
        <w:t>[128]</w:t>
      </w:r>
      <w:r w:rsidRPr="00F10391">
        <w:fldChar w:fldCharType="end"/>
      </w:r>
      <w:r w:rsidRPr="00F10391">
        <w:t xml:space="preserve">. Swing weighting was used to weight the criteria as it allows for the trade-offs which are inevitable in public health decision prioritisation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xml:space="preserve"> and because such weighting fulfils the theoretical requirements of MCDA </w:t>
      </w:r>
      <w:r w:rsidRPr="00F10391">
        <w:fldChar w:fldCharType="begin"/>
      </w:r>
      <w:r w:rsidR="00700267">
        <w:instrText xml:space="preserve"> ADDIN EN.CITE &lt;EndNote&gt;&lt;Cite&gt;&lt;Author&gt;Belton&lt;/Author&gt;&lt;Year&gt;2002&lt;/Year&gt;&lt;RecNum&gt;12&lt;/RecNum&gt;&lt;DisplayText&gt;[117]&lt;/DisplayText&gt;&lt;record&gt;&lt;rec-number&gt;12&lt;/rec-number&gt;&lt;foreign-keys&gt;&lt;key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fldChar w:fldCharType="separate"/>
      </w:r>
      <w:r w:rsidR="00700267">
        <w:rPr>
          <w:noProof/>
        </w:rPr>
        <w:t>[117]</w:t>
      </w:r>
      <w:r w:rsidRPr="00F10391">
        <w:fldChar w:fldCharType="end"/>
      </w:r>
      <w:r w:rsidRPr="00F10391">
        <w:t xml:space="preserve">. It also has the advantages of being relatively simple to understand compared to other MCDA techniques, allowing easier communication with the DsPH, and in that it allows interventions to be ranked (which is important if more than one intervention is to be chosen, as was the case here). </w:t>
      </w:r>
    </w:p>
    <w:p w14:paraId="2FDA85F5" w14:textId="23A384B2" w:rsidR="000E04E1" w:rsidRPr="00F10391" w:rsidRDefault="000E04E1">
      <w:pPr>
        <w:pStyle w:val="Caption"/>
      </w:pPr>
      <w:bookmarkStart w:id="766" w:name="_Toc476241459"/>
      <w:r w:rsidRPr="00F10391">
        <w:t xml:space="preserve">Figure </w:t>
      </w:r>
      <w:r w:rsidR="000F1034">
        <w:fldChar w:fldCharType="begin"/>
      </w:r>
      <w:r w:rsidR="000F1034">
        <w:instrText xml:space="preserve"> STYLEREF 1 \s </w:instrText>
      </w:r>
      <w:r w:rsidR="000F1034">
        <w:fldChar w:fldCharType="separate"/>
      </w:r>
      <w:r w:rsidR="00B37229">
        <w:rPr>
          <w:noProof/>
        </w:rPr>
        <w:t>7</w:t>
      </w:r>
      <w:r w:rsidR="000F1034">
        <w:rPr>
          <w:noProof/>
        </w:rPr>
        <w:fldChar w:fldCharType="end"/>
      </w:r>
      <w:r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00F10391" w:rsidRPr="00F10391">
        <w:t xml:space="preserve"> - Fi</w:t>
      </w:r>
      <w:r w:rsidRPr="00F10391">
        <w:t>e</w:t>
      </w:r>
      <w:r w:rsidR="00F10391" w:rsidRPr="00F10391">
        <w:t>l</w:t>
      </w:r>
      <w:r w:rsidRPr="00F10391">
        <w:t xml:space="preserve">d showing range of possible MCDA-based approaches, described by </w:t>
      </w:r>
      <w:r w:rsidR="00F10391" w:rsidRPr="00F10391">
        <w:t>evidence</w:t>
      </w:r>
      <w:r w:rsidRPr="00F10391">
        <w:t xml:space="preserve"> requirements and resource/time use (from Reddy et al. </w:t>
      </w:r>
      <w:r w:rsidRPr="00F10391">
        <w:fldChar w:fldCharType="begin"/>
      </w:r>
      <w:r w:rsidR="00D24504">
        <w:instrText xml:space="preserve"> ADDIN EN.CITE &lt;EndNote&gt;&lt;Cite&gt;&lt;Author&gt;Reddy&lt;/Author&gt;&lt;Year&gt;In press&lt;/Year&gt;&lt;RecNum&gt;434&lt;/RecNum&gt;&lt;DisplayText&gt;[350]&lt;/DisplayText&gt;&lt;record&gt;&lt;rec-number&gt;434&lt;/rec-number&gt;&lt;foreign-keys&gt;&lt;key app="EN" db-id="sz9092dv2s5fpze9wpgx0zxgv5ar00aezrvf" timestamp="1462378224"&gt;434&lt;/key&gt;&lt;/foreign-keys&gt;&lt;ref-type name="Book Section"&gt;5&lt;/ref-type&gt;&lt;contributors&gt;&lt;authors&gt;&lt;author&gt;Reddy, BP&lt;/author&gt;&lt;author&gt;Thokala, P&lt;/author&gt;&lt;author&gt;Duenas, A&lt;/author&gt;&lt;/authors&gt;&lt;secondary-authors&gt;&lt;author&gt;Kevin Marsh, Praveen Thokala, Rob Baltussen, Mireille Goetghebeur &lt;/author&gt;&lt;/secondary-authors&gt;&lt;/contributors&gt;&lt;titles&gt;&lt;title&gt;MCDA for resource allocation at a local level: an application in the UK&lt;/title&gt;&lt;secondary-title&gt;Multi-criteria decision analysis to support healthcare decisions&lt;/secondary-title&gt;&lt;/titles&gt;&lt;pages&gt;171–194&lt;/pages&gt;&lt;dates&gt;&lt;year&gt;In press&lt;/year&gt;&lt;/dates&gt;&lt;pub-location&gt;Cham&lt;/pub-location&gt;&lt;publisher&gt;Springer&lt;/publisher&gt;&lt;urls&gt;&lt;/urls&gt;&lt;/record&gt;&lt;/Cite&gt;&lt;/EndNote&gt;</w:instrText>
      </w:r>
      <w:r w:rsidRPr="00F10391">
        <w:fldChar w:fldCharType="separate"/>
      </w:r>
      <w:r w:rsidR="00D24504">
        <w:rPr>
          <w:noProof/>
        </w:rPr>
        <w:t>[350]</w:t>
      </w:r>
      <w:r w:rsidRPr="00F10391">
        <w:fldChar w:fldCharType="end"/>
      </w:r>
      <w:r w:rsidRPr="00F10391">
        <w:t>)</w:t>
      </w:r>
      <w:bookmarkEnd w:id="766"/>
    </w:p>
    <w:p w14:paraId="6D51CFA2" w14:textId="77777777" w:rsidR="00D22CE3" w:rsidRPr="00F10391" w:rsidRDefault="00D22CE3">
      <w:pPr>
        <w:rPr>
          <w:lang w:eastAsia="es-CO"/>
        </w:rPr>
      </w:pPr>
      <w:r w:rsidRPr="00F10391">
        <w:rPr>
          <w:noProof/>
          <w:lang w:val="en-IE" w:eastAsia="en-IE"/>
        </w:rPr>
        <w:drawing>
          <wp:inline distT="0" distB="0" distL="0" distR="0" wp14:anchorId="31E2FDB0" wp14:editId="6C2B2193">
            <wp:extent cx="5276850" cy="3295650"/>
            <wp:effectExtent l="0" t="0" r="0"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76976C90" w14:textId="77777777" w:rsidR="00D22CE3" w:rsidRPr="00F10391" w:rsidRDefault="00D22CE3">
      <w:pPr>
        <w:rPr>
          <w:lang w:eastAsia="es-CO"/>
        </w:rPr>
      </w:pPr>
    </w:p>
    <w:p w14:paraId="2A2CD41D" w14:textId="77777777" w:rsidR="00D22CE3" w:rsidRPr="00F10391" w:rsidRDefault="00D22CE3">
      <w:pPr>
        <w:rPr>
          <w:lang w:eastAsia="es-CO"/>
        </w:rPr>
      </w:pPr>
      <w:r w:rsidRPr="00F10391">
        <w:t xml:space="preserve">Scoring was performed using direct rating as they were elicited from the expert group.  An emphasis was placed on achieving consensus by bringing stakeholders together at a meeting to debate and score topics, thus encouraging their understanding of the final decision and increasing their ‘buy-in’ </w:t>
      </w:r>
      <w:r w:rsidRPr="00F10391">
        <w:fldChar w:fldCharType="begin"/>
      </w:r>
      <w:r w:rsidR="00700267">
        <w:instrText xml:space="preserve"> ADDIN EN.CITE &lt;EndNote&gt;&lt;Cite&gt;&lt;Author&gt;Phillips&lt;/Author&gt;&lt;Year&gt;2007&lt;/Year&gt;&lt;RecNum&gt;374&lt;/RecNum&gt;&lt;DisplayText&gt;[23]&lt;/DisplayText&gt;&lt;record&gt;&lt;rec-number&gt;374&lt;/rec-number&gt;&lt;foreign-keys&gt;&lt;key app="EN" db-id="sz9092dv2s5fpze9wpgx0zxgv5ar00aezrvf" timestamp="1456335596"&gt;374&lt;/key&gt;&lt;/foreign-keys&gt;&lt;ref-type name="Book Section"&gt;5&lt;/ref-type&gt;&lt;contributors&gt;&lt;authors&gt;&lt;author&gt;Phillips, Larry&lt;/author&gt;&lt;/authors&gt;&lt;secondary-authors&gt;&lt;author&gt;Edwards, Ward&lt;/author&gt;&lt;author&gt;Miles Jr, Ralph F&lt;/author&gt;&lt;author&gt;Von Winterfeldt, Detlof&lt;/author&gt;&lt;/secondary-authors&gt;&lt;/contributors&gt;&lt;titles&gt;&lt;title&gt;Decision conferencing&lt;/title&gt;&lt;secondary-title&gt;Advances in decision analysis: from foundations to applications&lt;/secondary-title&gt;&lt;/titles&gt;&lt;section&gt;19&lt;/section&gt;&lt;dates&gt;&lt;year&gt;2007&lt;/year&gt;&lt;/dates&gt;&lt;publisher&gt;Cambridge University Press&lt;/publisher&gt;&lt;isbn&gt;1139466127&lt;/isbn&gt;&lt;urls&gt;&lt;/urls&gt;&lt;/record&gt;&lt;/Cite&gt;&lt;/EndNote&gt;</w:instrText>
      </w:r>
      <w:r w:rsidRPr="00F10391">
        <w:fldChar w:fldCharType="separate"/>
      </w:r>
      <w:r w:rsidR="00700267">
        <w:rPr>
          <w:noProof/>
        </w:rPr>
        <w:t>[23]</w:t>
      </w:r>
      <w:r w:rsidRPr="00F10391">
        <w:fldChar w:fldCharType="end"/>
      </w:r>
      <w:r w:rsidRPr="00F10391">
        <w:t xml:space="preserve">. Approaches that are typically carried out by individuals, such as DCE – rather than those that required discussion and cooperation - were not considered appropriate on this basis. Only one half day was available to bring together the expert group. Thus, we chose a simple approach. Previous experience from the pilot reported in Chapter 6 had suggested that the analytic hierarchy process may be too slow-moving for such a large group </w:t>
      </w:r>
      <w:r w:rsidRPr="00F10391">
        <w:fldChar w:fldCharType="begin"/>
      </w:r>
      <w:r w:rsidR="00D24504">
        <w:instrText xml:space="preserve"> ADDIN EN.CITE &lt;EndNote&gt;&lt;Cite&gt;&lt;Author&gt;Reddy&lt;/Author&gt;&lt;Year&gt;2014&lt;/Year&gt;&lt;RecNum&gt;166&lt;/RecNum&gt;&lt;DisplayText&gt;[337]&lt;/DisplayText&gt;&lt;record&gt;&lt;rec-number&gt;166&lt;/rec-number&gt;&lt;foreign-keys&gt;&lt;key app="EN" db-id="sz9092dv2s5fpze9wpgx0zxgv5ar00aezrvf" timestamp="0"&gt;166&lt;/key&gt;&lt;/foreign-keys&gt;&lt;ref-type name="Journal Article"&gt;17&lt;/ref-type&gt;&lt;contributors&gt;&lt;authors&gt;&lt;author&gt;Reddy, BP&lt;/author&gt;&lt;author&gt;Kelly, MP&lt;/author&gt;&lt;author&gt;Thokala, P&lt;/author&gt;&lt;author&gt;Walters, SJ&lt;/author&gt;&lt;author&gt;Duenas, A&lt;/author&gt;&lt;/authors&gt;&lt;/contributors&gt;&lt;titles&gt;&lt;title&gt;Prioritising public health guidance topics in the National Institute for Health and Care Excellence using the Analytic Hierarchy Process&lt;/title&gt;&lt;secondary-title&gt;Public health&lt;/secondary-title&gt;&lt;/titles&gt;&lt;pages&gt;896-903&lt;/pages&gt;&lt;volume&gt;128&lt;/volume&gt;&lt;number&gt;10&lt;/number&gt;&lt;dates&gt;&lt;year&gt;2014&lt;/year&gt;&lt;/dates&gt;&lt;isbn&gt;0033-3506&lt;/isbn&gt;&lt;urls&gt;&lt;related-urls&gt;&lt;url&gt;http://www.publichealthjrnl.com/article/S0033-3506(14)00184-X/pdf&lt;/url&gt;&lt;/related-urls&gt;&lt;/urls&gt;&lt;/record&gt;&lt;/Cite&gt;&lt;/EndNote&gt;</w:instrText>
      </w:r>
      <w:r w:rsidRPr="00F10391">
        <w:fldChar w:fldCharType="separate"/>
      </w:r>
      <w:r w:rsidR="00D24504">
        <w:rPr>
          <w:noProof/>
        </w:rPr>
        <w:t>[337]</w:t>
      </w:r>
      <w:r w:rsidRPr="00F10391">
        <w:fldChar w:fldCharType="end"/>
      </w:r>
      <w:r w:rsidRPr="00F10391">
        <w:t xml:space="preserve"> – especially given the higher number of numbers of interventions and criteria to be considered - and was therefore not used. The total scores were calculated for each intervention, using a simple weighted sum method, which were then used to prioritise among the interventions.</w:t>
      </w:r>
    </w:p>
    <w:p w14:paraId="5CA87323" w14:textId="77777777" w:rsidR="00D22CE3" w:rsidRPr="00F10391" w:rsidRDefault="00D22CE3">
      <w:pPr>
        <w:pStyle w:val="Heading4"/>
      </w:pPr>
      <w:bookmarkStart w:id="767" w:name="_Toc453235467"/>
      <w:bookmarkStart w:id="768" w:name="_Toc453595540"/>
      <w:bookmarkStart w:id="769" w:name="_Toc476241637"/>
      <w:bookmarkStart w:id="770" w:name="_Toc441509025"/>
      <w:r w:rsidRPr="00F10391">
        <w:t xml:space="preserve">7.4.1.2 </w:t>
      </w:r>
      <w:r w:rsidRPr="00F10391">
        <w:tab/>
        <w:t>Identification of relevant stakeholders</w:t>
      </w:r>
      <w:bookmarkEnd w:id="767"/>
      <w:bookmarkEnd w:id="768"/>
      <w:bookmarkEnd w:id="769"/>
    </w:p>
    <w:p w14:paraId="4555E1CD" w14:textId="77777777" w:rsidR="00D22CE3" w:rsidRPr="00F10391" w:rsidRDefault="00D22CE3">
      <w:pPr>
        <w:rPr>
          <w:rFonts w:eastAsia="Times New Roman" w:cs="Times New Roman"/>
          <w:bCs/>
          <w:color w:val="000000"/>
          <w:lang w:eastAsia="es-CO"/>
        </w:rPr>
      </w:pPr>
      <w:r w:rsidRPr="00F10391">
        <w:t xml:space="preserve">Another major distinction between the previously outlined approaches is in terms of choosing who will be included as part of the decision-making process. DCE facilitates large numbers of people to be involved independently of each other and for general conclusions to be drawn on this basis. Star, option appraisal and PBMA, use a Delphi-style deliberative process, effectively necessitating that only a small number of decision-makers are involved, to allow them to converge on a single answer. </w:t>
      </w:r>
    </w:p>
    <w:p w14:paraId="0AC45862" w14:textId="77777777" w:rsidR="00D22CE3" w:rsidRPr="00F10391" w:rsidRDefault="00D22CE3">
      <w:r w:rsidRPr="00F10391">
        <w:t xml:space="preserve">The Tobacco Control Commissioners identified an expert steering group made up of a wide variety of stakeholders to the prioritisation process. These stakeholders came from a range of relevant settings with a role to play in reducing tobacco consumption, including specialities such as current stop smoking providers, midwifery, elected councillors, the fire service and a local chamber of commerce. This allowed for a fuller spectrum of views to be included and potentially increased the legitimacy of the findings, as practically all relevant parties were represented in the process. </w:t>
      </w:r>
    </w:p>
    <w:p w14:paraId="297F5216" w14:textId="77777777" w:rsidR="00D22CE3" w:rsidRPr="00F10391" w:rsidRDefault="00D22CE3"/>
    <w:p w14:paraId="147CEF76" w14:textId="77777777" w:rsidR="00D22CE3" w:rsidRPr="00F10391" w:rsidRDefault="00D22CE3">
      <w:pPr>
        <w:pStyle w:val="Heading3"/>
      </w:pPr>
      <w:bookmarkStart w:id="771" w:name="_Toc453235468"/>
      <w:bookmarkStart w:id="772" w:name="_Toc453595541"/>
      <w:bookmarkStart w:id="773" w:name="_Toc476241638"/>
      <w:r w:rsidRPr="00F10391">
        <w:t>7.4.2</w:t>
      </w:r>
      <w:r w:rsidRPr="00F10391">
        <w:tab/>
      </w:r>
      <w:r w:rsidRPr="00F10391">
        <w:tab/>
        <w:t>Choice of interventions to consider</w:t>
      </w:r>
      <w:bookmarkEnd w:id="770"/>
      <w:bookmarkEnd w:id="771"/>
      <w:bookmarkEnd w:id="772"/>
      <w:bookmarkEnd w:id="773"/>
    </w:p>
    <w:p w14:paraId="17FB30B3" w14:textId="541672F4" w:rsidR="00D22CE3" w:rsidRPr="00F10391" w:rsidRDefault="00D22CE3">
      <w:r w:rsidRPr="00F10391">
        <w:t xml:space="preserve">Fifteen interventions were examined, chosen to represent a broad range of potential techniques. Five of the six strands advocated by the World Health Organisation </w:t>
      </w:r>
      <w:r w:rsidRPr="00F10391">
        <w:fldChar w:fldCharType="begin"/>
      </w:r>
      <w:r w:rsidR="00D24504">
        <w:instrText xml:space="preserve"> ADDIN EN.CITE &lt;EndNote&gt;&lt;Cite ExcludeAuth="1"&gt;&lt;Author&gt;Organization&lt;/Author&gt;&lt;Year&gt;2003&lt;/Year&gt;&lt;RecNum&gt;266&lt;/RecNum&gt;&lt;DisplayText&gt;[356]&lt;/DisplayText&gt;&lt;record&gt;&lt;rec-number&gt;266&lt;/rec-number&gt;&lt;foreign-keys&gt;&lt;key app="EN" db-id="sz9092dv2s5fpze9wpgx0zxgv5ar00aezrvf" timestamp="0"&gt;266&lt;/key&gt;&lt;/foreign-keys&gt;&lt;ref-type name="Report"&gt;27&lt;/ref-type&gt;&lt;contributors&gt;&lt;authors&gt;&lt;author&gt;World Health Organization,&lt;/author&gt;&lt;/authors&gt;&lt;/contributors&gt;&lt;titles&gt;&lt;title&gt;WHO framework convention on tobacco control. &lt;/title&gt;&lt;/titles&gt;&lt;volume&gt;A56/8&lt;/volume&gt;&lt;dates&gt;&lt;year&gt;2003&lt;/year&gt;&lt;/dates&gt;&lt;pub-location&gt;Geneva&lt;/pub-location&gt;&lt;publisher&gt;WHO&lt;/publisher&gt;&lt;urls&gt;&lt;related-urls&gt;&lt;url&gt;www.who.int/gb/EB_WHA/PDF/WHA56/ea568.pdf&lt;/url&gt;&lt;/related-urls&gt;&lt;/urls&gt;&lt;/record&gt;&lt;/Cite&gt;&lt;Cite ExcludeAuth="1"&gt;&lt;Author&gt;Organization&lt;/Author&gt;&lt;Year&gt;2003&lt;/Year&gt;&lt;RecNum&gt;266&lt;/RecNum&gt;&lt;record&gt;&lt;rec-number&gt;266&lt;/rec-number&gt;&lt;foreign-keys&gt;&lt;key app="EN" db-id="sz9092dv2s5fpze9wpgx0zxgv5ar00aezrvf" timestamp="0"&gt;266&lt;/key&gt;&lt;/foreign-keys&gt;&lt;ref-type name="Report"&gt;27&lt;/ref-type&gt;&lt;contributors&gt;&lt;authors&gt;&lt;author&gt;World Health Organization,&lt;/author&gt;&lt;/authors&gt;&lt;/contributors&gt;&lt;titles&gt;&lt;title&gt;WHO framework convention on tobacco control. &lt;/title&gt;&lt;/titles&gt;&lt;volume&gt;A56/8&lt;/volume&gt;&lt;dates&gt;&lt;year&gt;2003&lt;/year&gt;&lt;/dates&gt;&lt;pub-location&gt;Geneva&lt;/pub-location&gt;&lt;publisher&gt;WHO&lt;/publisher&gt;&lt;urls&gt;&lt;related-urls&gt;&lt;url&gt;www.who.int/gb/EB_WHA/PDF/WHA56/ea568.pdf&lt;/url&gt;&lt;/related-urls&gt;&lt;/urls&gt;&lt;/record&gt;&lt;/Cite&gt;&lt;/EndNote&gt;</w:instrText>
      </w:r>
      <w:r w:rsidRPr="00F10391">
        <w:fldChar w:fldCharType="separate"/>
      </w:r>
      <w:r w:rsidR="00D24504">
        <w:rPr>
          <w:noProof/>
        </w:rPr>
        <w:t>[356]</w:t>
      </w:r>
      <w:r w:rsidRPr="00F10391">
        <w:fldChar w:fldCharType="end"/>
      </w:r>
      <w:r w:rsidRPr="00F10391">
        <w:t xml:space="preserve"> and the UK government </w:t>
      </w:r>
      <w:r w:rsidRPr="00F10391">
        <w:fldChar w:fldCharType="begin"/>
      </w:r>
      <w:r w:rsidR="00D24504">
        <w:instrText xml:space="preserve"> ADDIN EN.CITE &lt;EndNote&gt;&lt;Cite&gt;&lt;Author&gt;UK Government&lt;/Author&gt;&lt;Year&gt;2010&lt;/Year&gt;&lt;RecNum&gt;35&lt;/RecNum&gt;&lt;DisplayText&gt;[353]&lt;/DisplayText&gt;&lt;record&gt;&lt;rec-number&gt;35&lt;/rec-number&gt;&lt;foreign-keys&gt;&lt;key app="EN" db-id="sz9092dv2s5fpze9wpgx0zxgv5ar00aezrvf" timestamp="0"&gt;35&lt;/key&gt;&lt;/foreign-keys&gt;&lt;ref-type name="Report"&gt;27&lt;/ref-type&gt;&lt;contributors&gt;&lt;authors&gt;&lt;author&gt;UK Government,&lt;/author&gt;&lt;/authors&gt;&lt;/contributors&gt;&lt;titles&gt;&lt;title&gt;Healthy lives, healthy people: our strategy for public health in England&lt;/title&gt;&lt;/titles&gt;&lt;dates&gt;&lt;year&gt;2010&lt;/year&gt;&lt;/dates&gt;&lt;publisher&gt;Stationery Office (Great Britain)&lt;/publisher&gt;&lt;isbn&gt;0101798520&lt;/isbn&gt;&lt;urls&gt;&lt;/urls&gt;&lt;/record&gt;&lt;/Cite&gt;&lt;Cite&gt;&lt;Author&gt;UK Government&lt;/Author&gt;&lt;Year&gt;2010&lt;/Year&gt;&lt;RecNum&gt;35&lt;/RecNum&gt;&lt;record&gt;&lt;rec-number&gt;35&lt;/rec-number&gt;&lt;foreign-keys&gt;&lt;key app="EN" db-id="sz9092dv2s5fpze9wpgx0zxgv5ar00aezrvf" timestamp="0"&gt;35&lt;/key&gt;&lt;/foreign-keys&gt;&lt;ref-type name="Report"&gt;27&lt;/ref-type&gt;&lt;contributors&gt;&lt;authors&gt;&lt;author&gt;UK Government,&lt;/author&gt;&lt;/authors&gt;&lt;/contributors&gt;&lt;titles&gt;&lt;title&gt;Healthy lives, healthy people: our strategy for public health in England&lt;/title&gt;&lt;/titles&gt;&lt;dates&gt;&lt;year&gt;2010&lt;/year&gt;&lt;/dates&gt;&lt;publisher&gt;Stationery Office (Great Britain)&lt;/publisher&gt;&lt;isbn&gt;0101798520&lt;/isbn&gt;&lt;urls&gt;&lt;/urls&gt;&lt;/record&gt;&lt;/Cite&gt;&lt;/EndNote&gt;</w:instrText>
      </w:r>
      <w:r w:rsidRPr="00F10391">
        <w:fldChar w:fldCharType="separate"/>
      </w:r>
      <w:r w:rsidR="00D24504">
        <w:rPr>
          <w:noProof/>
        </w:rPr>
        <w:t>[353]</w:t>
      </w:r>
      <w:r w:rsidRPr="00F10391">
        <w:fldChar w:fldCharType="end"/>
      </w:r>
      <w:r w:rsidRPr="00F10391">
        <w:t xml:space="preserve"> to overcome practical barriers in tobacco control were included, and are shown in the first column of Table 7.2</w:t>
      </w:r>
      <w:r w:rsidRPr="00F10391">
        <w:rPr>
          <w:rStyle w:val="FootnoteReference"/>
        </w:rPr>
        <w:footnoteReference w:id="8"/>
      </w:r>
      <w:r w:rsidRPr="00F10391">
        <w:t xml:space="preserve">. SSS were investigated alongside other interventions to allow direct comparison and in the hope that a more effective holistic approach might emerge. There are potentially a limitless number of interventions available at various levels of investment, and MCDA techniques could not investigate every such intervention in practice. Given the findings would still be subject to political factors and subject to the </w:t>
      </w:r>
      <w:r w:rsidR="001B7ADD">
        <w:t>judgment</w:t>
      </w:r>
      <w:r w:rsidRPr="00F10391">
        <w:t xml:space="preserve"> of the DPH, the list was intended to be broad and representative rather than comprehensive. 3-4 page business cases for each intervention were prepared, giving a broad outline of how the intervention would likely be implemented in practice and written in language accessible to all stakeholders.</w:t>
      </w:r>
    </w:p>
    <w:p w14:paraId="1A880AA9" w14:textId="77777777" w:rsidR="00582388" w:rsidRDefault="00582388" w:rsidP="00CB2E60">
      <w:bookmarkStart w:id="774" w:name="_Toc283984222"/>
      <w:bookmarkStart w:id="775" w:name="_Toc444180802"/>
    </w:p>
    <w:p w14:paraId="700DC1BE" w14:textId="77777777" w:rsidR="00582388" w:rsidRPr="00F10391" w:rsidRDefault="00582388" w:rsidP="00582388">
      <w:pPr>
        <w:pStyle w:val="Heading3"/>
      </w:pPr>
      <w:bookmarkStart w:id="776" w:name="_Toc476241639"/>
      <w:r w:rsidRPr="00F10391">
        <w:t>7.4.3</w:t>
      </w:r>
      <w:r w:rsidRPr="00F10391">
        <w:tab/>
      </w:r>
      <w:r w:rsidRPr="00F10391">
        <w:tab/>
        <w:t>Choosing relevant criteria</w:t>
      </w:r>
      <w:bookmarkEnd w:id="776"/>
    </w:p>
    <w:p w14:paraId="5ACE99BF" w14:textId="1CDDFBE4" w:rsidR="00582388" w:rsidRPr="00F10391" w:rsidRDefault="00582388" w:rsidP="00582388">
      <w:r w:rsidRPr="00F10391">
        <w:t xml:space="preserve">Identifying relevant criteria for comparison of interventions “requires considering the underlying reasons for the organisation’s existence, and the core values that the organisation serves” </w:t>
      </w:r>
      <w:r w:rsidRPr="00F10391">
        <w:fldChar w:fldCharType="begin"/>
      </w:r>
      <w:r>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Pr>
          <w:noProof/>
        </w:rPr>
        <w:t>[125]</w:t>
      </w:r>
      <w:r w:rsidRPr="00F10391">
        <w:fldChar w:fldCharType="end"/>
      </w:r>
      <w:r>
        <w:t xml:space="preserve"> (p.57)</w:t>
      </w:r>
      <w:r w:rsidRPr="00F10391">
        <w:t xml:space="preserve"> and is potentially the most important part of the process. The first attempts to identify suitable criteria were carried out through public consultation. Workshops were set up to engage with volunteers from the public in 3 of the 4 boroughs to discuss a series of potential interventions and describe why they would prefer investment in one rather than another. Around 4 people participated in each workshop, and participants were there as volunteers. Those present were shown vignettes of two possible interventions and asked which they would prefer if they could only choose one, and why. This process was used to identify which criteria they used, and how important they felt each criterion was.</w:t>
      </w:r>
    </w:p>
    <w:p w14:paraId="42ED1AD0" w14:textId="77777777" w:rsidR="00582388" w:rsidRPr="00F10391" w:rsidRDefault="00582388" w:rsidP="00582388">
      <w:r w:rsidRPr="00F10391">
        <w:t>A list of the criteria derived were sent out to the expert group for comment and ranking and were subsequently revised. These steps were non-binding, but were used to inform the subsequent debate on which criteria and weightings to use.</w:t>
      </w:r>
    </w:p>
    <w:p w14:paraId="1D2A8305" w14:textId="77777777" w:rsidR="00582388" w:rsidRPr="00F10391" w:rsidRDefault="00582388" w:rsidP="00582388">
      <w:r w:rsidRPr="00F10391">
        <w:t xml:space="preserve">A number of iterations were required to arrive at the final workable set of criteria. Some criteria that were likely to be highly related had to be removed or revised to avoid double counting, which might have introduced bias to the results. This process took some time, but once consensus was reached it was felt to have been a valuable exercise in both building a shared understanding of what makes an intervention worthwhile and in identifying underlying goals of the tobacco programmes across the five strands. Overall six headline criteria were identified, shown in Table 7.3.  </w:t>
      </w:r>
    </w:p>
    <w:p w14:paraId="02F1080C" w14:textId="200B8F77" w:rsidR="00582388" w:rsidRPr="00F10391" w:rsidRDefault="00582388" w:rsidP="00582388">
      <w:r w:rsidRPr="00F10391">
        <w:t xml:space="preserve">For a number of reasons, these were by necessity defined quite broadly, as themes to be considered as part of the discussions. It was difficult to be clear on the consensus as to which criteria should be included, as the earlier stages had been carried out through correspondence. The lack of clear, quantitative data, made the identification of suitable proxy variables difficult. This was justified by the fact that the results of the MCDA model were intended only to be indicative to the DsPH, rather than conclusive, and further </w:t>
      </w:r>
      <w:r w:rsidR="001B7ADD">
        <w:t>judgment</w:t>
      </w:r>
      <w:r w:rsidRPr="00F10391">
        <w:t xml:space="preserve"> was inevitably going to be required regardless afterwards</w:t>
      </w:r>
      <w:r>
        <w:t>, both from the DsPH and subsequently the local councillors responsible for rubber-stamping decisions</w:t>
      </w:r>
      <w:r w:rsidRPr="00F10391">
        <w:t xml:space="preserve">. While these themes ensured that a roadmap could be followed so that relevant issues could be addressed in the discussion at the decision conference through expert </w:t>
      </w:r>
      <w:r w:rsidR="001B7ADD">
        <w:t>judgment</w:t>
      </w:r>
      <w:r w:rsidRPr="00F10391">
        <w:t>, in an ideal world it would certainly have been better to define them more clearly.</w:t>
      </w:r>
    </w:p>
    <w:p w14:paraId="66568873" w14:textId="77777777" w:rsidR="00CE299C" w:rsidRDefault="00CE299C" w:rsidP="00CE299C">
      <w:r w:rsidRPr="00F10391">
        <w:t xml:space="preserve">The “Value for money” criterion perhaps merits special attention at this point. It represented whether or not it was likely to work, acceptability of its budget impact and the number of people who would likely benefit if it were implemented. It was only in hindsight that </w:t>
      </w:r>
      <w:r>
        <w:t>its</w:t>
      </w:r>
      <w:r w:rsidRPr="00F10391">
        <w:t xml:space="preserve"> title appeared to indicate that the criterion related to cost-effectiveness. </w:t>
      </w:r>
      <w:r>
        <w:t xml:space="preserve">The form used in correspondence to elicit weights from </w:t>
      </w:r>
      <w:r w:rsidRPr="00494A9A">
        <w:t>stakeholders</w:t>
      </w:r>
      <w:r>
        <w:t xml:space="preserve"> was clear in highlighting the relevant considerations under each headline criterion, using identical wording to those given below in Table 7.3. </w:t>
      </w:r>
      <w:r w:rsidRPr="00F10391">
        <w:t xml:space="preserve">Definitions of criteria were </w:t>
      </w:r>
      <w:r>
        <w:t xml:space="preserve">again </w:t>
      </w:r>
      <w:r w:rsidRPr="00F10391">
        <w:t>shown to stakeholders as they discussed the interventions</w:t>
      </w:r>
      <w:r>
        <w:t xml:space="preserve"> at the decision conference itself (alongside a warning that the “value for money” criterion should not be misinterpreted)</w:t>
      </w:r>
      <w:r w:rsidRPr="00F10391">
        <w:t xml:space="preserve"> and </w:t>
      </w:r>
      <w:r>
        <w:t xml:space="preserve">there did not appear to be any problems arising from this on the day. Clearly however, in hindsight, </w:t>
      </w:r>
      <w:r w:rsidRPr="00F10391">
        <w:t xml:space="preserve">the title </w:t>
      </w:r>
      <w:r>
        <w:t>c</w:t>
      </w:r>
      <w:r w:rsidRPr="00F10391">
        <w:t>ould still have been chosen more carefully.</w:t>
      </w:r>
    </w:p>
    <w:p w14:paraId="73CE74CB" w14:textId="77777777" w:rsidR="00D22CE3" w:rsidRPr="00F10391" w:rsidRDefault="00D22CE3" w:rsidP="0063065F">
      <w:pPr>
        <w:rPr>
          <w:rFonts w:ascii="Charter Roman" w:hAnsi="Charter Roman"/>
          <w:sz w:val="20"/>
          <w:szCs w:val="20"/>
          <w:lang w:eastAsia="en-US"/>
        </w:rPr>
      </w:pPr>
      <w:r w:rsidRPr="00F10391">
        <w:br w:type="page"/>
      </w:r>
    </w:p>
    <w:bookmarkEnd w:id="774"/>
    <w:bookmarkEnd w:id="775"/>
    <w:p w14:paraId="5263980B" w14:textId="77777777" w:rsidR="00D22CE3" w:rsidRPr="00F10391" w:rsidRDefault="00D22CE3" w:rsidP="00494A9A">
      <w:pPr>
        <w:pStyle w:val="Caption"/>
      </w:pPr>
    </w:p>
    <w:p w14:paraId="51CCB7FC" w14:textId="77777777" w:rsidR="00D22CE3" w:rsidRPr="00F10391" w:rsidRDefault="00D22CE3" w:rsidP="00494A9A">
      <w:pPr>
        <w:pStyle w:val="Caption"/>
        <w:sectPr w:rsidR="00D22CE3" w:rsidRPr="00F10391" w:rsidSect="00D22CE3">
          <w:footerReference w:type="default" r:id="rId43"/>
          <w:footnotePr>
            <w:numFmt w:val="lowerRoman"/>
          </w:footnotePr>
          <w:pgSz w:w="11906" w:h="16838" w:code="9"/>
          <w:pgMar w:top="1440" w:right="1440" w:bottom="1440" w:left="1440" w:header="708" w:footer="708" w:gutter="0"/>
          <w:cols w:space="708"/>
          <w:docGrid w:linePitch="360"/>
        </w:sectPr>
      </w:pPr>
      <w:r w:rsidRPr="00F10391">
        <w:rPr>
          <w:noProof/>
          <w:lang w:val="en-IE" w:eastAsia="en-IE"/>
        </w:rPr>
        <mc:AlternateContent>
          <mc:Choice Requires="wps">
            <w:drawing>
              <wp:anchor distT="45720" distB="45720" distL="114300" distR="114300" simplePos="0" relativeHeight="251664384" behindDoc="0" locked="0" layoutInCell="1" allowOverlap="1" wp14:anchorId="4DB40009" wp14:editId="0D722806">
                <wp:simplePos x="0" y="0"/>
                <wp:positionH relativeFrom="column">
                  <wp:posOffset>-3890645</wp:posOffset>
                </wp:positionH>
                <wp:positionV relativeFrom="paragraph">
                  <wp:posOffset>3987165</wp:posOffset>
                </wp:positionV>
                <wp:extent cx="8314055" cy="254635"/>
                <wp:effectExtent l="0" t="8890" r="190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14055" cy="254635"/>
                        </a:xfrm>
                        <a:prstGeom prst="rect">
                          <a:avLst/>
                        </a:prstGeom>
                        <a:solidFill>
                          <a:srgbClr val="FFFFFF"/>
                        </a:solidFill>
                        <a:ln w="9525">
                          <a:noFill/>
                          <a:miter lim="800000"/>
                          <a:headEnd/>
                          <a:tailEnd/>
                        </a:ln>
                      </wps:spPr>
                      <wps:txbx>
                        <w:txbxContent>
                          <w:p w14:paraId="0EB4D532" w14:textId="0DF03BB9" w:rsidR="0063065F" w:rsidRPr="0027309F" w:rsidRDefault="0063065F" w:rsidP="00494A9A">
                            <w:bookmarkStart w:id="777" w:name="_Toc476241439"/>
                            <w:r w:rsidRPr="0027309F">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rsidRPr="0027309F">
                              <w:t xml:space="preserve"> – Interventions considered to reduce tobacco prevalence, and brief description (continued overleaf)</w:t>
                            </w:r>
                            <w:bookmarkEnd w:id="7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40009" id="_x0000_s1031" type="#_x0000_t202" style="position:absolute;left:0;text-align:left;margin-left:-306.35pt;margin-top:313.95pt;width:654.65pt;height:20.05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" stroked="f">
                <v:textbox>
                  <w:txbxContent>
                    <w:p w14:paraId="0EB4D532" w14:textId="0DF03BB9" w:rsidR="0063065F" w:rsidRPr="0027309F" w:rsidRDefault="0063065F" w:rsidP="00494A9A">
                      <w:bookmarkStart w:id="783" w:name="_Toc476241439"/>
                      <w:r w:rsidRPr="0027309F">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rsidRPr="0027309F">
                        <w:t xml:space="preserve"> – Interventions considered to reduce tobacco prevalence, and brief description (continued overleaf)</w:t>
                      </w:r>
                      <w:bookmarkEnd w:id="783"/>
                    </w:p>
                  </w:txbxContent>
                </v:textbox>
                <w10:wrap type="square"/>
              </v:shape>
            </w:pict>
          </mc:Fallback>
        </mc:AlternateContent>
      </w:r>
      <w:r w:rsidRPr="00F10391">
        <w:rPr>
          <w:noProof/>
          <w:lang w:val="en-IE" w:eastAsia="en-IE"/>
        </w:rPr>
        <w:drawing>
          <wp:inline distT="0" distB="0" distL="0" distR="0" wp14:anchorId="6F761DFB" wp14:editId="2169220B">
            <wp:extent cx="8577490" cy="4678717"/>
            <wp:effectExtent l="6033" t="0" r="1587" b="1588"/>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578035" cy="4679014"/>
                    </a:xfrm>
                    <a:prstGeom prst="rect">
                      <a:avLst/>
                    </a:prstGeom>
                    <a:noFill/>
                    <a:ln>
                      <a:noFill/>
                    </a:ln>
                  </pic:spPr>
                </pic:pic>
              </a:graphicData>
            </a:graphic>
          </wp:inline>
        </w:drawing>
      </w:r>
    </w:p>
    <w:p w14:paraId="35BB1E28" w14:textId="77777777" w:rsidR="00D22CE3" w:rsidRPr="00F10391" w:rsidRDefault="00D22CE3" w:rsidP="00494A9A">
      <w:pPr>
        <w:sectPr w:rsidR="00D22CE3" w:rsidRPr="00F10391" w:rsidSect="00D22CE3">
          <w:footnotePr>
            <w:numFmt w:val="lowerRoman"/>
          </w:footnotePr>
          <w:pgSz w:w="11906" w:h="16838" w:code="9"/>
          <w:pgMar w:top="1440" w:right="1440" w:bottom="1440" w:left="1440" w:header="708" w:footer="708" w:gutter="0"/>
          <w:cols w:space="708"/>
          <w:docGrid w:linePitch="360"/>
        </w:sectPr>
      </w:pPr>
      <w:r w:rsidRPr="00F10391">
        <w:rPr>
          <w:noProof/>
          <w:lang w:val="en-IE" w:eastAsia="en-IE"/>
        </w:rPr>
        <w:drawing>
          <wp:inline distT="0" distB="0" distL="0" distR="0" wp14:anchorId="594BBD36" wp14:editId="49A6A9D1">
            <wp:extent cx="8600291" cy="4475817"/>
            <wp:effectExtent l="4763" t="0" r="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643545" cy="4498328"/>
                    </a:xfrm>
                    <a:prstGeom prst="rect">
                      <a:avLst/>
                    </a:prstGeom>
                    <a:noFill/>
                    <a:ln>
                      <a:noFill/>
                    </a:ln>
                  </pic:spPr>
                </pic:pic>
              </a:graphicData>
            </a:graphic>
          </wp:inline>
        </w:drawing>
      </w:r>
    </w:p>
    <w:p w14:paraId="6748786E" w14:textId="062C1203" w:rsidR="00494A9A" w:rsidRPr="00494A9A" w:rsidRDefault="00C22608">
      <w:r>
        <w:t>T</w:t>
      </w:r>
      <w:r w:rsidR="00436395">
        <w:t xml:space="preserve">he form sent to stakeholders to weight criteria </w:t>
      </w:r>
      <w:r>
        <w:t xml:space="preserve">listed </w:t>
      </w:r>
      <w:r w:rsidR="00436395">
        <w:t xml:space="preserve">only 5 criteria (alongside an “any other criteria” option, </w:t>
      </w:r>
      <w:r w:rsidR="00B50563">
        <w:t xml:space="preserve">to be used </w:t>
      </w:r>
      <w:r w:rsidR="00436395">
        <w:t>if the respondent felt any criteria had been left out). Based upon feedback from participants (</w:t>
      </w:r>
      <w:r w:rsidR="00436395" w:rsidRPr="00436395">
        <w:t xml:space="preserve">and subsequent discussion with TCCs), it was decided to replace </w:t>
      </w:r>
      <w:r w:rsidR="00B50563">
        <w:t>criterion of</w:t>
      </w:r>
      <w:r w:rsidR="00436395" w:rsidRPr="00436395">
        <w:t xml:space="preserve"> “</w:t>
      </w:r>
      <w:r w:rsidR="00436395" w:rsidRPr="0063065F">
        <w:t>Is this doable?” (</w:t>
      </w:r>
      <w:r w:rsidR="00B50563">
        <w:t>which took into account</w:t>
      </w:r>
      <w:r w:rsidR="00436395" w:rsidRPr="0063065F">
        <w:t xml:space="preserve"> considerations of “Will the people who need it want to use it?” and “Do we have (or can we get) the right staff, buildings, equipment?”) with the separate criteria of “Ease of implementation” and “Sustainabilty”. These reflected the distinct, if somewhat</w:t>
      </w:r>
      <w:r w:rsidR="00D079FF">
        <w:t xml:space="preserve"> related</w:t>
      </w:r>
      <w:r w:rsidR="00436395" w:rsidRPr="0063065F">
        <w:t xml:space="preserve"> issues, of whether the infrastr</w:t>
      </w:r>
      <w:r w:rsidR="00D079FF">
        <w:t>u</w:t>
      </w:r>
      <w:r w:rsidR="00436395" w:rsidRPr="0063065F">
        <w:t>c</w:t>
      </w:r>
      <w:r w:rsidR="00D079FF">
        <w:t>tu</w:t>
      </w:r>
      <w:r w:rsidR="00B50563">
        <w:t>r</w:t>
      </w:r>
      <w:r w:rsidR="00436395" w:rsidRPr="0063065F">
        <w:t>e was in place to</w:t>
      </w:r>
      <w:r w:rsidR="00D079FF">
        <w:t xml:space="preserve"> both</w:t>
      </w:r>
      <w:r w:rsidR="00436395" w:rsidRPr="0063065F">
        <w:t xml:space="preserve"> ki</w:t>
      </w:r>
      <w:r w:rsidR="00D079FF">
        <w:t>c</w:t>
      </w:r>
      <w:r w:rsidR="00436395" w:rsidRPr="0063065F">
        <w:t>k</w:t>
      </w:r>
      <w:r w:rsidR="00CB2E60">
        <w:t>-</w:t>
      </w:r>
      <w:r w:rsidR="00436395" w:rsidRPr="0063065F">
        <w:t xml:space="preserve">start the intervention, </w:t>
      </w:r>
      <w:r w:rsidR="00D079FF">
        <w:t>and to be able to continue it</w:t>
      </w:r>
      <w:r w:rsidR="00436395" w:rsidRPr="0063065F">
        <w:t xml:space="preserve"> in future subsequently.</w:t>
      </w:r>
    </w:p>
    <w:p w14:paraId="6241124A" w14:textId="4F93A683" w:rsidR="00D22CE3" w:rsidRPr="00F10391" w:rsidRDefault="00D22CE3">
      <w:pPr>
        <w:pStyle w:val="Caption"/>
      </w:pPr>
      <w:bookmarkStart w:id="778" w:name="_Toc444180803"/>
      <w:bookmarkStart w:id="779" w:name="_Toc476241440"/>
      <w:bookmarkStart w:id="780" w:name="_Toc283984223"/>
      <w:r w:rsidRPr="00F10391">
        <w:t xml:space="preserve">Table </w:t>
      </w:r>
      <w:r w:rsidR="000F1034">
        <w:fldChar w:fldCharType="begin"/>
      </w:r>
      <w:r w:rsidR="000F1034">
        <w:instrText xml:space="preserve"> STYLEREF 1 \s </w:instrText>
      </w:r>
      <w:r w:rsidR="000F1034">
        <w:fldChar w:fldCharType="separate"/>
      </w:r>
      <w:r w:rsidR="00B37229">
        <w:rPr>
          <w:noProof/>
        </w:rPr>
        <w:t>7</w:t>
      </w:r>
      <w:r w:rsidR="000F1034">
        <w:rPr>
          <w:noProof/>
        </w:rPr>
        <w:fldChar w:fldCharType="end"/>
      </w:r>
      <w:r w:rsidR="000E04E1" w:rsidRPr="00F10391">
        <w:t>.</w:t>
      </w:r>
      <w:r w:rsidR="000F1034">
        <w:fldChar w:fldCharType="begin"/>
      </w:r>
      <w:r w:rsidR="000F1034">
        <w:instrText xml:space="preserve"> SEQ Table \* ARABIC \s 1 </w:instrText>
      </w:r>
      <w:r w:rsidR="000F1034">
        <w:fldChar w:fldCharType="separate"/>
      </w:r>
      <w:r w:rsidR="00B37229">
        <w:rPr>
          <w:noProof/>
        </w:rPr>
        <w:t>3</w:t>
      </w:r>
      <w:r w:rsidR="000F1034">
        <w:rPr>
          <w:noProof/>
        </w:rPr>
        <w:fldChar w:fldCharType="end"/>
      </w:r>
      <w:r w:rsidRPr="00F10391">
        <w:t xml:space="preserve"> – Inputs to the MCDA process developed prior to the decision conference – the criteria and their weightings</w:t>
      </w:r>
      <w:bookmarkEnd w:id="778"/>
      <w:bookmarkEnd w:id="779"/>
    </w:p>
    <w:p w14:paraId="75678429" w14:textId="77777777" w:rsidR="00D22CE3" w:rsidRPr="00F10391" w:rsidRDefault="00D22CE3">
      <w:r w:rsidRPr="00F10391">
        <w:rPr>
          <w:noProof/>
          <w:lang w:val="en-IE" w:eastAsia="en-IE"/>
        </w:rPr>
        <w:drawing>
          <wp:inline distT="0" distB="0" distL="0" distR="0" wp14:anchorId="19CD91AB" wp14:editId="7E59FF52">
            <wp:extent cx="5731510" cy="264414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noFill/>
                    <a:ln>
                      <a:noFill/>
                    </a:ln>
                  </pic:spPr>
                </pic:pic>
              </a:graphicData>
            </a:graphic>
          </wp:inline>
        </w:drawing>
      </w:r>
    </w:p>
    <w:p w14:paraId="1F460C96" w14:textId="77777777" w:rsidR="00D22CE3" w:rsidRPr="00F10391" w:rsidRDefault="00D22CE3"/>
    <w:p w14:paraId="5D5D9B5A" w14:textId="77777777" w:rsidR="00D22CE3" w:rsidRPr="00F10391" w:rsidRDefault="00D22CE3">
      <w:pPr>
        <w:pStyle w:val="Heading3"/>
      </w:pPr>
      <w:bookmarkStart w:id="781" w:name="_Toc441509027"/>
      <w:bookmarkStart w:id="782" w:name="_Toc453235470"/>
      <w:bookmarkStart w:id="783" w:name="_Toc453595543"/>
      <w:bookmarkStart w:id="784" w:name="_Toc476241640"/>
      <w:r w:rsidRPr="00F10391">
        <w:t>7.4.4</w:t>
      </w:r>
      <w:r w:rsidRPr="00F10391">
        <w:tab/>
      </w:r>
      <w:r w:rsidRPr="00F10391">
        <w:tab/>
        <w:t>Weighting criteria</w:t>
      </w:r>
      <w:bookmarkEnd w:id="780"/>
      <w:bookmarkEnd w:id="781"/>
      <w:bookmarkEnd w:id="782"/>
      <w:bookmarkEnd w:id="783"/>
      <w:bookmarkEnd w:id="784"/>
    </w:p>
    <w:p w14:paraId="6B1DA2C2" w14:textId="77777777" w:rsidR="00D22CE3" w:rsidRPr="00F10391" w:rsidRDefault="00D22CE3">
      <w:r w:rsidRPr="00F10391">
        <w:t>The weights attributed to each criterion are also shown in Table 7.3. These reflected the combined viewpoints of the expert panel, the TCCs and the level of difference between the best and worst performing intervention on each criterion. The importance of each criterion was gathered by correspondence before the meeting of the expert group due to expected time constraints on the day. Many of the stakeholders’ views expressed a preference that large impacts to individuals should be preferred to interventions that have small impacts to larger numbers, and that equity aspects should be considered from the beginning (rather than, as in NICE, after cost-effectiveness analyses had been carried out). In contrast, the main concern of the TCCs was the reductions in prevalence rates described in the national priorities. These were converted into approximated swing weights by the lead researcher based upon deliberation with the TCCs regarding the range from best to worst performing intervention on each criterion. Again, while not ideal, this was felt to be a necessary compromise, as there would not be sufficient time at the subsequent decision conference to do so. Ultimately sensitivity analyses were used to ensure that the results were meaningful in light of the fact the whole expert group could not make the final decision on weightings in person, and the model was found to be robust. This process is described in Section 7.4.8.</w:t>
      </w:r>
    </w:p>
    <w:p w14:paraId="6AF9EF39" w14:textId="77777777" w:rsidR="00D22CE3" w:rsidRPr="00F10391" w:rsidRDefault="00D22CE3"/>
    <w:p w14:paraId="115B5C90" w14:textId="77777777" w:rsidR="00D22CE3" w:rsidRPr="00F10391" w:rsidRDefault="00D22CE3">
      <w:pPr>
        <w:pStyle w:val="Heading3"/>
      </w:pPr>
      <w:bookmarkStart w:id="785" w:name="_Toc441509028"/>
      <w:bookmarkStart w:id="786" w:name="_Toc453235471"/>
      <w:bookmarkStart w:id="787" w:name="_Toc453595544"/>
      <w:bookmarkStart w:id="788" w:name="_Toc476241641"/>
      <w:r w:rsidRPr="00F10391">
        <w:t>7.4.5</w:t>
      </w:r>
      <w:r w:rsidRPr="00F10391">
        <w:tab/>
      </w:r>
      <w:r w:rsidRPr="00F10391">
        <w:tab/>
        <w:t>Assessing likely performance of alternatives on criteria</w:t>
      </w:r>
      <w:bookmarkEnd w:id="785"/>
      <w:bookmarkEnd w:id="786"/>
      <w:bookmarkEnd w:id="787"/>
      <w:bookmarkEnd w:id="788"/>
    </w:p>
    <w:p w14:paraId="78FAC7B7" w14:textId="77777777" w:rsidR="00D22CE3" w:rsidRPr="00F10391" w:rsidRDefault="00D22CE3">
      <w:pPr>
        <w:rPr>
          <w:bCs/>
        </w:rPr>
      </w:pPr>
      <w:r w:rsidRPr="00F10391">
        <w:t xml:space="preserve">The next stage required scores to be attributed to each intervention on each criterion. This, as with the last chapter, was carried out in a ‘decision conference’ setting. Care was taken to </w:t>
      </w:r>
      <w:r w:rsidRPr="00F10391">
        <w:rPr>
          <w:bCs/>
        </w:rPr>
        <w:t xml:space="preserve">ensure as broad a range of potential stakeholders were included in the process as possible. About 20 participants from the expert stakeholder group took part, representing the range of specialities from inside and outside healthcare and chosen from across the four boroughs. On the day, participants were initially split into four groups, to ensure that all participants would have the opportunity to voice their opinion at each stage. Participants were assigned according to speciality and borough to ensure a similar mix on each table and to reduce the risk of bias due to over-influence or gamesmanship. </w:t>
      </w:r>
    </w:p>
    <w:p w14:paraId="47CCBBA7" w14:textId="77777777" w:rsidR="00D22CE3" w:rsidRPr="00F10391" w:rsidRDefault="00D22CE3">
      <w:r w:rsidRPr="00F10391">
        <w:t xml:space="preserve">Groups were asked to consider how an intervention was likely to perform on each criterion, in batches of four interventions at a time. They were to agree upon a consensus score from 0 to 10 based on these discussions (and were provided with the following qualitative descriptions: 10 = could hardly be better; 9 = excellent; 8 = very well; 7 = well; 6 = quite well; 5 = adequate; 4= somewhat inadequate; 3= badly; 2= very badly; 1= extremely badly; 0= could hardly be worse). This direct rating approach resembles the SMART approach reported by van Gennip et al. </w:t>
      </w:r>
      <w:r w:rsidRPr="00F10391">
        <w:fldChar w:fldCharType="begin"/>
      </w:r>
      <w:r w:rsidR="00700267">
        <w:instrText xml:space="preserve"> ADDIN EN.CITE &lt;EndNote&gt;&lt;Cite&gt;&lt;Author&gt;Van Gennip&lt;/Author&gt;&lt;Year&gt;1997&lt;/Year&gt;&lt;RecNum&gt;147&lt;/RecNum&gt;&lt;DisplayText&gt;[169]&lt;/DisplayText&gt;&lt;record&gt;&lt;rec-number&gt;147&lt;/rec-number&gt;&lt;foreign-keys&gt;&lt;key app="EN" db-id="sz9092dv2s5fpze9wpgx0zxgv5ar00aezrvf" timestamp="0"&gt;147&lt;/key&gt;&lt;/foreign-keys&gt;&lt;ref-type name="Journal Article"&gt;17&lt;/ref-type&gt;&lt;contributors&gt;&lt;authors&gt;&lt;author&gt;Van Gennip, CEG&lt;/author&gt;&lt;author&gt;Hulshof, JAM&lt;/author&gt;&lt;author&gt;Lootsma, FA&lt;/author&gt;&lt;/authors&gt;&lt;/contributors&gt;&lt;titles&gt;&lt;title&gt;A multi-criteria evaluation of diseases in a study for public-health planning&lt;/title&gt;&lt;secondary-title&gt;European Journal of Operational Research&lt;/secondary-title&gt;&lt;/titles&gt;&lt;pages&gt;236-240&lt;/pages&gt;&lt;volume&gt;99&lt;/volume&gt;&lt;number&gt;2&lt;/number&gt;&lt;dates&gt;&lt;year&gt;1997&lt;/year&gt;&lt;/dates&gt;&lt;isbn&gt;0377-2217&lt;/isbn&gt;&lt;urls&gt;&lt;related-urls&gt;&lt;url&gt;http://www.sciencedirect.com/science/article/pii/S0377221796003293&lt;/url&gt;&lt;/related-urls&gt;&lt;/urls&gt;&lt;/record&gt;&lt;/Cite&gt;&lt;/EndNote&gt;</w:instrText>
      </w:r>
      <w:r w:rsidRPr="00F10391">
        <w:fldChar w:fldCharType="separate"/>
      </w:r>
      <w:r w:rsidR="00700267">
        <w:rPr>
          <w:noProof/>
        </w:rPr>
        <w:t>[169]</w:t>
      </w:r>
      <w:r w:rsidRPr="00F10391">
        <w:fldChar w:fldCharType="end"/>
      </w:r>
      <w:r w:rsidRPr="00F10391">
        <w:t>, described in Chapter 3.</w:t>
      </w:r>
    </w:p>
    <w:p w14:paraId="1447DF65" w14:textId="77777777" w:rsidR="00D22CE3" w:rsidRPr="00F10391" w:rsidRDefault="00D22CE3">
      <w:r w:rsidRPr="00F10391">
        <w:t xml:space="preserve">Tables then fed back their scores to the floor and debate could occur between groups to ensure an overall consensus score for each intervention on each criterion emerged. Due to time pressure towards the end of the day, two larger groups were formed to score the final interventions in parallel. Due to the scarcity of stronger evidence of the interventions on the criteria, it was felt that the use of subjective opinion of the key experts to elicit the scores in this way was the most sensible option available. </w:t>
      </w:r>
    </w:p>
    <w:p w14:paraId="4FD7010E" w14:textId="70A2420E" w:rsidR="00307DCA" w:rsidRDefault="00D22CE3" w:rsidP="00307DCA">
      <w:r w:rsidRPr="00F10391">
        <w:t>Some differences in interpretation of how certain interventions could work emerged as part of the process. Two of the four groups independently felt that no outdoor public areas could realistically be included in the “Smoke Free Spaces” intervention in practice and ranked scores accordingly based on this. Others differed on how interventions might be successfully targeted for SSS relating to Black and Minority Ethnic (BME) groups, and to Mental Health.</w:t>
      </w:r>
    </w:p>
    <w:p w14:paraId="310A4420" w14:textId="77777777" w:rsidR="00D22CE3" w:rsidRPr="00F10391" w:rsidRDefault="00D22CE3" w:rsidP="00494A9A">
      <w:pPr>
        <w:sectPr w:rsidR="00D22CE3" w:rsidRPr="00F10391" w:rsidSect="00D22CE3">
          <w:footnotePr>
            <w:numFmt w:val="lowerRoman"/>
          </w:footnotePr>
          <w:type w:val="continuous"/>
          <w:pgSz w:w="11906" w:h="16838" w:code="9"/>
          <w:pgMar w:top="1440" w:right="1440" w:bottom="1440" w:left="1440" w:header="708" w:footer="708" w:gutter="0"/>
          <w:cols w:space="708"/>
          <w:docGrid w:linePitch="360"/>
        </w:sectPr>
      </w:pPr>
      <w:r w:rsidRPr="00F10391">
        <w:rPr>
          <w:noProof/>
          <w:lang w:val="en-IE" w:eastAsia="en-IE"/>
        </w:rPr>
        <w:drawing>
          <wp:anchor distT="0" distB="0" distL="114300" distR="114300" simplePos="0" relativeHeight="251662336" behindDoc="0" locked="0" layoutInCell="1" allowOverlap="1" wp14:anchorId="570EECB6" wp14:editId="729BDB94">
            <wp:simplePos x="0" y="0"/>
            <wp:positionH relativeFrom="column">
              <wp:posOffset>-1204595</wp:posOffset>
            </wp:positionH>
            <wp:positionV relativeFrom="paragraph">
              <wp:posOffset>1619250</wp:posOffset>
            </wp:positionV>
            <wp:extent cx="8843010" cy="5605780"/>
            <wp:effectExtent l="0" t="635" r="0" b="0"/>
            <wp:wrapTight wrapText="bothSides">
              <wp:wrapPolygon edited="0">
                <wp:start x="21602" y="2"/>
                <wp:lineTo x="57" y="2"/>
                <wp:lineTo x="57" y="21509"/>
                <wp:lineTo x="21602" y="21509"/>
                <wp:lineTo x="21602" y="2"/>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843010" cy="560578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789" w:name="_Toc441509030"/>
    <w:p w14:paraId="71E4600E" w14:textId="77777777" w:rsidR="00D22CE3" w:rsidRPr="00F10391" w:rsidRDefault="00D22CE3" w:rsidP="00490B5D">
      <w:pPr>
        <w:rPr>
          <w:lang w:eastAsia="en-US"/>
        </w:rPr>
      </w:pPr>
      <w:r w:rsidRPr="00F10391">
        <w:rPr>
          <w:noProof/>
          <w:lang w:val="en-IE" w:eastAsia="en-IE"/>
        </w:rPr>
        <mc:AlternateContent>
          <mc:Choice Requires="wps">
            <w:drawing>
              <wp:anchor distT="45720" distB="45720" distL="114300" distR="114300" simplePos="0" relativeHeight="251665408" behindDoc="0" locked="0" layoutInCell="1" allowOverlap="1" wp14:anchorId="6043B852" wp14:editId="21030FDC">
                <wp:simplePos x="0" y="0"/>
                <wp:positionH relativeFrom="column">
                  <wp:posOffset>-3790950</wp:posOffset>
                </wp:positionH>
                <wp:positionV relativeFrom="paragraph">
                  <wp:posOffset>3829050</wp:posOffset>
                </wp:positionV>
                <wp:extent cx="7954010" cy="299720"/>
                <wp:effectExtent l="0" t="1905" r="698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54010" cy="299720"/>
                        </a:xfrm>
                        <a:prstGeom prst="rect">
                          <a:avLst/>
                        </a:prstGeom>
                        <a:solidFill>
                          <a:srgbClr val="FFFFFF"/>
                        </a:solidFill>
                        <a:ln w="9525">
                          <a:noFill/>
                          <a:miter lim="800000"/>
                          <a:headEnd/>
                          <a:tailEnd/>
                        </a:ln>
                      </wps:spPr>
                      <wps:txbx>
                        <w:txbxContent>
                          <w:p w14:paraId="6BC64F2D" w14:textId="44794DE1" w:rsidR="0063065F" w:rsidRPr="004A21A0" w:rsidRDefault="0063065F" w:rsidP="00494A9A">
                            <w:pPr>
                              <w:pStyle w:val="Caption"/>
                            </w:pPr>
                            <w:bookmarkStart w:id="790" w:name="_Toc283984224"/>
                            <w:bookmarkStart w:id="791" w:name="_Toc444180804"/>
                            <w:bookmarkStart w:id="792" w:name="_Toc476241441"/>
                            <w:r w:rsidRPr="004A21A0">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4</w:t>
                            </w:r>
                            <w:r>
                              <w:rPr>
                                <w:noProof/>
                              </w:rPr>
                              <w:fldChar w:fldCharType="end"/>
                            </w:r>
                            <w:r w:rsidRPr="004A21A0">
                              <w:t xml:space="preserve"> – Consensus scores generated for each anti-tobacco intervention on each criterion, and total scores for each</w:t>
                            </w:r>
                            <w:bookmarkEnd w:id="790"/>
                            <w:bookmarkEnd w:id="791"/>
                            <w:bookmarkEnd w:id="792"/>
                          </w:p>
                          <w:p w14:paraId="31D85886" w14:textId="77777777" w:rsidR="0063065F" w:rsidRDefault="0063065F" w:rsidP="00490B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B852" id="_x0000_s1032" type="#_x0000_t202" style="position:absolute;left:0;text-align:left;margin-left:-298.5pt;margin-top:301.5pt;width:626.3pt;height:23.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" stroked="f">
                <v:textbox>
                  <w:txbxContent>
                    <w:p w14:paraId="6BC64F2D" w14:textId="44794DE1" w:rsidR="0063065F" w:rsidRPr="004A21A0" w:rsidRDefault="0063065F" w:rsidP="00494A9A">
                      <w:pPr>
                        <w:pStyle w:val="Caption"/>
                      </w:pPr>
                      <w:bookmarkStart w:id="799" w:name="_Toc283984224"/>
                      <w:bookmarkStart w:id="800" w:name="_Toc444180804"/>
                      <w:bookmarkStart w:id="801" w:name="_Toc476241441"/>
                      <w:r w:rsidRPr="004A21A0">
                        <w:t xml:space="preserve">Table </w:t>
                      </w:r>
                      <w:r>
                        <w:fldChar w:fldCharType="begin"/>
                      </w:r>
                      <w:r>
                        <w:instrText xml:space="preserve"> STYLEREF 1 \s </w:instrText>
                      </w:r>
                      <w:r>
                        <w:fldChar w:fldCharType="separate"/>
                      </w:r>
                      <w:r>
                        <w:rPr>
                          <w:noProof/>
                        </w:rPr>
                        <w:t>7</w:t>
                      </w:r>
                      <w:r>
                        <w:rPr>
                          <w:noProof/>
                        </w:rPr>
                        <w:fldChar w:fldCharType="end"/>
                      </w:r>
                      <w:r>
                        <w:t>.</w:t>
                      </w:r>
                      <w:r>
                        <w:fldChar w:fldCharType="begin"/>
                      </w:r>
                      <w:r>
                        <w:instrText xml:space="preserve"> SEQ Table \* ARABIC \s 1 </w:instrText>
                      </w:r>
                      <w:r>
                        <w:fldChar w:fldCharType="separate"/>
                      </w:r>
                      <w:r>
                        <w:rPr>
                          <w:noProof/>
                        </w:rPr>
                        <w:t>4</w:t>
                      </w:r>
                      <w:r>
                        <w:rPr>
                          <w:noProof/>
                        </w:rPr>
                        <w:fldChar w:fldCharType="end"/>
                      </w:r>
                      <w:r w:rsidRPr="004A21A0">
                        <w:t xml:space="preserve"> – Consensus scores generated for each anti-tobacco intervention on each criterion, and total scores for each</w:t>
                      </w:r>
                      <w:bookmarkEnd w:id="799"/>
                      <w:bookmarkEnd w:id="800"/>
                      <w:bookmarkEnd w:id="801"/>
                    </w:p>
                    <w:p w14:paraId="31D85886" w14:textId="77777777" w:rsidR="0063065F" w:rsidRDefault="0063065F" w:rsidP="00490B5D"/>
                  </w:txbxContent>
                </v:textbox>
                <w10:wrap type="square"/>
              </v:shape>
            </w:pict>
          </mc:Fallback>
        </mc:AlternateContent>
      </w:r>
    </w:p>
    <w:p w14:paraId="6145F085" w14:textId="77777777" w:rsidR="000127DD" w:rsidRPr="00F10391" w:rsidRDefault="000127DD" w:rsidP="00490B5D">
      <w:bookmarkStart w:id="793" w:name="_Toc453235473"/>
      <w:bookmarkStart w:id="794" w:name="_Toc453595546"/>
    </w:p>
    <w:p w14:paraId="0750EBEC" w14:textId="77777777" w:rsidR="00307DCA" w:rsidRPr="00F10391" w:rsidRDefault="00307DCA" w:rsidP="00307DCA">
      <w:pPr>
        <w:pStyle w:val="Heading3"/>
      </w:pPr>
      <w:bookmarkStart w:id="795" w:name="_Toc476241642"/>
      <w:r w:rsidRPr="00F10391">
        <w:t>7.4.6</w:t>
      </w:r>
      <w:r w:rsidRPr="00F10391">
        <w:tab/>
      </w:r>
      <w:r w:rsidRPr="00F10391">
        <w:tab/>
        <w:t>Aggregation of results</w:t>
      </w:r>
      <w:bookmarkEnd w:id="795"/>
    </w:p>
    <w:p w14:paraId="467761C0" w14:textId="77777777" w:rsidR="00307DCA" w:rsidRPr="00F10391" w:rsidRDefault="00307DCA" w:rsidP="00307DCA">
      <w:r w:rsidRPr="00F10391">
        <w:t>Scores elicited from participants on each intervention were combined with the weight on each criterion to calculate total scores for each intervention under consideration. This was performed using a weighted sum approach as shown below:</w:t>
      </w:r>
    </w:p>
    <w:tbl>
      <w:tblPr>
        <w:tblStyle w:val="TableGrid"/>
        <w:tblW w:w="865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524"/>
      </w:tblGrid>
      <w:tr w:rsidR="00307DCA" w:rsidRPr="00F10391" w14:paraId="687A46A4" w14:textId="77777777" w:rsidTr="003228E1">
        <w:trPr>
          <w:trHeight w:val="284"/>
        </w:trPr>
        <w:tc>
          <w:tcPr>
            <w:tcW w:w="8650" w:type="dxa"/>
            <w:gridSpan w:val="2"/>
            <w:noWrap/>
            <w:hideMark/>
          </w:tcPr>
          <w:tbl>
            <w:tblPr>
              <w:tblW w:w="0" w:type="auto"/>
              <w:jc w:val="center"/>
              <w:tblCellSpacing w:w="0" w:type="dxa"/>
              <w:tblCellMar>
                <w:left w:w="0" w:type="dxa"/>
                <w:right w:w="0" w:type="dxa"/>
              </w:tblCellMar>
              <w:tblLook w:val="04A0" w:firstRow="1" w:lastRow="0" w:firstColumn="1" w:lastColumn="0" w:noHBand="0" w:noVBand="1"/>
            </w:tblPr>
            <w:tblGrid>
              <w:gridCol w:w="3513"/>
            </w:tblGrid>
            <w:tr w:rsidR="00307DCA" w:rsidRPr="00F10391" w14:paraId="7AA7B05F" w14:textId="77777777" w:rsidTr="003228E1">
              <w:trPr>
                <w:trHeight w:val="284"/>
                <w:tblCellSpacing w:w="0" w:type="dxa"/>
                <w:jc w:val="center"/>
              </w:trPr>
              <w:tc>
                <w:tcPr>
                  <w:tcW w:w="3513" w:type="dxa"/>
                  <w:tcBorders>
                    <w:top w:val="nil"/>
                    <w:left w:val="nil"/>
                    <w:bottom w:val="nil"/>
                    <w:right w:val="nil"/>
                  </w:tcBorders>
                  <w:shd w:val="clear" w:color="auto" w:fill="auto"/>
                  <w:noWrap/>
                  <w:vAlign w:val="bottom"/>
                  <w:hideMark/>
                </w:tcPr>
                <w:p w14:paraId="6CEDD23F" w14:textId="77777777" w:rsidR="00307DCA" w:rsidRPr="00F10391" w:rsidRDefault="00307DCA" w:rsidP="003228E1">
                  <w:r w:rsidRPr="00F10391">
                    <w:rPr>
                      <w:noProof/>
                      <w:lang w:val="en-IE" w:eastAsia="en-IE"/>
                    </w:rPr>
                    <w:drawing>
                      <wp:inline distT="0" distB="0" distL="0" distR="0" wp14:anchorId="2679C991" wp14:editId="2936916D">
                        <wp:extent cx="829310" cy="363682"/>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9310" cy="363682"/>
                                </a:xfrm>
                                <a:prstGeom prst="rect">
                                  <a:avLst/>
                                </a:prstGeom>
                                <a:noFill/>
                              </pic:spPr>
                            </pic:pic>
                          </a:graphicData>
                        </a:graphic>
                      </wp:inline>
                    </w:drawing>
                  </w:r>
                </w:p>
              </w:tc>
            </w:tr>
          </w:tbl>
          <w:p w14:paraId="0E262586" w14:textId="77777777" w:rsidR="00307DCA" w:rsidRPr="00F10391" w:rsidRDefault="00307DCA" w:rsidP="003228E1"/>
        </w:tc>
      </w:tr>
      <w:tr w:rsidR="00307DCA" w:rsidRPr="00F10391" w14:paraId="2AD7FDE2" w14:textId="77777777" w:rsidTr="003228E1">
        <w:trPr>
          <w:trHeight w:val="284"/>
        </w:trPr>
        <w:tc>
          <w:tcPr>
            <w:tcW w:w="2126" w:type="dxa"/>
            <w:noWrap/>
          </w:tcPr>
          <w:p w14:paraId="35F4EDED" w14:textId="77777777" w:rsidR="00307DCA" w:rsidRPr="00F10391" w:rsidRDefault="00307DCA" w:rsidP="003228E1">
            <w:r w:rsidRPr="00F10391">
              <w:t>where</w:t>
            </w:r>
          </w:p>
        </w:tc>
        <w:tc>
          <w:tcPr>
            <w:tcW w:w="6524" w:type="dxa"/>
            <w:noWrap/>
          </w:tcPr>
          <w:p w14:paraId="1058699A" w14:textId="77777777" w:rsidR="00307DCA" w:rsidRPr="00F10391" w:rsidRDefault="00307DCA" w:rsidP="003228E1"/>
        </w:tc>
      </w:tr>
      <w:tr w:rsidR="00307DCA" w:rsidRPr="00F10391" w14:paraId="4A9238F4" w14:textId="77777777" w:rsidTr="003228E1">
        <w:trPr>
          <w:trHeight w:val="284"/>
        </w:trPr>
        <w:tc>
          <w:tcPr>
            <w:tcW w:w="2126" w:type="dxa"/>
            <w:noWrap/>
          </w:tcPr>
          <w:p w14:paraId="3B337EC6" w14:textId="77777777" w:rsidR="00307DCA" w:rsidRPr="00F10391" w:rsidRDefault="00307DCA" w:rsidP="003228E1">
            <w:r w:rsidRPr="00F10391">
              <w:rPr>
                <w:noProof/>
                <w:lang w:val="en-IE" w:eastAsia="en-IE"/>
              </w:rPr>
              <w:drawing>
                <wp:inline distT="0" distB="0" distL="0" distR="0" wp14:anchorId="2D75BC98" wp14:editId="18D0DD53">
                  <wp:extent cx="128270" cy="201295"/>
                  <wp:effectExtent l="0" t="0" r="5080" b="8255"/>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270" cy="201295"/>
                          </a:xfrm>
                          <a:prstGeom prst="rect">
                            <a:avLst/>
                          </a:prstGeom>
                          <a:noFill/>
                        </pic:spPr>
                      </pic:pic>
                    </a:graphicData>
                  </a:graphic>
                </wp:inline>
              </w:drawing>
            </w:r>
          </w:p>
        </w:tc>
        <w:tc>
          <w:tcPr>
            <w:tcW w:w="6524" w:type="dxa"/>
            <w:noWrap/>
          </w:tcPr>
          <w:p w14:paraId="41934A32" w14:textId="77777777" w:rsidR="00307DCA" w:rsidRPr="00F10391" w:rsidRDefault="00307DCA" w:rsidP="003228E1">
            <w:r w:rsidRPr="00F10391">
              <w:t>is the overall value for intervention j estimated from MCDA model</w:t>
            </w:r>
          </w:p>
        </w:tc>
      </w:tr>
      <w:tr w:rsidR="00307DCA" w:rsidRPr="00F10391" w14:paraId="34FFC2C8" w14:textId="77777777" w:rsidTr="003228E1">
        <w:trPr>
          <w:trHeight w:val="284"/>
        </w:trPr>
        <w:tc>
          <w:tcPr>
            <w:tcW w:w="2126" w:type="dxa"/>
            <w:noWrap/>
          </w:tcPr>
          <w:p w14:paraId="669FCBD8" w14:textId="77777777" w:rsidR="00307DCA" w:rsidRPr="00F10391" w:rsidRDefault="00307DCA" w:rsidP="003228E1">
            <w:r w:rsidRPr="00F10391">
              <w:rPr>
                <w:noProof/>
                <w:lang w:val="en-IE" w:eastAsia="en-IE"/>
              </w:rPr>
              <w:drawing>
                <wp:inline distT="0" distB="0" distL="0" distR="0" wp14:anchorId="1FC78548" wp14:editId="4450E39D">
                  <wp:extent cx="164465" cy="231775"/>
                  <wp:effectExtent l="0" t="0" r="6985" b="0"/>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465" cy="231775"/>
                          </a:xfrm>
                          <a:prstGeom prst="rect">
                            <a:avLst/>
                          </a:prstGeom>
                          <a:noFill/>
                        </pic:spPr>
                      </pic:pic>
                    </a:graphicData>
                  </a:graphic>
                </wp:inline>
              </w:drawing>
            </w:r>
          </w:p>
        </w:tc>
        <w:tc>
          <w:tcPr>
            <w:tcW w:w="6524" w:type="dxa"/>
            <w:noWrap/>
          </w:tcPr>
          <w:p w14:paraId="1B5C0A31" w14:textId="77777777" w:rsidR="00307DCA" w:rsidRPr="00F10391" w:rsidRDefault="00307DCA" w:rsidP="003228E1">
            <w:r w:rsidRPr="00F10391">
              <w:t>is the score for intervention j on criterion i</w:t>
            </w:r>
          </w:p>
        </w:tc>
      </w:tr>
      <w:tr w:rsidR="00307DCA" w:rsidRPr="00F10391" w14:paraId="769E002E" w14:textId="77777777" w:rsidTr="003228E1">
        <w:trPr>
          <w:trHeight w:val="284"/>
        </w:trPr>
        <w:tc>
          <w:tcPr>
            <w:tcW w:w="2126" w:type="dxa"/>
            <w:noWrap/>
          </w:tcPr>
          <w:p w14:paraId="52E04959" w14:textId="77777777" w:rsidR="00307DCA" w:rsidRPr="00F10391" w:rsidRDefault="00307DCA" w:rsidP="003228E1">
            <w:r w:rsidRPr="00F10391">
              <w:rPr>
                <w:noProof/>
                <w:lang w:val="en-IE" w:eastAsia="en-IE"/>
              </w:rPr>
              <w:drawing>
                <wp:inline distT="0" distB="0" distL="0" distR="0" wp14:anchorId="6E38CA4F" wp14:editId="13B63575">
                  <wp:extent cx="140335" cy="207010"/>
                  <wp:effectExtent l="0" t="0" r="0" b="254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335" cy="207010"/>
                          </a:xfrm>
                          <a:prstGeom prst="rect">
                            <a:avLst/>
                          </a:prstGeom>
                          <a:noFill/>
                        </pic:spPr>
                      </pic:pic>
                    </a:graphicData>
                  </a:graphic>
                </wp:inline>
              </w:drawing>
            </w:r>
          </w:p>
        </w:tc>
        <w:tc>
          <w:tcPr>
            <w:tcW w:w="6524" w:type="dxa"/>
            <w:noWrap/>
          </w:tcPr>
          <w:p w14:paraId="016ABB3F" w14:textId="77777777" w:rsidR="00307DCA" w:rsidRPr="00F10391" w:rsidRDefault="00307DCA" w:rsidP="003228E1">
            <w:r w:rsidRPr="00F10391">
              <w:t>is the weight attached to criterion i.</w:t>
            </w:r>
          </w:p>
        </w:tc>
      </w:tr>
    </w:tbl>
    <w:p w14:paraId="5900D203" w14:textId="77777777" w:rsidR="000127DD" w:rsidRPr="00F10391" w:rsidRDefault="000127DD" w:rsidP="00490B5D">
      <w:r w:rsidRPr="00F10391">
        <w:t xml:space="preserve">As previously stated, the method used to calculate scores is important, and the balance must be made between simplicity and complexity: “an overly simple form will ignore important subtleties in the decision-making process, whilst an overly complex form may acquire a ‘false legitimacy’ by virtue of it ‘looking mathematical’”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Keeping the approach as simple as possible allowed for easier interpretation of the results, which was important given that DsPH, who were not involved in developing the model, would need to understand how the results were derived. The approach also allowed for ranking of interventions, which was important given that multiple approaches were likely to be approved.</w:t>
      </w:r>
    </w:p>
    <w:p w14:paraId="0F8596EF" w14:textId="77777777" w:rsidR="000127DD" w:rsidRPr="00F10391" w:rsidRDefault="000127DD" w:rsidP="006942ED"/>
    <w:p w14:paraId="12FBFA23" w14:textId="77777777" w:rsidR="00D22CE3" w:rsidRPr="00F10391" w:rsidRDefault="00D22CE3">
      <w:pPr>
        <w:pStyle w:val="Heading3"/>
      </w:pPr>
      <w:bookmarkStart w:id="796" w:name="_Toc476241643"/>
      <w:r w:rsidRPr="00F10391">
        <w:t>7.4.7</w:t>
      </w:r>
      <w:r w:rsidRPr="00F10391">
        <w:tab/>
      </w:r>
      <w:r w:rsidRPr="00F10391">
        <w:tab/>
        <w:t>Examination of results</w:t>
      </w:r>
      <w:bookmarkEnd w:id="793"/>
      <w:bookmarkEnd w:id="794"/>
      <w:bookmarkEnd w:id="796"/>
    </w:p>
    <w:p w14:paraId="67B7C3BD" w14:textId="77777777" w:rsidR="00D22CE3" w:rsidRPr="00F10391" w:rsidRDefault="00D22CE3">
      <w:r w:rsidRPr="00F10391">
        <w:t>The results, shown in Table 7.4, implied that increased coordination with local authority trading standards teams, as advocated in the “Enforcement” intervention appeared to best meet the range of issues deemed relevant to the local authorities. Maternity stop smoking services and investment in Communications and Marketing, amongst others, also polled well. A school-based programme for teenagers, ASSIST, performed very poorly, as did SSS relating to hospital stay and mental health.</w:t>
      </w:r>
    </w:p>
    <w:p w14:paraId="0FDD1E40" w14:textId="77777777" w:rsidR="00D22CE3" w:rsidRPr="00F10391" w:rsidRDefault="00D22CE3">
      <w:r w:rsidRPr="00F10391">
        <w:t>For interventions for which there was disagreement about the realistic manner at which they could be implemented, it was reassuring to find that rankings barely changed despite these differences in scores on the relevant criteria.</w:t>
      </w:r>
    </w:p>
    <w:p w14:paraId="30DE4901" w14:textId="246D4BFA" w:rsidR="00D22CE3" w:rsidRPr="00F10391" w:rsidRDefault="00D22CE3">
      <w:r w:rsidRPr="00F10391">
        <w:t>The list ranks interventions in terms of their perceived expected benefit, and does not take the associate costs of each into account. This was a conscious decision to simplify the process and to reduce the risk of conflating of costs and benefits. Deciding on whether each approach merited investment was to be taken at the level of the DsPH</w:t>
      </w:r>
      <w:r w:rsidR="00AA0B34">
        <w:t xml:space="preserve"> (and subsequently councillors)</w:t>
      </w:r>
      <w:r w:rsidRPr="00F10391">
        <w:t xml:space="preserve">, with the MCDA stage informing this process. Similarly, choices on whether certain combinations of approaches should be used together required the political and practical </w:t>
      </w:r>
      <w:r w:rsidR="001B7ADD">
        <w:t>judgment</w:t>
      </w:r>
      <w:r w:rsidRPr="00F10391">
        <w:t xml:space="preserve"> of the DsPH, again informed by this process.</w:t>
      </w:r>
    </w:p>
    <w:p w14:paraId="5AA37757" w14:textId="77777777" w:rsidR="00D22CE3" w:rsidRPr="00F10391" w:rsidRDefault="00D22CE3"/>
    <w:p w14:paraId="4C26257D" w14:textId="77777777" w:rsidR="00D22CE3" w:rsidRPr="00F10391" w:rsidRDefault="00D22CE3">
      <w:pPr>
        <w:pStyle w:val="Heading3"/>
      </w:pPr>
      <w:bookmarkStart w:id="797" w:name="_Toc453235474"/>
      <w:bookmarkStart w:id="798" w:name="_Toc453595547"/>
      <w:bookmarkStart w:id="799" w:name="_Toc476241644"/>
      <w:r w:rsidRPr="00F10391">
        <w:t>7.4.8</w:t>
      </w:r>
      <w:r w:rsidRPr="00F10391">
        <w:tab/>
      </w:r>
      <w:r w:rsidRPr="00F10391">
        <w:tab/>
        <w:t>Sensitivity analysis and scenario planning</w:t>
      </w:r>
      <w:bookmarkEnd w:id="789"/>
      <w:bookmarkEnd w:id="797"/>
      <w:bookmarkEnd w:id="798"/>
      <w:bookmarkEnd w:id="799"/>
    </w:p>
    <w:p w14:paraId="6E7900ED" w14:textId="77777777" w:rsidR="00D22CE3" w:rsidRPr="00F10391" w:rsidRDefault="00D22CE3">
      <w:r w:rsidRPr="00F10391">
        <w:rPr>
          <w:noProof/>
          <w:lang w:val="en-IE" w:eastAsia="en-IE"/>
        </w:rPr>
        <mc:AlternateContent>
          <mc:Choice Requires="wps">
            <w:drawing>
              <wp:anchor distT="0" distB="0" distL="114300" distR="114300" simplePos="0" relativeHeight="251663360" behindDoc="0" locked="0" layoutInCell="1" allowOverlap="1" wp14:anchorId="777A0535" wp14:editId="1F26BC77">
                <wp:simplePos x="0" y="0"/>
                <wp:positionH relativeFrom="column">
                  <wp:posOffset>-508000</wp:posOffset>
                </wp:positionH>
                <wp:positionV relativeFrom="paragraph">
                  <wp:posOffset>730250</wp:posOffset>
                </wp:positionV>
                <wp:extent cx="304800" cy="304800"/>
                <wp:effectExtent l="0" t="0" r="0" b="0"/>
                <wp:wrapNone/>
                <wp:docPr id="21508" name="AutoShape 4" descr="data:image/jpeg;base64,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a:prstTxWarp prst="textNoShape">
                          <a:avLst/>
                        </a:prstTxWarp>
                      </wps:bodyPr>
                    </wps:wsp>
                  </a:graphicData>
                </a:graphic>
              </wp:anchor>
            </w:drawing>
          </mc:Choice>
          <mc:Fallback xmlns:cx3="http://schemas.microsoft.com/office/drawing/2016/5/9/chartex" xmlns:cx4="http://schemas.microsoft.com/office/drawing/2016/5/10/chartex" xmlns:cx5="http://schemas.microsoft.com/office/drawing/2016/5/11/chartex">
            <w:pict>
              <v:rect w14:anchorId="46DB5DAC" id="AutoShape 4" o:spid="_x0000_s1026" alt="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" style="position:absolute;margin-left:-40pt;margin-top:57.5pt;width:24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" filled="f" stroked="f">
                <o:lock v:ext="edit" aspectratio="t"/>
              </v:rect>
            </w:pict>
          </mc:Fallback>
        </mc:AlternateContent>
      </w:r>
      <w:r w:rsidRPr="00F10391">
        <w:t xml:space="preserve">The MCDA process is only a decision support tool and cannot address all possible concerns in every possible circumstance, and it would be inappropriate to take the rankings as a ‘correct answer’ without further examination. Initially a sensitivity analysis was performed in order to investigate the robustness of the findings. This required investigating by how much the weighting on each criterion would have to change in order to change the final ordering of interventions. These are difficult to illustrate here for 15 alternatives on 6 criteria (and in practice 8 criteria including the ‘national ambitions’ separately), but generally speaking, aside from the interventions with equal total scores, the magnitude of change required implies the results are stable. </w:t>
      </w:r>
    </w:p>
    <w:p w14:paraId="3325801B" w14:textId="77777777" w:rsidR="00D22CE3" w:rsidRPr="00F10391" w:rsidRDefault="00D22CE3">
      <w:r w:rsidRPr="00F10391">
        <w:t xml:space="preserve">Those interventions most sensitive to altered weights were naturally those with equal overall scores, but these performed relatively poorly anyway and were unlikely to be funded. Otherwise the smallest change to alter the rankings related to the weighting on reducing prevalence amongst adults – if this was reduced from 20% of weighting to 18.75%, maternity SSS would instead receive the highest score overall.  Again, these approaches both performed well and both were therefore likely to be funded anyway. </w:t>
      </w:r>
    </w:p>
    <w:p w14:paraId="40B056F6" w14:textId="730945B1" w:rsidR="00D22CE3" w:rsidRDefault="00D22CE3">
      <w:r w:rsidRPr="00F10391">
        <w:t>A number of uncertainties related to the future provision of interventions in practice remained at the time of the project, and which had been excluded from the MCDA model. It was unclear, for example, whether or not local government would be responsible for paying for the drugs made available to SSS. A very simple multi-objective optimisation (MOO) model was used to investigate the appropriate level of investment in each intervention in a variety of scenarios, to help inform decision-makers as a secondary sensitivity analysis. The approach maximised the total possible health benefit, imposing limits on the maximum and minimum spend possible on each intervention if it were to be funded, in each strand and on the available total budget. These were weighted by how ‘effective’ each intervention was, which was assumed for these purposes to be linear within the given budget constraints. We investigated the likely impacts on spending on certain interventions (or of ring-fencing a proportion of the budget for SSS or other areas), by toggling whether this part of the budget would be required or not. We could also check what the opportunity costs of providing ASSIST might be, for example. This was a relatively naïve approach and did not take into account likely interactions between alternative programmes but, by playing with the model, the technique highlighted that certain approaches would consistently do well (and others consistently poorly) regardless of the circumstances.</w:t>
      </w:r>
    </w:p>
    <w:p w14:paraId="2B060C43" w14:textId="77777777" w:rsidR="00307DCA" w:rsidRPr="00F10391" w:rsidRDefault="00307DCA" w:rsidP="00307DCA">
      <w:r w:rsidRPr="00F10391">
        <w:t xml:space="preserve">Used together, both the sensitivity analyses and multi-objective optimisation helped to identify hidden underlying trends and tipping points in the data, reducing the risk of ineffective policy changes. This helped increase the confidence of the TCCs in making their recommendations to their DsPH. The MCDA approach used could not include all possible relevant criteria, in all circumstances, for all possible levels of investment in each relevant intervention; requiring further </w:t>
      </w:r>
      <w:r>
        <w:t>judgment</w:t>
      </w:r>
      <w:r w:rsidRPr="00F10391">
        <w:t xml:space="preserve"> on the part of the final decision-maker. However, this formal examination of the results of the MCDA phase is a fundamental part of the overall process, and better informs decision-makers given this responsibility. Incorporating MOO alongside the sensitivity analysis in this project likely allowed further insights than might otherwise have been possible.</w:t>
      </w:r>
    </w:p>
    <w:p w14:paraId="45C38EF6" w14:textId="77777777" w:rsidR="00307DCA" w:rsidRPr="00F10391" w:rsidRDefault="00307DCA"/>
    <w:p w14:paraId="4804FC53" w14:textId="1561EECD" w:rsidR="000E04E1" w:rsidRPr="00F10391" w:rsidRDefault="000E04E1">
      <w:pPr>
        <w:pStyle w:val="Caption"/>
      </w:pPr>
      <w:bookmarkStart w:id="800" w:name="_Toc476241460"/>
      <w:r w:rsidRPr="00F10391">
        <w:t xml:space="preserve">Figure </w:t>
      </w:r>
      <w:r w:rsidR="000F1034">
        <w:fldChar w:fldCharType="begin"/>
      </w:r>
      <w:r w:rsidR="000F1034">
        <w:instrText xml:space="preserve"> STYLEREF 1 \s </w:instrText>
      </w:r>
      <w:r w:rsidR="000F1034">
        <w:fldChar w:fldCharType="separate"/>
      </w:r>
      <w:r w:rsidR="00B37229">
        <w:rPr>
          <w:noProof/>
        </w:rPr>
        <w:t>7</w:t>
      </w:r>
      <w:r w:rsidR="000F1034">
        <w:rPr>
          <w:noProof/>
        </w:rPr>
        <w:fldChar w:fldCharType="end"/>
      </w:r>
      <w:r w:rsidRPr="00F10391">
        <w:t>.</w:t>
      </w:r>
      <w:r w:rsidR="000F1034">
        <w:fldChar w:fldCharType="begin"/>
      </w:r>
      <w:r w:rsidR="000F1034">
        <w:instrText xml:space="preserve"> SEQ Figure \* ARABIC \s 1 </w:instrText>
      </w:r>
      <w:r w:rsidR="000F1034">
        <w:fldChar w:fldCharType="separate"/>
      </w:r>
      <w:r w:rsidR="00B37229">
        <w:rPr>
          <w:noProof/>
        </w:rPr>
        <w:t>2</w:t>
      </w:r>
      <w:r w:rsidR="000F1034">
        <w:rPr>
          <w:noProof/>
        </w:rPr>
        <w:fldChar w:fldCharType="end"/>
      </w:r>
      <w:r w:rsidRPr="00F10391">
        <w:t xml:space="preserve"> - Example multi objective optimisation model, which describes the ideal apportioning of a budget under a scenario where the local government would have to pay for drug costs and ASSIST was to be provided</w:t>
      </w:r>
      <w:bookmarkEnd w:id="800"/>
    </w:p>
    <w:p w14:paraId="0250D7A5" w14:textId="77777777" w:rsidR="00D22CE3" w:rsidRPr="00F10391" w:rsidRDefault="00D22CE3">
      <w:r w:rsidRPr="00F10391">
        <w:rPr>
          <w:noProof/>
          <w:lang w:val="en-IE" w:eastAsia="en-IE"/>
        </w:rPr>
        <w:drawing>
          <wp:inline distT="0" distB="0" distL="0" distR="0" wp14:anchorId="2C18DE99" wp14:editId="5120645B">
            <wp:extent cx="5731200" cy="2869200"/>
            <wp:effectExtent l="0" t="0" r="3175" b="7620"/>
            <wp:docPr id="2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731200" cy="2869200"/>
                    </a:xfrm>
                    <a:prstGeom prst="rect">
                      <a:avLst/>
                    </a:prstGeom>
                  </pic:spPr>
                </pic:pic>
              </a:graphicData>
            </a:graphic>
          </wp:inline>
        </w:drawing>
      </w:r>
    </w:p>
    <w:p w14:paraId="19D8D507" w14:textId="77777777" w:rsidR="00D22CE3" w:rsidRPr="00F10391" w:rsidRDefault="00D22CE3"/>
    <w:p w14:paraId="2E712F8E" w14:textId="77777777" w:rsidR="00D22CE3" w:rsidRPr="00F10391" w:rsidRDefault="00D22CE3">
      <w:pPr>
        <w:pStyle w:val="Heading3"/>
      </w:pPr>
      <w:bookmarkStart w:id="801" w:name="_Toc441509031"/>
      <w:bookmarkStart w:id="802" w:name="_Toc453235475"/>
      <w:bookmarkStart w:id="803" w:name="_Toc453595548"/>
      <w:bookmarkStart w:id="804" w:name="_Toc476241645"/>
      <w:r w:rsidRPr="00F10391">
        <w:t>7.4.9</w:t>
      </w:r>
      <w:r w:rsidRPr="00F10391">
        <w:tab/>
      </w:r>
      <w:r w:rsidRPr="00F10391">
        <w:tab/>
        <w:t>Implementing findings</w:t>
      </w:r>
      <w:bookmarkEnd w:id="801"/>
      <w:bookmarkEnd w:id="802"/>
      <w:bookmarkEnd w:id="803"/>
      <w:bookmarkEnd w:id="804"/>
    </w:p>
    <w:p w14:paraId="473A3566" w14:textId="476E7926" w:rsidR="00D22CE3" w:rsidRPr="00F10391" w:rsidRDefault="00305DB7">
      <w:r>
        <w:t>As part of writing up o</w:t>
      </w:r>
      <w:r w:rsidR="00097A0C">
        <w:t>ur</w:t>
      </w:r>
      <w:r>
        <w:t xml:space="preserve"> paper relating to this project</w:t>
      </w:r>
      <w:r w:rsidR="00883193">
        <w:t xml:space="preserve"> </w:t>
      </w:r>
      <w:r w:rsidR="00883193">
        <w:fldChar w:fldCharType="begin"/>
      </w:r>
      <w:r w:rsidR="00700267">
        <w:instrText xml:space="preserve"> ADDIN EN.CITE &lt;EndNote&gt;&lt;Cite&gt;&lt;Author&gt;Reddy&lt;/Author&gt;&lt;Year&gt;2016&lt;/Year&gt;&lt;RecNum&gt;444&lt;/RecNum&gt;&lt;DisplayText&gt;[324]&lt;/DisplayText&gt;&lt;record&gt;&lt;rec-number&gt;444&lt;/rec-number&gt;&lt;foreign-keys&gt;&lt;key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Processes&lt;/full-title&gt;&lt;/periodical&gt;&lt;pages&gt;1-21&lt;/pages&gt;&lt;dates&gt;&lt;year&gt;2016&lt;/year&gt;&lt;/dates&gt;&lt;isbn&gt;2193-9438&lt;/isbn&gt;&lt;urls&gt;&lt;/urls&gt;&lt;/record&gt;&lt;/Cite&gt;&lt;/EndNote&gt;</w:instrText>
      </w:r>
      <w:r w:rsidR="00883193">
        <w:fldChar w:fldCharType="separate"/>
      </w:r>
      <w:r w:rsidR="00700267">
        <w:rPr>
          <w:noProof/>
        </w:rPr>
        <w:t>[324]</w:t>
      </w:r>
      <w:r w:rsidR="00883193">
        <w:fldChar w:fldCharType="end"/>
      </w:r>
      <w:r>
        <w:t xml:space="preserve"> , I contacted the TCCs by email at the end of 2013 to investigate </w:t>
      </w:r>
      <w:r w:rsidR="00AA0B34">
        <w:t>whether they felt that approach had been influential in subsequent implementation decisions, and in its overall</w:t>
      </w:r>
      <w:r>
        <w:t xml:space="preserve"> impact. </w:t>
      </w:r>
      <w:r w:rsidR="00D22CE3" w:rsidRPr="00F10391">
        <w:t xml:space="preserve">While it is difficult to untangle all relevant factors, </w:t>
      </w:r>
      <w:r w:rsidR="00494A9A">
        <w:t xml:space="preserve">the </w:t>
      </w:r>
      <w:r w:rsidR="00D22CE3" w:rsidRPr="00F10391">
        <w:t xml:space="preserve">TCCs </w:t>
      </w:r>
      <w:r w:rsidR="00494A9A">
        <w:t>felt that the work had</w:t>
      </w:r>
      <w:r w:rsidR="00D22CE3" w:rsidRPr="00F10391">
        <w:t xml:space="preserve"> facilitated major changes to occur regarding spending in an extremely challenging climate, both organisationally and financially. All councils reduced overall spending on SSS services, and within SSS realigned spending to focus more on pregnant women in particular. Spending increased across the board on enforcement, with at least two councils also hiring enforcement officers – which is all the more impressive given the widespread staff cuts. Barnsley also hired a stop smoking midwife on the strength of the report and prevention and education activity with young people has been prioritised. In Sheffield smoking was the only public health area to have its budget protected for the following years, also allowing it to increase spending on smoke free spaces. </w:t>
      </w:r>
    </w:p>
    <w:p w14:paraId="1322900A" w14:textId="742A7C25" w:rsidR="001356E5" w:rsidRPr="00F10391" w:rsidRDefault="00D22CE3">
      <w:r w:rsidRPr="00F10391">
        <w:t>Such budget protection was considered by the TCCs to have been highly unlikely, given the high level of spending on tobacco over previous years with modest results. This project allowed the apparent spell of SSS dominance to be broken, and allowed TCCs and DsPH to move forward with sweeping changes with confidence. It also strengthened the tobacco control partnership across South Yorkshire, which may lead to further savings in future. Rotherham and Doncaster, for example, were able to jointly tender their SSS by cooperating in light of this work, releasing funds for use in the areas highlighted above. Such collaboration may increase value for money and lead to better outcomes in future, and had not been carried out prior to this project.</w:t>
      </w:r>
      <w:r w:rsidR="00305DB7">
        <w:t xml:space="preserve"> </w:t>
      </w:r>
    </w:p>
    <w:p w14:paraId="2FFC7C5E" w14:textId="77777777" w:rsidR="00D22CE3" w:rsidRPr="00F10391" w:rsidRDefault="00D22CE3"/>
    <w:p w14:paraId="043BE67D" w14:textId="77777777" w:rsidR="00D22CE3" w:rsidRPr="00F10391" w:rsidRDefault="00D22CE3">
      <w:pPr>
        <w:pStyle w:val="Heading3"/>
      </w:pPr>
      <w:bookmarkStart w:id="805" w:name="_Toc441509032"/>
      <w:bookmarkStart w:id="806" w:name="_Toc453235476"/>
      <w:bookmarkStart w:id="807" w:name="_Toc453595549"/>
      <w:bookmarkStart w:id="808" w:name="_Toc476241646"/>
      <w:r w:rsidRPr="00F10391">
        <w:t>7.4.10</w:t>
      </w:r>
      <w:r w:rsidRPr="00F10391">
        <w:tab/>
      </w:r>
      <w:r w:rsidRPr="00F10391">
        <w:tab/>
        <w:t>Evaluation</w:t>
      </w:r>
      <w:bookmarkEnd w:id="805"/>
      <w:bookmarkEnd w:id="806"/>
      <w:bookmarkEnd w:id="807"/>
      <w:bookmarkEnd w:id="808"/>
    </w:p>
    <w:p w14:paraId="0905EFB4" w14:textId="77777777" w:rsidR="00D22CE3" w:rsidRPr="00F10391" w:rsidRDefault="00D22CE3">
      <w:r w:rsidRPr="00F10391">
        <w:t xml:space="preserve">The approach can be considered successful insofar as it not only did it prove that such an approach was feasible methodologically, but that its broader process successfully influenced policy and changed the make-up of interventions provided across the four boroughs. In this sense, it proved to be both accessible and acceptable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w:t>
      </w:r>
    </w:p>
    <w:p w14:paraId="43C978E6" w14:textId="77777777" w:rsidR="00D22CE3" w:rsidRPr="00F10391" w:rsidRDefault="00D22CE3">
      <w:r w:rsidRPr="00F10391">
        <w:t xml:space="preserve">The approach proved to be accessible in that each of the steps were followed successfully by each of the relevant decision-making groups (the public, the expert group, the TCCs and myself). The results were timely, and initial results (before sensitivity analyses) could be presented before the end of the meeting, which successfully ranked the interventions and which presented the results clearly. Findings could be easily understood, and the MOO and sensitivity analyses stages helped to ensure that further nuance in the results could be captured, increased the confidence in the results and allowed decision-makers to make recommendations with greater confidence. The results were therefore presented to DsPH with transparency and with an easy to follow paper trail. Making findings as clear as possible in this way is considered vital to successful implementation in policy settings </w:t>
      </w:r>
      <w:r w:rsidRPr="00F10391">
        <w:fldChar w:fldCharType="begin"/>
      </w:r>
      <w:r w:rsidR="00D24504">
        <w:instrText xml:space="preserve"> ADDIN EN.CITE &lt;EndNote&gt;&lt;Cite&gt;&lt;Author&gt;Weiss&lt;/Author&gt;&lt;Year&gt;1986&lt;/Year&gt;&lt;RecNum&gt;435&lt;/RecNum&gt;&lt;DisplayText&gt;[357]&lt;/DisplayText&gt;&lt;record&gt;&lt;rec-number&gt;435&lt;/rec-number&gt;&lt;foreign-keys&gt;&lt;key app="EN" db-id="sz9092dv2s5fpze9wpgx0zxgv5ar00aezrvf" timestamp="1462895561"&gt;435&lt;/key&gt;&lt;/foreign-keys&gt;&lt;ref-type name="Generic"&gt;13&lt;/ref-type&gt;&lt;contributors&gt;&lt;authors&gt;&lt;author&gt;Weiss, C&lt;/author&gt;&lt;/authors&gt;&lt;/contributors&gt;&lt;titles&gt;&lt;title&gt;The many meanings of research utilisation. I Bulmer, M (ed) Social Science &amp;amp; Social Policy&lt;/title&gt;&lt;/titles&gt;&lt;dates&gt;&lt;year&gt;1986&lt;/year&gt;&lt;/dates&gt;&lt;publisher&gt;London: Allen &amp;amp; Unwin&lt;/publisher&gt;&lt;urls&gt;&lt;/urls&gt;&lt;/record&gt;&lt;/Cite&gt;&lt;/EndNote&gt;</w:instrText>
      </w:r>
      <w:r w:rsidRPr="00F10391">
        <w:fldChar w:fldCharType="separate"/>
      </w:r>
      <w:r w:rsidR="00D24504">
        <w:rPr>
          <w:noProof/>
        </w:rPr>
        <w:t>[357]</w:t>
      </w:r>
      <w:r w:rsidRPr="00F10391">
        <w:fldChar w:fldCharType="end"/>
      </w:r>
      <w:r w:rsidRPr="00F10391">
        <w:t>.</w:t>
      </w:r>
    </w:p>
    <w:p w14:paraId="232FE55A" w14:textId="77777777" w:rsidR="00D22CE3" w:rsidRPr="00F10391" w:rsidRDefault="00D22CE3">
      <w:r w:rsidRPr="00F10391">
        <w:t xml:space="preserve">It is one thing to create a model that generates potentially useful insights, but it is altogether more challenging to ensure that these are fully engaged with and, potentially, implemented. Ensuring that any barriers to implementation of this type are considered and understood is what Williams and Bryan meant by “acceptability”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w:t>
      </w:r>
      <w:r w:rsidRPr="00F10391">
        <w:rPr>
          <w:b/>
        </w:rPr>
        <w:t xml:space="preserve"> </w:t>
      </w:r>
      <w:r w:rsidRPr="00F10391">
        <w:t xml:space="preserve">Hoffman </w:t>
      </w:r>
      <w:r w:rsidRPr="00F10391">
        <w:fldChar w:fldCharType="begin"/>
      </w:r>
      <w:r w:rsidR="00D24504">
        <w:instrText xml:space="preserve"> ADDIN EN.CITE &lt;EndNote&gt;&lt;Cite&gt;&lt;Author&gt;Hoffmann&lt;/Author&gt;&lt;Year&gt;2000&lt;/Year&gt;&lt;RecNum&gt;439&lt;/RecNum&gt;&lt;DisplayText&gt;[358]&lt;/DisplayText&gt;&lt;record&gt;&lt;rec-number&gt;439&lt;/rec-number&gt;&lt;foreign-keys&gt;&lt;key app="EN" db-id="sz9092dv2s5fpze9wpgx0zxgv5ar00aezrvf" timestamp="1462969111"&gt;439&lt;/key&gt;&lt;/foreign-keys&gt;&lt;ref-type name="Journal Article"&gt;17&lt;/ref-type&gt;&lt;contributors&gt;&lt;authors&gt;&lt;author&gt;Hoffmann, Christiane&lt;/author&gt;&lt;author&gt;von der Schulenburg, J-Matthias Graf&lt;/author&gt;&lt;/authors&gt;&lt;/contributors&gt;&lt;titles&gt;&lt;title&gt;The influence of economic evaluation studies on decision making.: A European survey&lt;/title&gt;&lt;secondary-title&gt;Health policy&lt;/secondary-title&gt;&lt;/titles&gt;&lt;periodical&gt;&lt;full-title&gt;Health Policy&lt;/full-title&gt;&lt;/periodical&gt;&lt;pages&gt;179-192&lt;/pages&gt;&lt;volume&gt;52&lt;/volume&gt;&lt;number&gt;3&lt;/number&gt;&lt;dates&gt;&lt;year&gt;2000&lt;/year&gt;&lt;/dates&gt;&lt;isbn&gt;0168-8510&lt;/isbn&gt;&lt;urls&gt;&lt;/urls&gt;&lt;/record&gt;&lt;/Cite&gt;&lt;/EndNote&gt;</w:instrText>
      </w:r>
      <w:r w:rsidRPr="00F10391">
        <w:fldChar w:fldCharType="separate"/>
      </w:r>
      <w:r w:rsidR="00D24504">
        <w:rPr>
          <w:noProof/>
        </w:rPr>
        <w:t>[358]</w:t>
      </w:r>
      <w:r w:rsidRPr="00F10391">
        <w:fldChar w:fldCharType="end"/>
      </w:r>
      <w:r w:rsidRPr="00F10391">
        <w:t xml:space="preserve"> argued that acceptability is  even more important to whether an evaluation is implemented than accessibility and communication issues. This case study used a pragmatic approach to ensure that all stages were tailored to maximise the likelihood of successful implementation. The process was designed carefully to ensure that the views of appropriate groups of stakeholders could be incorporated throughout. Whereas in an ideal world, with unlimited access to stakeholders, criteria could have been weighted</w:t>
      </w:r>
      <w:r w:rsidRPr="00F10391">
        <w:rPr>
          <w:i/>
        </w:rPr>
        <w:t xml:space="preserve"> and</w:t>
      </w:r>
      <w:r w:rsidRPr="00F10391">
        <w:t xml:space="preserve"> scored collaboratively and in person, it was felt that it was more important that we had completed the model within the timeframe available on the day of the decision conference and with all parties present. As such, a compromise was necessary where the weights were generated in advance by correspondence. In contrast with the model described in Chapter 6, which to a certain extent tried to do too much (including steps on the day of the decision conference that would be carried out elsewhere in the described broader process, rather than in recurring decision conferences), the approach used in this chapter was more streamlined and better managed to ensure that the steps that were carried out over each period during the study were applicable and realistic. </w:t>
      </w:r>
    </w:p>
    <w:p w14:paraId="7F7E6058" w14:textId="77777777" w:rsidR="00D22CE3" w:rsidRPr="00F10391" w:rsidRDefault="00D22CE3">
      <w:r w:rsidRPr="00F10391">
        <w:t xml:space="preserve">Also contrasting with the previous chapter was the potential to work directly with the TCCs, and to continue to engage with them meaningfully once the model had been completed. This may have increased the likelihood of implementation and generated further insights </w:t>
      </w:r>
      <w:r w:rsidRPr="00F10391">
        <w:fldChar w:fldCharType="begin"/>
      </w:r>
      <w:r w:rsidR="00D24504">
        <w:instrText xml:space="preserve"> ADDIN EN.CITE &lt;EndNote&gt;&lt;Cite&gt;&lt;Author&gt;Innvær&lt;/Author&gt;&lt;Year&gt;2002&lt;/Year&gt;&lt;RecNum&gt;437&lt;/RecNum&gt;&lt;DisplayText&gt;[359, 360]&lt;/DisplayText&gt;&lt;record&gt;&lt;rec-number&gt;437&lt;/rec-number&gt;&lt;foreign-keys&gt;&lt;key app="EN" db-id="sz9092dv2s5fpze9wpgx0zxgv5ar00aezrvf" timestamp="1462895714"&gt;437&lt;/key&gt;&lt;/foreign-keys&gt;&lt;ref-type name="Journal Article"&gt;17&lt;/ref-type&gt;&lt;contributors&gt;&lt;authors&gt;&lt;author&gt;Innvær, Simon&lt;/author&gt;&lt;author&gt;Vist, Gunn&lt;/author&gt;&lt;author&gt;Trommald, Mari&lt;/author&gt;&lt;author&gt;Oxman, Andrew&lt;/author&gt;&lt;/authors&gt;&lt;/contributors&gt;&lt;titles&gt;&lt;title&gt;Health policy-makers&amp;apos; perceptions of their use of evidence: a systematic review&lt;/title&gt;&lt;secondary-title&gt;Journal of health services research &amp;amp; policy&lt;/secondary-title&gt;&lt;/titles&gt;&lt;periodical&gt;&lt;full-title&gt;Journal of health services research &amp;amp; policy&lt;/full-title&gt;&lt;/periodical&gt;&lt;pages&gt;239-244&lt;/pages&gt;&lt;volume&gt;7&lt;/volume&gt;&lt;number&gt;4&lt;/number&gt;&lt;dates&gt;&lt;year&gt;2002&lt;/year&gt;&lt;/dates&gt;&lt;isbn&gt;1355-8196&lt;/isbn&gt;&lt;urls&gt;&lt;/urls&gt;&lt;/record&gt;&lt;/Cite&gt;&lt;Cite&gt;&lt;Author&gt;Lavis&lt;/Author&gt;&lt;Year&gt;2003&lt;/Year&gt;&lt;RecNum&gt;438&lt;/RecNum&gt;&lt;record&gt;&lt;rec-number&gt;438&lt;/rec-number&gt;&lt;foreign-keys&gt;&lt;key app="EN" db-id="sz9092dv2s5fpze9wpgx0zxgv5ar00aezrvf" timestamp="1462895770"&gt;438&lt;/key&gt;&lt;/foreign-keys&gt;&lt;ref-type name="Journal Article"&gt;17&lt;/ref-type&gt;&lt;contributors&gt;&lt;authors&gt;&lt;author&gt;Lavis, John N&lt;/author&gt;&lt;author&gt;Robertson, Dave&lt;/author&gt;&lt;author&gt;Woodside, Jennifer M&lt;/author&gt;&lt;author&gt;McLeod, Christopher B&lt;/author&gt;&lt;author&gt;Abelson, Julia&lt;/author&gt;&lt;/authors&gt;&lt;/contributors&gt;&lt;titles&gt;&lt;title&gt;How can research organizations more effectively transfer research knowledge to decision makers?&lt;/title&gt;&lt;secondary-title&gt;Milbank quarterly&lt;/secondary-title&gt;&lt;/titles&gt;&lt;periodical&gt;&lt;full-title&gt;Milbank quarterly&lt;/full-title&gt;&lt;/periodical&gt;&lt;pages&gt;221-248&lt;/pages&gt;&lt;volume&gt;81&lt;/volume&gt;&lt;number&gt;2&lt;/number&gt;&lt;dates&gt;&lt;year&gt;2003&lt;/year&gt;&lt;/dates&gt;&lt;isbn&gt;1468-0009&lt;/isbn&gt;&lt;urls&gt;&lt;/urls&gt;&lt;/record&gt;&lt;/Cite&gt;&lt;/EndNote&gt;</w:instrText>
      </w:r>
      <w:r w:rsidRPr="00F10391">
        <w:fldChar w:fldCharType="separate"/>
      </w:r>
      <w:r w:rsidR="00D24504">
        <w:rPr>
          <w:noProof/>
        </w:rPr>
        <w:t>[359, 360]</w:t>
      </w:r>
      <w:r w:rsidRPr="00F10391">
        <w:fldChar w:fldCharType="end"/>
      </w:r>
      <w:r w:rsidRPr="00F10391">
        <w:t xml:space="preserve">. Working directly with TCCs throughout is therefore fundamentally important, who know the realities of the prior decision-making system and can ensure that technical issues are dealt with appropriately as are institutional factors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These institutional and structural factors tend to be particularly pronounced at local level </w:t>
      </w:r>
      <w:r w:rsidRPr="00F10391">
        <w:fldChar w:fldCharType="begin"/>
      </w:r>
      <w:r w:rsidR="00D24504">
        <w:instrText xml:space="preserve"> ADDIN EN.CITE &lt;EndNote&gt;&lt;Cite&gt;&lt;Author&gt;Duthie&lt;/Author&gt;&lt;Year&gt;1999&lt;/Year&gt;&lt;RecNum&gt;436&lt;/RecNum&gt;&lt;DisplayText&gt;[361]&lt;/DisplayText&gt;&lt;record&gt;&lt;rec-number&gt;436&lt;/rec-number&gt;&lt;foreign-keys&gt;&lt;key app="EN" db-id="sz9092dv2s5fpze9wpgx0zxgv5ar00aezrvf" timestamp="1462895675"&gt;436&lt;/key&gt;&lt;/foreign-keys&gt;&lt;ref-type name="Journal Article"&gt;17&lt;/ref-type&gt;&lt;contributors&gt;&lt;authors&gt;&lt;author&gt;Duthie, Tessa&lt;/author&gt;&lt;author&gt;Trueman, Paul&lt;/author&gt;&lt;author&gt;Chancellor, Jeremy&lt;/author&gt;&lt;author&gt;Diez, Lara&lt;/author&gt;&lt;/authors&gt;&lt;/contributors&gt;&lt;titles&gt;&lt;title&gt;Research into the use of health economics in decision making in the United Kingdom—Phase II: Is health economics ‘for good or evil’?&lt;/title&gt;&lt;secondary-title&gt;Health Policy&lt;/secondary-title&gt;&lt;/titles&gt;&lt;periodical&gt;&lt;full-title&gt;Health Policy&lt;/full-title&gt;&lt;/periodical&gt;&lt;pages&gt;143-157&lt;/pages&gt;&lt;volume&gt;46&lt;/volume&gt;&lt;number&gt;2&lt;/number&gt;&lt;dates&gt;&lt;year&gt;1999&lt;/year&gt;&lt;/dates&gt;&lt;isbn&gt;0168-8510&lt;/isbn&gt;&lt;urls&gt;&lt;/urls&gt;&lt;/record&gt;&lt;/Cite&gt;&lt;/EndNote&gt;</w:instrText>
      </w:r>
      <w:r w:rsidRPr="00F10391">
        <w:fldChar w:fldCharType="separate"/>
      </w:r>
      <w:r w:rsidR="00D24504">
        <w:rPr>
          <w:noProof/>
        </w:rPr>
        <w:t>[361]</w:t>
      </w:r>
      <w:r w:rsidRPr="00F10391">
        <w:fldChar w:fldCharType="end"/>
      </w:r>
      <w:r w:rsidRPr="00F10391">
        <w:t xml:space="preserve">. Local governments must also take responsibility for their own decisions at the coal face with their own electorate (more directly than more technocratic bodies such as NICE), which may face further possible constraints on their possible actions. Again, it is possible that  policy development may not necessarily be wholly evidence-based in practice, as in the earlier described work of Lindblom </w:t>
      </w:r>
      <w:r w:rsidRPr="00F10391">
        <w:fldChar w:fldCharType="begin"/>
      </w:r>
      <w:r w:rsidR="00700267">
        <w:instrText xml:space="preserve"> ADDIN EN.CITE &lt;EndNote&gt;&lt;Cite&gt;&lt;Author&gt;Lindblom&lt;/Author&gt;&lt;Year&gt;1959&lt;/Year&gt;&lt;RecNum&gt;82&lt;/RecNum&gt;&lt;DisplayText&gt;[209]&lt;/DisplayText&gt;&lt;record&gt;&lt;rec-number&gt;82&lt;/rec-number&gt;&lt;foreign-keys&gt;&lt;key app="EN" db-id="sz9092dv2s5fpze9wpgx0zxgv5ar00aezrvf" timestamp="0"&gt;82&lt;/key&gt;&lt;/foreign-keys&gt;&lt;ref-type name="Journal Article"&gt;17&lt;/ref-type&gt;&lt;contributors&gt;&lt;authors&gt;&lt;author&gt;Lindblom, Charles E&lt;/author&gt;&lt;/authors&gt;&lt;/contributors&gt;&lt;titles&gt;&lt;title&gt;The science of&amp;quot; muddling through&amp;quot;&lt;/title&gt;&lt;secondary-title&gt;Public administration review&lt;/secondary-title&gt;&lt;/titles&gt;&lt;periodical&gt;&lt;full-title&gt;Public administration review&lt;/full-title&gt;&lt;/periodical&gt;&lt;pages&gt;79-88&lt;/pages&gt;&lt;dates&gt;&lt;year&gt;1959&lt;/year&gt;&lt;/dates&gt;&lt;isbn&gt;0033-3352&lt;/isbn&gt;&lt;urls&gt;&lt;/urls&gt;&lt;/record&gt;&lt;/Cite&gt;&lt;/EndNote&gt;</w:instrText>
      </w:r>
      <w:r w:rsidRPr="00F10391">
        <w:fldChar w:fldCharType="separate"/>
      </w:r>
      <w:r w:rsidR="00700267">
        <w:rPr>
          <w:noProof/>
        </w:rPr>
        <w:t>[209]</w:t>
      </w:r>
      <w:r w:rsidRPr="00F10391">
        <w:fldChar w:fldCharType="end"/>
      </w:r>
      <w:r w:rsidRPr="00F10391">
        <w:t>, so understanding how to navigate such issues is vital.</w:t>
      </w:r>
    </w:p>
    <w:p w14:paraId="2E430815" w14:textId="77777777" w:rsidR="00D22CE3" w:rsidRPr="00F10391" w:rsidRDefault="00D22CE3">
      <w:r w:rsidRPr="00F10391">
        <w:t xml:space="preserve">The prior approach to prioritising tobacco programmes itself appears to have been both </w:t>
      </w:r>
    </w:p>
    <w:p w14:paraId="5C99C7B2" w14:textId="77777777" w:rsidR="00D22CE3" w:rsidRPr="00F10391" w:rsidRDefault="00D22CE3">
      <w:pPr>
        <w:pStyle w:val="ListParagraph"/>
        <w:numPr>
          <w:ilvl w:val="0"/>
          <w:numId w:val="59"/>
        </w:numPr>
      </w:pPr>
      <w:r w:rsidRPr="00F10391">
        <w:t xml:space="preserve">accessible in the sense that its course of action appeared to be clear given that there was little need (or even scope) to discuss such factors further, and </w:t>
      </w:r>
    </w:p>
    <w:p w14:paraId="128EEF1A" w14:textId="77777777" w:rsidR="00D22CE3" w:rsidRPr="00F10391" w:rsidRDefault="00D22CE3">
      <w:pPr>
        <w:pStyle w:val="ListParagraph"/>
        <w:numPr>
          <w:ilvl w:val="0"/>
          <w:numId w:val="59"/>
        </w:numPr>
      </w:pPr>
      <w:r w:rsidRPr="00F10391">
        <w:t>acceptable in that policy decisions were clearly made on this basis.</w:t>
      </w:r>
    </w:p>
    <w:p w14:paraId="10778074" w14:textId="77777777" w:rsidR="00D22CE3" w:rsidRPr="00F10391" w:rsidRDefault="00D22CE3">
      <w:r w:rsidRPr="00F10391">
        <w:t>However, the previous approach had narrowed the possibility to meaningfully consider other interventions, resulting in the continued provision of services which were known to be failing to reduce prevalence. The case can therefore be made that, counter-intuitively, the approach in this case study actually facilitated a more open deliberative process than was possible without such a model (aside from the general availability of certain evidence).</w:t>
      </w:r>
    </w:p>
    <w:p w14:paraId="5387AAF8" w14:textId="77777777" w:rsidR="00D22CE3" w:rsidRPr="00F10391" w:rsidRDefault="00D22CE3">
      <w:r w:rsidRPr="00F10391">
        <w:t>The deliberative, socio-technical approach used means that it is possible that some issues or criteria may have been implicitly addressed outside of the model, that were neither realised at the time nor at any time made explicit. The impact of such issues is evidently difficult to measure and evaluate. But we can say that the overall, broader approach appears to have impacted the subsequent prioritisation decisions of the DsPH</w:t>
      </w:r>
      <w:r w:rsidR="00AA0B34">
        <w:t xml:space="preserve"> and councils</w:t>
      </w:r>
      <w:r w:rsidRPr="00F10391">
        <w:t xml:space="preserve">, even if not all links in the chain of processes along the way can be vetted individually. </w:t>
      </w:r>
    </w:p>
    <w:p w14:paraId="16B6DB37" w14:textId="77777777" w:rsidR="00D22CE3" w:rsidRPr="00F10391" w:rsidRDefault="00D22CE3">
      <w:r w:rsidRPr="00F10391">
        <w:t>The chapter attempts to describe the reasoning at each step along the MCDA modelling process, and the context in which the broader decision-making processes took place and logical reasons for which these decisions were made. Nonetheless with the benefit of hindsight - and again in an ideal world - it would clearly have been better to incorporate more formal evaluative approaches at each step so that decision-makers who wished to adapt the approach to their own circumstances had a better roadmap to follow. At the same time, the approach outlined here relied on experience (and the pragmatism that comes with this) to weigh up the relevant factors. These will not always be available to other local governments attempting such approaches. It would have been a very different project if it had been approached with a tabula rasa, attempting to ignore any prior knowledge that I had on such approaches and instead monitoring how one should choose each step in isolation. In hindsight there are always things that you might approach differently, and it would have been potentially more powerful as a lesson to other research designing similar processes from scratch if such a more structured process were used. But given this was an action research project, with the potential to materially affect the health outcomes of real people, it did not seem appropriate to trade off pragmatism for the sake of having used a gold-standard approach that reduced its acceptability.</w:t>
      </w:r>
    </w:p>
    <w:p w14:paraId="48C9A7C7" w14:textId="77777777" w:rsidR="00307DCA" w:rsidRDefault="00307DCA" w:rsidP="00307DCA">
      <w:bookmarkStart w:id="809" w:name="_Toc283984187"/>
      <w:bookmarkStart w:id="810" w:name="_Toc304640276"/>
      <w:bookmarkStart w:id="811" w:name="_Toc441509033"/>
      <w:bookmarkStart w:id="812" w:name="_Toc453235477"/>
      <w:bookmarkStart w:id="813" w:name="_Toc453595550"/>
    </w:p>
    <w:p w14:paraId="49E5E179" w14:textId="4A30AF80" w:rsidR="00D22CE3" w:rsidRPr="00F10391" w:rsidRDefault="00D22CE3">
      <w:pPr>
        <w:pStyle w:val="Numberedheading2"/>
      </w:pPr>
      <w:bookmarkStart w:id="814" w:name="_Toc476241647"/>
      <w:r w:rsidRPr="00F10391">
        <w:t>7.5</w:t>
      </w:r>
      <w:r w:rsidRPr="00F10391">
        <w:tab/>
      </w:r>
      <w:r w:rsidRPr="00F10391">
        <w:tab/>
        <w:t>Discussion</w:t>
      </w:r>
      <w:bookmarkEnd w:id="809"/>
      <w:bookmarkEnd w:id="810"/>
      <w:bookmarkEnd w:id="811"/>
      <w:bookmarkEnd w:id="812"/>
      <w:bookmarkEnd w:id="813"/>
      <w:bookmarkEnd w:id="814"/>
    </w:p>
    <w:p w14:paraId="1307CADC" w14:textId="77777777" w:rsidR="00D22CE3" w:rsidRPr="00F10391" w:rsidRDefault="00D22CE3"/>
    <w:p w14:paraId="2CFE0A7A" w14:textId="77777777" w:rsidR="00D22CE3" w:rsidRPr="00F10391" w:rsidRDefault="00D22CE3">
      <w:r w:rsidRPr="00F10391">
        <w:t xml:space="preserve">The choice of MCDA method for this study required compromises, based upon resource/time constraints, scientific validity and the significance and broader context of the decision problem </w:t>
      </w:r>
      <w:r w:rsidRPr="00F10391">
        <w:fldChar w:fldCharType="begin"/>
      </w:r>
      <w:r w:rsidR="00700267">
        <w:instrText xml:space="preserve"> ADDIN EN.CITE &lt;EndNote&gt;&lt;Cite&gt;&lt;Author&gt;Reddy&lt;/Author&gt;&lt;Year&gt;2016&lt;/Year&gt;&lt;RecNum&gt;444&lt;/RecNum&gt;&lt;DisplayText&gt;[324, 350]&lt;/DisplayText&gt;&lt;record&gt;&lt;rec-number&gt;444&lt;/rec-number&gt;&lt;foreign-keys&gt;&lt;key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Cite&gt;&lt;Author&gt;Reddy&lt;/Author&gt;&lt;Year&gt;In press&lt;/Year&gt;&lt;RecNum&gt;434&lt;/RecNum&gt;&lt;record&gt;&lt;rec-number&gt;434&lt;/rec-number&gt;&lt;foreign-keys&gt;&lt;key app="EN" db-id="sz9092dv2s5fpze9wpgx0zxgv5ar00aezrvf" timestamp="1462378224"&gt;434&lt;/key&gt;&lt;/foreign-keys&gt;&lt;ref-type name="Book Section"&gt;5&lt;/ref-type&gt;&lt;contributors&gt;&lt;authors&gt;&lt;author&gt;Reddy, BP&lt;/author&gt;&lt;author&gt;Thokala, P&lt;/author&gt;&lt;author&gt;Duenas, A&lt;/author&gt;&lt;/authors&gt;&lt;secondary-authors&gt;&lt;author&gt;Kevin Marsh, Praveen Thokala, Rob Baltussen, Mireille Goetghebeur &lt;/author&gt;&lt;/secondary-authors&gt;&lt;/contributors&gt;&lt;titles&gt;&lt;title&gt;MCDA for resource allocation at a local level: an application in the UK&lt;/title&gt;&lt;secondary-title&gt;Multi-criteria decision analysis to support healthcare decisions&lt;/secondary-title&gt;&lt;/titles&gt;&lt;pages&gt;171–194&lt;/pages&gt;&lt;dates&gt;&lt;year&gt;In press&lt;/year&gt;&lt;/dates&gt;&lt;pub-location&gt;Cham&lt;/pub-location&gt;&lt;publisher&gt;Springer&lt;/publisher&gt;&lt;urls&gt;&lt;/urls&gt;&lt;/record&gt;&lt;/Cite&gt;&lt;/EndNote&gt;</w:instrText>
      </w:r>
      <w:r w:rsidRPr="00F10391">
        <w:fldChar w:fldCharType="separate"/>
      </w:r>
      <w:r w:rsidR="00700267">
        <w:rPr>
          <w:noProof/>
        </w:rPr>
        <w:t>[324, 350]</w:t>
      </w:r>
      <w:r w:rsidRPr="00F10391">
        <w:fldChar w:fldCharType="end"/>
      </w:r>
      <w:r w:rsidRPr="00F10391">
        <w:t>. It was felt by the TCCs that the results must show legitimacy in order to be implementable, and hence a broad range of stakeholders and public viewpoints would need to be included as part of the process. This ensured a variety of perspectives, and ensured the stakeholders’ (including both ‘winners’ and ‘losers’) own buy-in to the process. The large number of stakeholders involved created challenges in terms of communicating with such a large group, which made the process more disjointed than would be ideal. The generation of criteria, weighting and scoring therefore had to be carried out separately and subsequently sewn together by the lead researcher and TCCs. It also impacted on the length of time available at the decision conference, further influencing the choice of MCDA approach used. Criteria were also by necessity defined broadly; though at the meeting the expert group (who had after all played a major role in devising them) seemed broadly in agreement as to their purpose and relative importance. There were, however, disagreements as to the specifics of implementing certain interventions. Sensitivity analyses found rankings to be robust, and this stage seems vital in such circumstances where there is the risk of confusion or disagreement.</w:t>
      </w:r>
    </w:p>
    <w:p w14:paraId="28E4B8C6" w14:textId="77777777" w:rsidR="00D22CE3" w:rsidRPr="00F10391" w:rsidRDefault="00D22CE3">
      <w:r w:rsidRPr="00F10391">
        <w:t xml:space="preserve">Though the approach chosen cannot necessarily therefore be said to conform to ideal best practice, such compromises are part and parcel of real-world settings. The programme emerged from a situation where clear evidence of effectiveness was essentially impossible, and circumstances dictated that insights would have to be drawn from expert evidence. We attempted to source this in as systematic a manner as was possible in this situation. Ensuring that such context is taken into account was fundamental in ensuring the success of the project. </w:t>
      </w:r>
    </w:p>
    <w:p w14:paraId="69913E39" w14:textId="7725186D" w:rsidR="00D22CE3" w:rsidRPr="00F10391" w:rsidRDefault="00D22CE3">
      <w:r w:rsidRPr="00F10391">
        <w:t xml:space="preserve">The process outlined used subjective scores and weighted criteria based upon value </w:t>
      </w:r>
      <w:r w:rsidR="001B7ADD">
        <w:t>judgment</w:t>
      </w:r>
      <w:r w:rsidRPr="00F10391">
        <w:t>s – as such it cannot offer an objective, ‘correct’ ranking of results. Nonetheless the results still make clear which interventions may be considered useful (or otherwise) in future, and they were found to be robust to changes in weights. The approach used an open, deliberative process bringing together experts and stakeholders to rank interventions, and making explicit any assumptions made. Final investment decisions were subsequently made in a political context, but TCCs believed it better informed the decision-and facilitated change, as well as providing clarity in renegotiating the services offered by providers.</w:t>
      </w:r>
    </w:p>
    <w:p w14:paraId="040CF6B0" w14:textId="77777777" w:rsidR="00D22CE3" w:rsidRPr="00F10391" w:rsidRDefault="00D22CE3">
      <w:r w:rsidRPr="00F10391">
        <w:t>Even when varying the weightings on each of the constraints, clear and incontestable patterns emerge. These results firmly show that Enforcement, Maternity SSS and most preventative measures (excluding ASSIST) appear to perform well in all circumstances according to these criteria. Depending on the constraints employed, Routine and Manual SSS, Long Term Conditions SSS and/or Smoke Free Spaces also perform well. But these results are better employed as a guide than something to be followed rigidly.</w:t>
      </w:r>
    </w:p>
    <w:p w14:paraId="00607996" w14:textId="07F22B9C" w:rsidR="00D22CE3" w:rsidRPr="00F10391" w:rsidRDefault="00D22CE3">
      <w:r w:rsidRPr="00F10391">
        <w:t xml:space="preserve">There are well-established tensions possible between evidence and policy </w:t>
      </w:r>
      <w:r w:rsidRPr="00F10391">
        <w:fldChar w:fldCharType="begin"/>
      </w:r>
      <w:r w:rsidR="00700267">
        <w:instrText xml:space="preserve"> ADDIN EN.CITE &lt;EndNote&gt;&lt;Cite&gt;&lt;Author&gt;Dowie&lt;/Author&gt;&lt;Year&gt;1996&lt;/Year&gt;&lt;RecNum&gt;41&lt;/RecNum&gt;&lt;DisplayText&gt;[41]&lt;/DisplayText&gt;&lt;record&gt;&lt;rec-number&gt;41&lt;/rec-number&gt;&lt;foreign-keys&gt;&lt;key app="EN" db-id="sz9092dv2s5fpze9wpgx0zxgv5ar00aezrvf" timestamp="0"&gt;41&lt;/key&gt;&lt;/foreign-keys&gt;&lt;ref-type name="Journal Article"&gt;17&lt;/ref-type&gt;&lt;contributors&gt;&lt;authors&gt;&lt;author&gt;Dowie, Jack&lt;/author&gt;&lt;/authors&gt;&lt;/contributors&gt;&lt;titles&gt;&lt;title&gt;‘Evidence-based’,‘Cost-Effective’and ‘Preference-Driven’Medicine: Decision Analysis Based Medical Decision Making is the Pre-Requisite&lt;/title&gt;&lt;secondary-title&gt;Journal of Health Services Research&lt;/secondary-title&gt;&lt;/titles&gt;&lt;pages&gt;104-113&lt;/pages&gt;&lt;volume&gt;1&lt;/volume&gt;&lt;number&gt;2&lt;/number&gt;&lt;dates&gt;&lt;year&gt;1996&lt;/year&gt;&lt;/dates&gt;&lt;isbn&gt;1355-8196&lt;/isbn&gt;&lt;urls&gt;&lt;/urls&gt;&lt;/record&gt;&lt;/Cite&gt;&lt;/EndNote&gt;</w:instrText>
      </w:r>
      <w:r w:rsidRPr="00F10391">
        <w:fldChar w:fldCharType="separate"/>
      </w:r>
      <w:r w:rsidR="00700267">
        <w:rPr>
          <w:noProof/>
        </w:rPr>
        <w:t>[41]</w:t>
      </w:r>
      <w:r w:rsidRPr="00F10391">
        <w:fldChar w:fldCharType="end"/>
      </w:r>
      <w:r w:rsidRPr="00F10391">
        <w:t xml:space="preserve"> described in Chapter 4. But such concerns are likely to reflect real value </w:t>
      </w:r>
      <w:r w:rsidR="001B7ADD">
        <w:t>judgment</w:t>
      </w:r>
      <w:r w:rsidRPr="00F10391">
        <w:t>s, which in certain circumstances (at least) need to be considered by decision-makers. The results were intended to point decision-makers in the right direction, and it is appropriate that final decisions can be adjusted to address shortcomings in the model’s assumptions, and to ensure they conform to common sense and public preferences.</w:t>
      </w:r>
    </w:p>
    <w:p w14:paraId="10251316" w14:textId="77777777" w:rsidR="00D22CE3" w:rsidRPr="00F10391" w:rsidRDefault="00D22CE3">
      <w:r w:rsidRPr="00F10391">
        <w:t xml:space="preserve">Participants and DsPH seemed happy with the results, however, there were some counter-intuitive findings. Most notably, ASSIST came last on the list, despite it being one of the few available interventions for prevention of smoking supported by sufficient evidence of effectiveness that it is recommended by NICE. It was felt by the expert stakeholders to be unsuitable given the local environment (especially due to the perceived risk of schoolyard bullying). Similar conflicts may be possible in future between national and local-level decision-makers, both in terms of relevant evidence and local preferences. Though public health interventions can prove highly cost-effective </w:t>
      </w:r>
      <w:r w:rsidRPr="00F10391">
        <w:fldChar w:fldCharType="begin"/>
      </w:r>
      <w:r w:rsidR="00700267">
        <w:instrText xml:space="preserve"> ADDIN EN.CITE &lt;EndNote&gt;&lt;Cite&gt;&lt;Author&gt;Owen&lt;/Author&gt;&lt;Year&gt;2012&lt;/Year&gt;&lt;RecNum&gt;109&lt;/RecNum&gt;&lt;DisplayText&gt;[264]&lt;/DisplayText&gt;&lt;record&gt;&lt;rec-number&gt;109&lt;/rec-number&gt;&lt;foreign-keys&gt;&lt;key app="EN" db-id="sz9092dv2s5fpze9wpgx0zxgv5ar00aezrvf" timestamp="0"&gt;109&lt;/key&gt;&lt;/foreign-keys&gt;&lt;ref-type name="Journal Article"&gt;17&lt;/ref-type&gt;&lt;contributors&gt;&lt;authors&gt;&lt;author&gt;Owen, Lesley&lt;/author&gt;&lt;author&gt;Morgan, Antony&lt;/author&gt;&lt;author&gt;Fischer, Alastair&lt;/author&gt;&lt;author&gt;Ellis, Simon&lt;/author&gt;&lt;author&gt;Hoy, Andrew&lt;/author&gt;&lt;author&gt;Kelly, Michael P&lt;/author&gt;&lt;/authors&gt;&lt;/contributors&gt;&lt;titles&gt;&lt;title&gt;The cost-effectiveness of public health interventions&lt;/title&gt;&lt;secondary-title&gt;Journal of Public Health&lt;/secondary-title&gt;&lt;/titles&gt;&lt;periodical&gt;&lt;full-title&gt;Journal of public health&lt;/full-title&gt;&lt;/periodical&gt;&lt;pages&gt;37-45&lt;/pages&gt;&lt;volume&gt;34&lt;/volume&gt;&lt;number&gt;1&lt;/number&gt;&lt;dates&gt;&lt;year&gt;2012&lt;/year&gt;&lt;/dates&gt;&lt;isbn&gt;1741-3842&lt;/isbn&gt;&lt;urls&gt;&lt;related-urls&gt;&lt;url&gt;http://jpubhealth.oxfordjournals.org/content/34/1/37.full.pdf&lt;/url&gt;&lt;/related-urls&gt;&lt;/urls&gt;&lt;/record&gt;&lt;/Cite&gt;&lt;/EndNote&gt;</w:instrText>
      </w:r>
      <w:r w:rsidRPr="00F10391">
        <w:fldChar w:fldCharType="separate"/>
      </w:r>
      <w:r w:rsidR="00700267">
        <w:rPr>
          <w:noProof/>
        </w:rPr>
        <w:t>[264]</w:t>
      </w:r>
      <w:r w:rsidRPr="00F10391">
        <w:fldChar w:fldCharType="end"/>
      </w:r>
      <w:r w:rsidRPr="00F10391">
        <w:t>, this is only demonstrable where there is a way to measure their effectiveness.</w:t>
      </w:r>
    </w:p>
    <w:p w14:paraId="7959F12E" w14:textId="77777777" w:rsidR="00D22CE3" w:rsidRPr="00F10391" w:rsidRDefault="00D22CE3">
      <w:r w:rsidRPr="00F10391">
        <w:t>The results of this approach were only one stage as part of a political process, and would only inform the ultimate decisions of the respective Directors of Public Health</w:t>
      </w:r>
      <w:r w:rsidR="005611E1">
        <w:t xml:space="preserve"> regarding which proposals to bring to the final local governmental </w:t>
      </w:r>
      <w:r w:rsidR="00AA0B34">
        <w:t>decision-mak</w:t>
      </w:r>
      <w:r w:rsidR="005611E1">
        <w:t>ers</w:t>
      </w:r>
      <w:r w:rsidRPr="00F10391">
        <w:t xml:space="preserve">. The model’s recommendations therefore had to jump another hurdle to ensure political feasibility and common sense. The DsPH could also consider whether there were synergies among interventions (and indeed if further savings were possible by collaborating with other boroughs), neither of which was considered in our process. </w:t>
      </w:r>
      <w:r w:rsidR="005611E1">
        <w:t xml:space="preserve"> Taking into account </w:t>
      </w:r>
      <w:r w:rsidR="006942ED">
        <w:t xml:space="preserve">such issues and </w:t>
      </w:r>
      <w:r w:rsidR="001356E5">
        <w:t xml:space="preserve">any potential </w:t>
      </w:r>
      <w:r w:rsidR="005611E1">
        <w:t>broader political concerns was c</w:t>
      </w:r>
      <w:r w:rsidR="00AA0B34">
        <w:t>onsidered too ambitious for the</w:t>
      </w:r>
      <w:r w:rsidR="005611E1">
        <w:t xml:space="preserve"> </w:t>
      </w:r>
      <w:r w:rsidR="006942ED">
        <w:t>model</w:t>
      </w:r>
      <w:r w:rsidR="005611E1">
        <w:t xml:space="preserve"> in this example.</w:t>
      </w:r>
    </w:p>
    <w:p w14:paraId="0A867725" w14:textId="3EC4120C" w:rsidR="00D22CE3" w:rsidRPr="00F10391" w:rsidRDefault="00D22CE3">
      <w:r w:rsidRPr="00F10391">
        <w:t xml:space="preserve">The approach was successful in terms of establishing whether an MCDA framework would be suitable for enabling prioritisation in such circumstances. This is not to say that the exact approach used here should be adopted for all local government decisions lacking definitive evidence. At practically all stages, compromises were required to incorporate the views of as many stakeholders as possible, the public and the TCCs to ensure the prioritisation progress could be progressed from its starting point. </w:t>
      </w:r>
      <w:r w:rsidR="0010520E">
        <w:t>Decision-makers</w:t>
      </w:r>
      <w:r w:rsidR="00494A9A">
        <w:t xml:space="preserve"> </w:t>
      </w:r>
      <w:r w:rsidR="0010520E">
        <w:t>(and any researchers or facilitators working with them as part of the process) that</w:t>
      </w:r>
      <w:r w:rsidR="0010520E" w:rsidRPr="00F10391">
        <w:t xml:space="preserve"> </w:t>
      </w:r>
      <w:r w:rsidR="001356E5">
        <w:t xml:space="preserve">encounter </w:t>
      </w:r>
      <w:r w:rsidRPr="00F10391">
        <w:t xml:space="preserve">similar issues in future must use their own </w:t>
      </w:r>
      <w:r w:rsidR="001B7ADD">
        <w:t>judgment</w:t>
      </w:r>
      <w:r w:rsidRPr="00F10391">
        <w:t xml:space="preserve"> to match such techniques with the local issues and context of the decision </w:t>
      </w:r>
      <w:r w:rsidRPr="00F10391">
        <w:fldChar w:fldCharType="begin"/>
      </w:r>
      <w:r w:rsidR="00D24504">
        <w:instrText xml:space="preserve"> ADDIN EN.CITE &lt;EndNote&gt;&lt;Cite&gt;&lt;Author&gt;Craig&lt;/Author&gt;&lt;Year&gt;2008&lt;/Year&gt;&lt;RecNum&gt;355&lt;/RecNum&gt;&lt;DisplayText&gt;[362]&lt;/DisplayText&gt;&lt;record&gt;&lt;rec-number&gt;355&lt;/rec-number&gt;&lt;foreign-keys&gt;&lt;key app="EN" db-id="sz9092dv2s5fpze9wpgx0zxgv5ar00aezrvf" timestamp="0"&gt;355&lt;/key&gt;&lt;/foreign-keys&gt;&lt;ref-type name="Journal Article"&gt;17&lt;/ref-type&gt;&lt;contributors&gt;&lt;authors&gt;&lt;author&gt;Craig, Peter&lt;/author&gt;&lt;author&gt;Dieppe, Paul&lt;/author&gt;&lt;author&gt;Macintyre, Sally&lt;/author&gt;&lt;author&gt;Michie, Susan&lt;/author&gt;&lt;author&gt;Nazareth, Irwin&lt;/author&gt;&lt;author&gt;Petticrew, Mark&lt;/author&gt;&lt;/authors&gt;&lt;/contributors&gt;&lt;titles&gt;&lt;title&gt;Developing and evaluating complex interventions: the new Medical Research Council guidance&lt;/title&gt;&lt;secondary-title&gt;Bmj&lt;/secondary-title&gt;&lt;/titles&gt;&lt;volume&gt;337&lt;/volume&gt;&lt;dates&gt;&lt;year&gt;2008&lt;/year&gt;&lt;/dates&gt;&lt;isbn&gt;0959-8138&lt;/isbn&gt;&lt;urls&gt;&lt;/urls&gt;&lt;/record&gt;&lt;/Cite&gt;&lt;/EndNote&gt;</w:instrText>
      </w:r>
      <w:r w:rsidRPr="00F10391">
        <w:fldChar w:fldCharType="separate"/>
      </w:r>
      <w:r w:rsidR="00D24504">
        <w:rPr>
          <w:noProof/>
        </w:rPr>
        <w:t>[362]</w:t>
      </w:r>
      <w:r w:rsidRPr="00F10391">
        <w:fldChar w:fldCharType="end"/>
      </w:r>
      <w:r w:rsidRPr="00F10391">
        <w:t>.</w:t>
      </w:r>
    </w:p>
    <w:p w14:paraId="63956EAD" w14:textId="77777777" w:rsidR="00D22CE3" w:rsidRPr="00F10391" w:rsidRDefault="00D22CE3">
      <w:r w:rsidRPr="00F10391">
        <w:t xml:space="preserve">Variation in effectiveness is also possible across the country for interventions depending on a number of local factors such as demography, providers, the manner in which it is implemented and other conditions </w:t>
      </w:r>
      <w:r w:rsidRPr="00F10391">
        <w:rPr>
          <w:bCs/>
          <w:iCs/>
        </w:rPr>
        <w:fldChar w:fldCharType="begin"/>
      </w:r>
      <w:r w:rsidR="00700267">
        <w:rPr>
          <w:bCs/>
          <w:iCs/>
        </w:rPr>
        <w:instrText xml:space="preserve"> ADDIN EN.CITE &lt;EndNote&gt;&lt;Cite&gt;&lt;Author&gt;Fischer&lt;/Author&gt;&lt;Year&gt;2012&lt;/Year&gt;&lt;RecNum&gt;175&lt;/RecNum&gt;&lt;DisplayText&gt;[182]&lt;/DisplayText&gt;&lt;record&gt;&lt;rec-number&gt;175&lt;/rec-number&gt;&lt;foreign-keys&gt;&lt;key app="EN" db-id="sz9092dv2s5fpze9wpgx0zxgv5ar00aezrvf" timestamp="0"&gt;175&lt;/key&gt;&lt;/foreign-keys&gt;&lt;ref-type name="Report"&gt;27&lt;/ref-type&gt;&lt;contributors&gt;&lt;authors&gt;&lt;author&gt;Fischer, A; Phillips, C; Varney, J&lt;/author&gt;&lt;/authors&gt;&lt;/contributors&gt;&lt;titles&gt;&lt;title&gt;Obesity – working with local communities economic modelling; Cost-effectiveness analysis in partnership working for reducing obesity and other long-term conditions. &lt;/title&gt;&lt;secondary-title&gt;Obesity – working with local communities&lt;/secondary-title&gt;&lt;/titles&gt;&lt;dates&gt;&lt;year&gt;2012&lt;/year&gt;&lt;/dates&gt;&lt;pub-location&gt;London&lt;/pub-location&gt;&lt;publisher&gt;National Institute for Health and Care Excellence.&lt;/publisher&gt;&lt;urls&gt;&lt;/urls&gt;&lt;/record&gt;&lt;/Cite&gt;&lt;/EndNote&gt;</w:instrText>
      </w:r>
      <w:r w:rsidRPr="00F10391">
        <w:rPr>
          <w:bCs/>
          <w:iCs/>
        </w:rPr>
        <w:fldChar w:fldCharType="separate"/>
      </w:r>
      <w:r w:rsidR="00700267">
        <w:rPr>
          <w:bCs/>
          <w:iCs/>
          <w:noProof/>
        </w:rPr>
        <w:t>[182]</w:t>
      </w:r>
      <w:r w:rsidRPr="00F10391">
        <w:rPr>
          <w:bCs/>
          <w:iCs/>
        </w:rPr>
        <w:fldChar w:fldCharType="end"/>
      </w:r>
      <w:r w:rsidRPr="00F10391">
        <w:rPr>
          <w:bCs/>
          <w:iCs/>
        </w:rPr>
        <w:t>, which are more prominent in public health decisions than elsewhere</w:t>
      </w:r>
      <w:r w:rsidRPr="00F10391">
        <w:t>. This project was driven by the counter-intuitive hypothesis that such an evidence-driven approach in public health had led to perverse and suboptimal outcomes in smoking prevalence. NICE may in future have to consider how best to manage such variation across the country given its supposed responsibility to reduce the impact of the postcode lottery. One potential approach is to work with local governments using formal approaches such as the one outlined in this paper in future to aid decision-making and increase comparability between or across council decisions.</w:t>
      </w:r>
    </w:p>
    <w:p w14:paraId="76C3D170" w14:textId="77777777" w:rsidR="00D22CE3" w:rsidRPr="00F10391" w:rsidRDefault="00D22CE3">
      <w:r w:rsidRPr="00F10391">
        <w:t xml:space="preserve">The fact that the expert panel rejected ASSIST but recommended an education approach tailored to a South Yorkshire context may yet prove to be hubris, but even so such over-confidence is (at least equally) possible if the DPH had made the same decision without having used such a model. The approach outlined in this paper has the added advantages of increased transparency and the facilitation of meaningful engagement with stakeholders. </w:t>
      </w:r>
    </w:p>
    <w:p w14:paraId="5146B9C9" w14:textId="02F52BC8" w:rsidR="00D22CE3" w:rsidRPr="00F10391" w:rsidRDefault="00D22CE3">
      <w:pPr>
        <w:rPr>
          <w:lang w:eastAsia="es-CO"/>
        </w:rPr>
      </w:pPr>
      <w:r w:rsidRPr="00F10391">
        <w:rPr>
          <w:lang w:eastAsia="es-CO"/>
        </w:rPr>
        <w:t xml:space="preserve">A recent systematic review of the use of economics in health care decision-making, for example, found its use to be </w:t>
      </w:r>
      <w:r w:rsidR="00AA0B34">
        <w:rPr>
          <w:lang w:eastAsia="es-CO"/>
        </w:rPr>
        <w:t>“</w:t>
      </w:r>
      <w:r w:rsidRPr="00F10391">
        <w:rPr>
          <w:lang w:eastAsia="es-CO"/>
        </w:rPr>
        <w:t>‘small and patchy</w:t>
      </w:r>
      <w:r w:rsidR="00AA0B34">
        <w:rPr>
          <w:lang w:eastAsia="es-CO"/>
        </w:rPr>
        <w:t>”</w:t>
      </w:r>
      <w:r w:rsidRPr="00F10391">
        <w:rPr>
          <w:lang w:eastAsia="es-CO"/>
        </w:rPr>
        <w:t xml:space="preserve"> </w:t>
      </w:r>
      <w:r w:rsidRPr="00F10391">
        <w:rPr>
          <w:lang w:eastAsia="es-CO"/>
        </w:rPr>
        <w:fldChar w:fldCharType="begin"/>
      </w:r>
      <w:r w:rsidR="00D24504">
        <w:rPr>
          <w:lang w:eastAsia="es-CO"/>
        </w:rPr>
        <w:instrText xml:space="preserve"> ADDIN EN.CITE &lt;EndNote&gt;&lt;Cite&gt;&lt;Author&gt;Niessen&lt;/Author&gt;&lt;Year&gt;2012&lt;/Year&gt;&lt;RecNum&gt;327&lt;/RecNum&gt;&lt;DisplayText&gt;[363]&lt;/DisplayText&gt;&lt;record&gt;&lt;rec-number&gt;327&lt;/rec-number&gt;&lt;foreign-keys&gt;&lt;key app="EN" db-id="sz9092dv2s5fpze9wpgx0zxgv5ar00aezrvf" timestamp="0"&gt;327&lt;/key&gt;&lt;/foreign-keys&gt;&lt;ref-type name="Report"&gt;27&lt;/ref-type&gt;&lt;contributors&gt;&lt;authors&gt;&lt;author&gt;Niessen, Louis W&lt;/author&gt;&lt;author&gt;Bridges, John&lt;/author&gt;&lt;author&gt;Lau, Brandyn D&lt;/author&gt;&lt;author&gt;Wilson, Renee F&lt;/author&gt;&lt;author&gt;Sharma, Ritu&lt;/author&gt;&lt;author&gt;Walker, Damian G&lt;/author&gt;&lt;author&gt;Frick, Kevin D&lt;/author&gt;&lt;author&gt;Bass, Eric B&lt;/author&gt;&lt;/authors&gt;&lt;/contributors&gt;&lt;titles&gt;&lt;title&gt;Assessing the Impact of Economic Evidence on Policymakers in Health Care—A Systematic Review&lt;/title&gt;&lt;/titles&gt;&lt;num-vols&gt;AHRQ Publication No. 12(13)-EHC133-EF&lt;/num-vols&gt;&lt;dates&gt;&lt;year&gt;2012&lt;/year&gt;&lt;pub-dates&gt;&lt;date&gt;Oct 2012&lt;/date&gt;&lt;/pub-dates&gt;&lt;/dates&gt;&lt;pub-location&gt;Rockville, MD: Agency for Healthcare Research and Quality&lt;/pub-location&gt;&lt;publisher&gt;Johns Hopkins University Evidence-based Practice Center &lt;/publisher&gt;&lt;urls&gt;&lt;related-urls&gt;&lt;url&gt; www.effectivehealthcare.ahrq.gov/reports/final.cfm&lt;/url&gt;&lt;/related-urls&gt;&lt;/urls&gt;&lt;/record&gt;&lt;/Cite&gt;&lt;/EndNote&gt;</w:instrText>
      </w:r>
      <w:r w:rsidRPr="00F10391">
        <w:rPr>
          <w:lang w:eastAsia="es-CO"/>
        </w:rPr>
        <w:fldChar w:fldCharType="separate"/>
      </w:r>
      <w:r w:rsidR="00D24504">
        <w:rPr>
          <w:noProof/>
          <w:lang w:eastAsia="es-CO"/>
        </w:rPr>
        <w:t>[363]</w:t>
      </w:r>
      <w:r w:rsidRPr="00F10391">
        <w:rPr>
          <w:lang w:eastAsia="es-CO"/>
        </w:rPr>
        <w:fldChar w:fldCharType="end"/>
      </w:r>
      <w:r w:rsidRPr="00F10391">
        <w:rPr>
          <w:lang w:eastAsia="es-CO"/>
        </w:rPr>
        <w:t xml:space="preserve">. As has been noted, acceptance of economic perspectives in public health has been slow, and this has been in part influenced by the complex and multi-factorial nature of public health problems, and the prevalence of a range of national, local political and contextual influences which impact on decision-making. The study carried out by NICE about supporting local government decision-making in public health </w:t>
      </w:r>
      <w:r w:rsidRPr="00F10391">
        <w:rPr>
          <w:lang w:eastAsia="es-CO"/>
        </w:rPr>
        <w:fldChar w:fldCharType="begin"/>
      </w:r>
      <w:r w:rsidR="00700267">
        <w:rPr>
          <w:lang w:eastAsia="es-CO"/>
        </w:rPr>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rPr>
          <w:lang w:eastAsia="es-CO"/>
        </w:rPr>
        <w:fldChar w:fldCharType="separate"/>
      </w:r>
      <w:r w:rsidR="00700267">
        <w:rPr>
          <w:noProof/>
          <w:lang w:eastAsia="es-CO"/>
        </w:rPr>
        <w:t>[166]</w:t>
      </w:r>
      <w:r w:rsidRPr="00F10391">
        <w:rPr>
          <w:lang w:eastAsia="es-CO"/>
        </w:rPr>
        <w:fldChar w:fldCharType="end"/>
      </w:r>
      <w:r w:rsidRPr="00F10391">
        <w:rPr>
          <w:lang w:eastAsia="es-CO"/>
        </w:rPr>
        <w:t xml:space="preserve"> demonstrated the importance of developing methods perceived as useful by commissioners in ways that were transparent and easy to grasp. This is particularly important given that fewer resources are available at a local level for carrying out specific economic analyses to inform such decisions </w:t>
      </w:r>
      <w:r w:rsidRPr="00F10391">
        <w:rPr>
          <w:lang w:eastAsia="es-CO"/>
        </w:rPr>
        <w:fldChar w:fldCharType="begin"/>
      </w:r>
      <w:r w:rsidRPr="00F10391">
        <w:rPr>
          <w:lang w:eastAsia="es-CO"/>
        </w:rPr>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rPr>
          <w:lang w:eastAsia="es-CO"/>
        </w:rPr>
        <w:fldChar w:fldCharType="separate"/>
      </w:r>
      <w:r w:rsidRPr="00F10391">
        <w:rPr>
          <w:lang w:eastAsia="es-CO"/>
        </w:rPr>
        <w:t>[1]</w:t>
      </w:r>
      <w:r w:rsidRPr="00F10391">
        <w:rPr>
          <w:lang w:eastAsia="es-CO"/>
        </w:rPr>
        <w:fldChar w:fldCharType="end"/>
      </w:r>
      <w:r w:rsidRPr="00F10391">
        <w:rPr>
          <w:lang w:eastAsia="es-CO"/>
        </w:rPr>
        <w:t>. Most tools can, however, involve stakeholders and the public in the selection and valuing of criteria. Partnership working and well-developed stakeholder relationships are a key to the successful use of prioritisation techniques.</w:t>
      </w:r>
    </w:p>
    <w:p w14:paraId="5F5B9D7C" w14:textId="77777777" w:rsidR="00D22CE3" w:rsidRPr="00F10391" w:rsidRDefault="00D22CE3">
      <w:pPr>
        <w:pStyle w:val="Heading3"/>
      </w:pPr>
      <w:bookmarkStart w:id="815" w:name="_Toc283984188"/>
      <w:bookmarkStart w:id="816" w:name="_Toc304640277"/>
      <w:bookmarkStart w:id="817" w:name="_Toc441509034"/>
      <w:bookmarkStart w:id="818" w:name="_Toc453235478"/>
      <w:bookmarkStart w:id="819" w:name="_Toc453595551"/>
      <w:bookmarkStart w:id="820" w:name="_Toc476241648"/>
      <w:r w:rsidRPr="00F10391">
        <w:t>7.5.1</w:t>
      </w:r>
      <w:r w:rsidRPr="00F10391">
        <w:tab/>
      </w:r>
      <w:r w:rsidRPr="00F10391">
        <w:tab/>
        <w:t>Limitations of this study</w:t>
      </w:r>
      <w:bookmarkEnd w:id="815"/>
      <w:bookmarkEnd w:id="816"/>
      <w:bookmarkEnd w:id="817"/>
      <w:bookmarkEnd w:id="818"/>
      <w:bookmarkEnd w:id="819"/>
      <w:bookmarkEnd w:id="820"/>
    </w:p>
    <w:p w14:paraId="58B5993A" w14:textId="77777777" w:rsidR="00D22CE3" w:rsidRPr="00F10391" w:rsidRDefault="00D22CE3">
      <w:r w:rsidRPr="00F10391">
        <w:t>There were a number of stages to the process, each of which helped inform decision-makers. But the approach is not without limitations, and it would be inappropriate to use the findings of the MCDA stages in isolation and without further reflection. The supplementary steps examining the results better inform decision-makers on the outcomes of the decisions in the real world and help to reduce the risk of bias, increasing the chances of achieving successful policy outcomes. The political context and oversight should help to ensure results that align with perceived common sense.</w:t>
      </w:r>
    </w:p>
    <w:p w14:paraId="49C43796" w14:textId="77777777" w:rsidR="00D22CE3" w:rsidRPr="00F10391" w:rsidRDefault="00D22CE3">
      <w:r w:rsidRPr="00F10391">
        <w:t>The length of time available at the decision conference was an issue, most obviously in the fact that scores for the final interventions were decided by two parallel subgroups rather than by all participants simultaneously. However, it is worth emphasising that this was only part of one stage of the overall project. Scores generated at the meeting were only intended to be the next step on a ladder towards a final decision. They serve to highlight potentially new avenues for decision-makers, but no ranking could be said to be the final word, as the model is by necessity limited and subsequent decisions could not be made in a political vacuum.</w:t>
      </w:r>
    </w:p>
    <w:p w14:paraId="07955674" w14:textId="77777777" w:rsidR="00D22CE3" w:rsidRPr="00F10391" w:rsidRDefault="00D22CE3">
      <w:r w:rsidRPr="00F10391">
        <w:t>Multi-objective optimisation assumed independence of effect regardless of which other approaches were used, which seems unlikely. However, this was a conscious decision, as to attempt to model all such potential combinations was overly complicated and may have led to specious results. The opportunity costs of different strategies (such as requiring approaches from each strand, or ensuring ASSIST was provided as it was recommended in NICE guidance) could be tailored and examined with this in mind.</w:t>
      </w:r>
    </w:p>
    <w:p w14:paraId="07225545" w14:textId="77777777" w:rsidR="00D22CE3" w:rsidRPr="00F10391" w:rsidRDefault="00D22CE3">
      <w:r w:rsidRPr="00F10391">
        <w:t xml:space="preserve">MCDA approaches as part of the MOO stage were also assumed to have a constant effect rate, between the minimum and maximum possible spend. While this was also naïve, again the approach was meant to offer a tool by which to examine and understand the effects of applying different strategies, rather than the final, ideal ranking of interventions. </w:t>
      </w:r>
    </w:p>
    <w:p w14:paraId="4B2DE33A" w14:textId="0E5C9B5F" w:rsidR="00D22CE3" w:rsidRPr="00F10391" w:rsidRDefault="00D22CE3">
      <w:r w:rsidRPr="00F10391">
        <w:t xml:space="preserve">Issues such as synergies between interventions and how to manage the timings of disinvestment for previous interventions were also not considered in the model. These too ultimately require the </w:t>
      </w:r>
      <w:r w:rsidR="001B7ADD">
        <w:t>judgment</w:t>
      </w:r>
      <w:r w:rsidRPr="00F10391">
        <w:t xml:space="preserve"> of DsPH</w:t>
      </w:r>
      <w:r w:rsidR="005611E1">
        <w:t xml:space="preserve"> (and subsequently the councillors themselves)</w:t>
      </w:r>
      <w:r w:rsidRPr="00F10391">
        <w:t xml:space="preserve">, particularly in the new, more openly political setting. The approaches outlined in this study could only inform these decisions, and the criteria used are not necessarily exhaustive. </w:t>
      </w:r>
    </w:p>
    <w:p w14:paraId="3A72F386" w14:textId="152602DD" w:rsidR="00D22CE3" w:rsidRPr="00F10391" w:rsidRDefault="00D22CE3">
      <w:r w:rsidRPr="00F10391">
        <w:t xml:space="preserve">One unexpected limitation is that of defining who exactly can be accurately defined as the </w:t>
      </w:r>
      <w:r w:rsidR="00AA0B34">
        <w:t>‘</w:t>
      </w:r>
      <w:r w:rsidRPr="00F10391">
        <w:t>decision-maker</w:t>
      </w:r>
      <w:r w:rsidR="00AA0B34">
        <w:t>’</w:t>
      </w:r>
      <w:r w:rsidRPr="00F10391">
        <w:t xml:space="preserve">. For the purposes of this chapter, it is assumed that the relevant arbiters were the DsPH, even though they neither participated in the MCDA model, nor can they </w:t>
      </w:r>
      <w:r w:rsidR="00AA0B34">
        <w:t>‘</w:t>
      </w:r>
      <w:r w:rsidRPr="00F10391">
        <w:t>decide</w:t>
      </w:r>
      <w:r w:rsidR="00AA0B34">
        <w:t>’</w:t>
      </w:r>
      <w:r w:rsidRPr="00F10391">
        <w:t xml:space="preserve"> wholly independently of the local governmental councillors (who themselves are responsible to the electorate). Such a complex system of checks and balances may make value-free, wholly objective decision-making difficult to achieve, which perhaps could have been foreseen given the difficulties in policy-making highlighted in Chapter 4. Nonetheless, this process was (similarly to Chapter 6) intended to model and inform a stage of the chain of sub-decisions required in the broader decision-making process, rather than a whole start-to-finish approach. Informing the TCCs, before they made their dispositions to their DsPH (and before they made their own decisions) seems as reasonable a place as any to draw this line, especially given who I had access to. As previously argued, being realistic in what can be achieved is considered as key in operational research settings and in generating actually useful insights.</w:t>
      </w:r>
    </w:p>
    <w:p w14:paraId="66F53225" w14:textId="77777777" w:rsidR="00D22CE3" w:rsidRPr="00F10391" w:rsidRDefault="00D22CE3">
      <w:r w:rsidRPr="00F10391">
        <w:t xml:space="preserve">In principle, the recommendations may have been influenced by the specific MCDA model used. In practice this is difficult to test (though Chapter 2 described that there is ample research showing that decisions can be influenced by the manner in which a question is asked </w:t>
      </w:r>
      <w:r w:rsidRPr="00F10391">
        <w:fldChar w:fldCharType="begin"/>
      </w:r>
      <w:r w:rsidR="00700267">
        <w:instrText xml:space="preserve"> ADDIN EN.CITE &lt;EndNote&gt;&lt;Cite&gt;&lt;Author&gt;Tversky&lt;/Author&gt;&lt;Year&gt;1974&lt;/Year&gt;&lt;RecNum&gt;143&lt;/RecNum&gt;&lt;DisplayText&gt;[76, 364]&lt;/DisplayText&gt;&lt;record&gt;&lt;rec-number&gt;143&lt;/rec-number&gt;&lt;foreign-keys&gt;&lt;key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Cite&gt;&lt;Author&gt;Shafir&lt;/Author&gt;&lt;Year&gt;1993&lt;/Year&gt;&lt;RecNum&gt;356&lt;/RecNum&gt;&lt;record&gt;&lt;rec-number&gt;356&lt;/rec-number&gt;&lt;foreign-keys&gt;&lt;key app="EN" db-id="sz9092dv2s5fpze9wpgx0zxgv5ar00aezrvf" timestamp="0"&gt;356&lt;/key&gt;&lt;/foreign-keys&gt;&lt;ref-type name="Journal Article"&gt;17&lt;/ref-type&gt;&lt;contributors&gt;&lt;authors&gt;&lt;author&gt;Shafir, Eldar&lt;/author&gt;&lt;/authors&gt;&lt;/contributors&gt;&lt;titles&gt;&lt;title&gt;Choosing versus rejecting: Why some options are both better and worse than others&lt;/title&gt;&lt;secondary-title&gt;Memory &amp;amp; cognition&lt;/secondary-title&gt;&lt;/titles&gt;&lt;pages&gt;546-556&lt;/pages&gt;&lt;volume&gt;21&lt;/volume&gt;&lt;number&gt;4&lt;/number&gt;&lt;dates&gt;&lt;year&gt;1993&lt;/year&gt;&lt;/dates&gt;&lt;isbn&gt;0090-502X&lt;/isbn&gt;&lt;urls&gt;&lt;/urls&gt;&lt;/record&gt;&lt;/Cite&gt;&lt;/EndNote&gt;</w:instrText>
      </w:r>
      <w:r w:rsidRPr="00F10391">
        <w:fldChar w:fldCharType="separate"/>
      </w:r>
      <w:r w:rsidR="00700267">
        <w:rPr>
          <w:noProof/>
        </w:rPr>
        <w:t>[76, 364]</w:t>
      </w:r>
      <w:r w:rsidRPr="00F10391">
        <w:fldChar w:fldCharType="end"/>
      </w:r>
      <w:r w:rsidRPr="00F10391">
        <w:t>). Given that each stage of the approach was designed to carefully correspond to the nature of the problem, it is unclear what approach could be used as a comparator. It is worth reiterating however that no such approach can claim to necessarily produce a uniquely correct answer, and instead the process should be thought of as informing and facilitating subsequent decisions. Whether or not DsPH would have made different decisions had AHP, for example, been used at the decision conference is unclear. But there were good reasons why AHP was not used as previously described, and there is a reasonable chance that, had it been used in practice, no results would have been derived in a suitably timely manner.</w:t>
      </w:r>
    </w:p>
    <w:p w14:paraId="6791A6CE" w14:textId="34803D7B" w:rsidR="00D22CE3" w:rsidRDefault="00D22CE3">
      <w:r w:rsidRPr="00F10391">
        <w:t xml:space="preserve">As described in the evaluations section, the approach would be more easily replicable if it followed a standardised evaluative approach at each stage. No such approach was found to be suitable for pragmatically balancing the competing requirements of decision-makers and the MCDA methodologies and such standardisation may not be appropriate in local contexts </w:t>
      </w:r>
      <w:r w:rsidRPr="00F10391">
        <w:fldChar w:fldCharType="begin"/>
      </w:r>
      <w:r w:rsidR="00D24504">
        <w:instrText xml:space="preserve"> ADDIN EN.CITE &lt;EndNote&gt;&lt;Cite&gt;&lt;Author&gt;Craig&lt;/Author&gt;&lt;Year&gt;2008&lt;/Year&gt;&lt;RecNum&gt;355&lt;/RecNum&gt;&lt;DisplayText&gt;[362]&lt;/DisplayText&gt;&lt;record&gt;&lt;rec-number&gt;355&lt;/rec-number&gt;&lt;foreign-keys&gt;&lt;key app="EN" db-id="sz9092dv2s5fpze9wpgx0zxgv5ar00aezrvf" timestamp="0"&gt;355&lt;/key&gt;&lt;/foreign-keys&gt;&lt;ref-type name="Journal Article"&gt;17&lt;/ref-type&gt;&lt;contributors&gt;&lt;authors&gt;&lt;author&gt;Craig, Peter&lt;/author&gt;&lt;author&gt;Dieppe, Paul&lt;/author&gt;&lt;author&gt;Macintyre, Sally&lt;/author&gt;&lt;author&gt;Michie, Susan&lt;/author&gt;&lt;author&gt;Nazareth, Irwin&lt;/author&gt;&lt;author&gt;Petticrew, Mark&lt;/author&gt;&lt;/authors&gt;&lt;/contributors&gt;&lt;titles&gt;&lt;title&gt;Developing and evaluating complex interventions: the new Medical Research Council guidance&lt;/title&gt;&lt;secondary-title&gt;Bmj&lt;/secondary-title&gt;&lt;/titles&gt;&lt;volume&gt;337&lt;/volume&gt;&lt;dates&gt;&lt;year&gt;2008&lt;/year&gt;&lt;/dates&gt;&lt;isbn&gt;0959-8138&lt;/isbn&gt;&lt;urls&gt;&lt;/urls&gt;&lt;/record&gt;&lt;/Cite&gt;&lt;/EndNote&gt;</w:instrText>
      </w:r>
      <w:r w:rsidRPr="00F10391">
        <w:fldChar w:fldCharType="separate"/>
      </w:r>
      <w:r w:rsidR="00D24504">
        <w:rPr>
          <w:noProof/>
        </w:rPr>
        <w:t>[362]</w:t>
      </w:r>
      <w:r w:rsidRPr="00F10391">
        <w:fldChar w:fldCharType="end"/>
      </w:r>
      <w:r w:rsidRPr="00F10391">
        <w:t xml:space="preserve">. The hope of this study is that its reasoning for decisions is reported sufficiently clearly, that researchers are enabled to adapt the approaches used to other contexts using suitable </w:t>
      </w:r>
      <w:r w:rsidR="001B7ADD">
        <w:t>judgment</w:t>
      </w:r>
      <w:r w:rsidRPr="00F10391">
        <w:t xml:space="preserve"> and discretion.</w:t>
      </w:r>
    </w:p>
    <w:p w14:paraId="59B92638" w14:textId="2ABCB330" w:rsidR="005611E1" w:rsidRPr="00F10391" w:rsidRDefault="005611E1">
      <w:r>
        <w:t>Aside from the MCDA approach used, the broader methodology is also clouded by contextual factors. The choice of which stakeholders to invite, or how to select and weight relevant criteria, was a somewhat subjective process, influenced as it was by exper</w:t>
      </w:r>
      <w:r w:rsidR="00C55994">
        <w:t xml:space="preserve">ience and </w:t>
      </w:r>
      <w:r w:rsidR="001B7ADD">
        <w:t>judgment</w:t>
      </w:r>
      <w:r w:rsidR="00C55994">
        <w:t xml:space="preserve">. My role as </w:t>
      </w:r>
      <w:r w:rsidR="001356E5">
        <w:t>fac</w:t>
      </w:r>
      <w:r>
        <w:t>ili</w:t>
      </w:r>
      <w:r w:rsidR="001356E5">
        <w:t>t</w:t>
      </w:r>
      <w:r>
        <w:t xml:space="preserve">ator on the day of the decision conference also required a certain level of familiarity with the </w:t>
      </w:r>
      <w:r w:rsidR="001356E5">
        <w:t xml:space="preserve">prioritisation problem </w:t>
      </w:r>
      <w:r>
        <w:t xml:space="preserve">and with the </w:t>
      </w:r>
      <w:r w:rsidR="00397687">
        <w:t>nature of the prioritisation under investigation. It is not clear if such a process would have been successful had it been carried out by an external expert brought in on the day, or if such an expert would even be available. Without such a facilitator, it is unclear how the process could have been run on the day at all. While in theory scores for interventions could also have been generated by correspondence (as with the weights), it seems likely that something of the buy-in and reflective learning process</w:t>
      </w:r>
      <w:r w:rsidR="00C55994">
        <w:t xml:space="preserve"> for stakeholders</w:t>
      </w:r>
      <w:r w:rsidR="00397687">
        <w:t xml:space="preserve"> would be lost if it were not possible </w:t>
      </w:r>
      <w:r w:rsidR="00C55994">
        <w:t>for them</w:t>
      </w:r>
      <w:r w:rsidR="00397687">
        <w:t xml:space="preserve"> to </w:t>
      </w:r>
      <w:r w:rsidR="00C55994">
        <w:t>all be in a room</w:t>
      </w:r>
      <w:r w:rsidR="00397687">
        <w:t xml:space="preserve"> and exchange views in person. </w:t>
      </w:r>
    </w:p>
    <w:p w14:paraId="2EFC1613" w14:textId="77777777" w:rsidR="00D22CE3" w:rsidRPr="00071025" w:rsidRDefault="00071025">
      <w:pPr>
        <w:rPr>
          <w:lang w:eastAsia="en-US"/>
        </w:rPr>
      </w:pPr>
      <w:r>
        <w:t>As previously stated, case studies are by their nature</w:t>
      </w:r>
      <w:r w:rsidRPr="00F10391">
        <w:rPr>
          <w:lang w:eastAsia="en-US"/>
        </w:rPr>
        <w:t xml:space="preserve"> more difficult to generalise from but provide rich, contextual information</w:t>
      </w:r>
      <w:r w:rsidR="00883193">
        <w:rPr>
          <w:lang w:eastAsia="en-US"/>
        </w:rPr>
        <w:t xml:space="preserve"> </w:t>
      </w:r>
      <w:r w:rsidR="00883193">
        <w:rPr>
          <w:lang w:eastAsia="en-US"/>
        </w:rPr>
        <w:fldChar w:fldCharType="begin"/>
      </w:r>
      <w:r w:rsidR="00700267">
        <w:rPr>
          <w:lang w:eastAsia="en-US"/>
        </w:rPr>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00883193">
        <w:rPr>
          <w:lang w:eastAsia="en-US"/>
        </w:rPr>
        <w:fldChar w:fldCharType="separate"/>
      </w:r>
      <w:r w:rsidR="00700267">
        <w:rPr>
          <w:noProof/>
          <w:lang w:eastAsia="en-US"/>
        </w:rPr>
        <w:t>[19]</w:t>
      </w:r>
      <w:r w:rsidR="00883193">
        <w:rPr>
          <w:lang w:eastAsia="en-US"/>
        </w:rPr>
        <w:fldChar w:fldCharType="end"/>
      </w:r>
      <w:r>
        <w:rPr>
          <w:lang w:eastAsia="en-US"/>
        </w:rPr>
        <w:t xml:space="preserve">. The use of this approach was a conscious decision for the reasons previously outlined, but inevitably it means that the results cannot necessarily be easily unpacked and directly applied for </w:t>
      </w:r>
      <w:r w:rsidR="00C55994">
        <w:rPr>
          <w:lang w:eastAsia="en-US"/>
        </w:rPr>
        <w:t>all</w:t>
      </w:r>
      <w:r>
        <w:rPr>
          <w:lang w:eastAsia="en-US"/>
        </w:rPr>
        <w:t xml:space="preserve"> such projects in future. As a result, gaps remain and the findings cannot be considered universal. But given the fact that it seems to have been successful (both technically and in practice), the project does prove that such approaches </w:t>
      </w:r>
      <w:r>
        <w:rPr>
          <w:i/>
          <w:lang w:eastAsia="en-US"/>
        </w:rPr>
        <w:t>can</w:t>
      </w:r>
      <w:r>
        <w:rPr>
          <w:lang w:eastAsia="en-US"/>
        </w:rPr>
        <w:t xml:space="preserve"> be considered suitable</w:t>
      </w:r>
      <w:r w:rsidR="00C55994">
        <w:rPr>
          <w:lang w:eastAsia="en-US"/>
        </w:rPr>
        <w:t>, which is an important finding in the context of the thesis.</w:t>
      </w:r>
    </w:p>
    <w:p w14:paraId="17E7A7AE" w14:textId="77777777" w:rsidR="00071025" w:rsidRPr="00F10391" w:rsidRDefault="00071025"/>
    <w:p w14:paraId="2D186A58" w14:textId="77777777" w:rsidR="00D22CE3" w:rsidRPr="00F10391" w:rsidRDefault="00D22CE3">
      <w:pPr>
        <w:pStyle w:val="Numberedheading2"/>
      </w:pPr>
      <w:bookmarkStart w:id="821" w:name="_Toc283984189"/>
      <w:bookmarkStart w:id="822" w:name="_Toc304640278"/>
      <w:bookmarkStart w:id="823" w:name="_Toc441509035"/>
      <w:bookmarkStart w:id="824" w:name="_Toc453235479"/>
      <w:bookmarkStart w:id="825" w:name="_Toc453595552"/>
      <w:bookmarkStart w:id="826" w:name="_Toc476241649"/>
      <w:r w:rsidRPr="00F10391">
        <w:t>7.6</w:t>
      </w:r>
      <w:r w:rsidRPr="00F10391">
        <w:tab/>
      </w:r>
      <w:r w:rsidRPr="00F10391">
        <w:tab/>
        <w:t>Conclusions</w:t>
      </w:r>
      <w:bookmarkEnd w:id="821"/>
      <w:bookmarkEnd w:id="822"/>
      <w:bookmarkEnd w:id="823"/>
      <w:bookmarkEnd w:id="824"/>
      <w:bookmarkEnd w:id="825"/>
      <w:bookmarkEnd w:id="826"/>
    </w:p>
    <w:p w14:paraId="1CB48B49" w14:textId="77777777" w:rsidR="00D22CE3" w:rsidRPr="00F10391" w:rsidRDefault="00D22CE3"/>
    <w:p w14:paraId="555036C6" w14:textId="0A0D424A" w:rsidR="00D22CE3" w:rsidRPr="00F10391" w:rsidRDefault="00D22CE3">
      <w:pPr>
        <w:rPr>
          <w:lang w:eastAsia="es-CO"/>
        </w:rPr>
      </w:pPr>
      <w:r w:rsidRPr="00F10391">
        <w:rPr>
          <w:lang w:eastAsia="es-CO"/>
        </w:rPr>
        <w:t xml:space="preserve">The ability of MCDA techniques to incorporate data and both qualitative and quantitative </w:t>
      </w:r>
      <w:r w:rsidR="001B7ADD">
        <w:rPr>
          <w:lang w:eastAsia="es-CO"/>
        </w:rPr>
        <w:t>judgment</w:t>
      </w:r>
      <w:r w:rsidRPr="00F10391">
        <w:rPr>
          <w:lang w:eastAsia="es-CO"/>
        </w:rPr>
        <w:t>s in a formal manner means that they are well suited to support public health decision-making, where evidence is often only partially available and many policies are value-driven. Local decision-makers need to choose the appropriate method based on their resource/time constraints, scientific validity and the significance and broader context of the decision problem.</w:t>
      </w:r>
    </w:p>
    <w:p w14:paraId="0152402C" w14:textId="239D9258" w:rsidR="00D22CE3" w:rsidRPr="00F10391" w:rsidRDefault="00D22CE3">
      <w:r w:rsidRPr="00F10391">
        <w:t xml:space="preserve">In this study, an MCDA approach was used to reappraise public health spending on reducing the harm caused by tobacco across the four boroughs making up South Yorkshire. To ensure legitimacy, public engagement was used throughout the early stages. Expert </w:t>
      </w:r>
      <w:r w:rsidR="001B7ADD">
        <w:t>judgment</w:t>
      </w:r>
      <w:r w:rsidRPr="00F10391">
        <w:t xml:space="preserve"> was elicited to address known gaps in evidence, similar to the well-established role experts play in informing NICE’s public health guidance. The approach was successful at bringing together the viewpoints of a wide range of stakeholders, and at prioritising interventions based upon these. The results differed significantly from prior practice, with a number of previously offered stop smoking services performing badly (which perhaps might be related to why they had failed to reduce prevalence). The results also highlighted potentially useful new approaches, which it was hoped would provide a more holistic and successful approach when used in concert.</w:t>
      </w:r>
    </w:p>
    <w:p w14:paraId="4B747D39" w14:textId="5E0A1DD7" w:rsidR="00D22CE3" w:rsidRDefault="00D22CE3">
      <w:r w:rsidRPr="00F10391">
        <w:t xml:space="preserve">The open and transparent nature of the approach allowed public and expert opinion to be used at various stages of the process as required, increasing the likelihood of political acceptability.  Imposing the MCDA framework of listing relevant criteria and interventions led to a model that could be used across very different types of decision problems and served as something of a uniting mission statement for the project.  This was the vehicle by which an initial impasse over appropriate areas for outcomes of tobacco spending was transformed into tangible policy options, addressing a range of relevant issues. The results of the approach could only inform future decision-making; while they were based upon expert </w:t>
      </w:r>
      <w:r w:rsidR="001B7ADD">
        <w:t>judgment</w:t>
      </w:r>
      <w:r w:rsidRPr="00F10391">
        <w:t xml:space="preserve">, further </w:t>
      </w:r>
      <w:r w:rsidR="001B7ADD">
        <w:t>judgment</w:t>
      </w:r>
      <w:r w:rsidRPr="00F10391">
        <w:t xml:space="preserve"> at the level of the DsPH has been required to ensure that suggested combinations of interventions are feasible, both politically and in terms of available infrastructure. But the process was designed with this wholly in mind and the project’s results empowered all four councils to make major changes in the services provided despite extremely challenging circumstances.</w:t>
      </w:r>
    </w:p>
    <w:p w14:paraId="4EF4D81D" w14:textId="7ED96398" w:rsidR="00071025" w:rsidRPr="00F10391" w:rsidRDefault="00071025">
      <w:r>
        <w:t>Some questions regarding the</w:t>
      </w:r>
      <w:r w:rsidR="001356E5">
        <w:t xml:space="preserve"> generalisability </w:t>
      </w:r>
      <w:r>
        <w:t xml:space="preserve">of findings remain. The approach required the experience of the TCCs to direct each stage of the process, such as </w:t>
      </w:r>
      <w:r w:rsidR="00DC1C0E">
        <w:t xml:space="preserve">identifying </w:t>
      </w:r>
      <w:r>
        <w:t xml:space="preserve">the list of criteria and suitable stakeholders. </w:t>
      </w:r>
      <w:r w:rsidR="00E1734C">
        <w:t xml:space="preserve">Stakeholders also had to be willing to take part, </w:t>
      </w:r>
      <w:r w:rsidR="00C55994">
        <w:t xml:space="preserve">and </w:t>
      </w:r>
      <w:r w:rsidR="00E1734C">
        <w:t>in hindsight it was not necessarily a given that the DsPH would even take the findings of such an untested approach seriously. The decision conference required the skills of an experienced facilitator. If any one of these factors had not been in plac</w:t>
      </w:r>
      <w:r w:rsidR="00C55994">
        <w:t>e</w:t>
      </w:r>
      <w:r w:rsidR="00E1734C">
        <w:t>, another approach may have been necessary (and may have failed). Throughout the process close collaboration was required to iron out the issues and compromises that were inevitable in developing such an approach given its exact context, and the process cannot therefore be easily copied for other future projects. Its main finding is therefore that such an appr</w:t>
      </w:r>
      <w:r w:rsidR="00097A0C">
        <w:t xml:space="preserve">oach </w:t>
      </w:r>
      <w:r w:rsidR="00097A0C" w:rsidRPr="0063065F">
        <w:rPr>
          <w:i/>
        </w:rPr>
        <w:t>can</w:t>
      </w:r>
      <w:r w:rsidR="00097A0C">
        <w:t xml:space="preserve"> be considered suitable, </w:t>
      </w:r>
      <w:r w:rsidR="00E1734C">
        <w:t>given the right circumstances.</w:t>
      </w:r>
    </w:p>
    <w:p w14:paraId="22139EC3" w14:textId="77777777" w:rsidR="00D22CE3" w:rsidRPr="00F10391" w:rsidRDefault="00D22CE3">
      <w:r w:rsidRPr="00F10391">
        <w:t xml:space="preserve">This chapter has provided another example of how MCDA approaches can be successfully implemented in public health settings. The next chapter draws together lessons from the previous chapters, to discuss why and how such approaches might be developed in future. </w:t>
      </w:r>
    </w:p>
    <w:p w14:paraId="65BE6A97" w14:textId="77777777" w:rsidR="00D22CE3" w:rsidRPr="00F10391" w:rsidRDefault="00D22CE3"/>
    <w:p w14:paraId="550C1532" w14:textId="77777777" w:rsidR="00D22CE3" w:rsidRPr="00F10391" w:rsidRDefault="00D22CE3"/>
    <w:p w14:paraId="4B96000C" w14:textId="77777777" w:rsidR="00D22CE3" w:rsidRPr="00F10391" w:rsidRDefault="00D22CE3" w:rsidP="00307DCA">
      <w:pPr>
        <w:pStyle w:val="Heading1"/>
        <w:numPr>
          <w:ilvl w:val="0"/>
          <w:numId w:val="64"/>
        </w:numPr>
        <w:ind w:left="0"/>
      </w:pPr>
      <w:r w:rsidRPr="00F10391">
        <w:br w:type="page"/>
      </w:r>
      <w:bookmarkStart w:id="827" w:name="_Toc304640279"/>
      <w:bookmarkStart w:id="828" w:name="_Toc441581778"/>
      <w:bookmarkStart w:id="829" w:name="_Toc453235480"/>
      <w:bookmarkStart w:id="830" w:name="_Toc453595553"/>
      <w:bookmarkStart w:id="831" w:name="_Toc476241650"/>
      <w:r w:rsidRPr="00F10391">
        <w:t xml:space="preserve">: </w:t>
      </w:r>
      <w:r w:rsidRPr="00F10391">
        <w:tab/>
        <w:t>Discussion</w:t>
      </w:r>
      <w:bookmarkEnd w:id="827"/>
      <w:bookmarkEnd w:id="828"/>
      <w:bookmarkEnd w:id="829"/>
      <w:bookmarkEnd w:id="830"/>
      <w:bookmarkEnd w:id="831"/>
      <w:r w:rsidRPr="00F10391">
        <w:t xml:space="preserve"> </w:t>
      </w:r>
    </w:p>
    <w:p w14:paraId="548CA0E1" w14:textId="77777777" w:rsidR="00D22CE3" w:rsidRPr="00F10391" w:rsidRDefault="00D22CE3" w:rsidP="00490B5D"/>
    <w:p w14:paraId="3204AD62" w14:textId="7229125C" w:rsidR="00D22CE3" w:rsidRPr="00F10391" w:rsidRDefault="00D22CE3" w:rsidP="00490B5D">
      <w:r w:rsidRPr="00F10391">
        <w:t xml:space="preserve">The chapter describes the remaining steps in Lee’s framework to match research design to a research problem, described in section 1.3. The chapter addresses the final research question: </w:t>
      </w:r>
      <w:r w:rsidR="00C55994">
        <w:t>‘</w:t>
      </w:r>
      <w:r w:rsidRPr="00F10391">
        <w:rPr>
          <w:i/>
        </w:rPr>
        <w:t>What recommendations can be drawn?</w:t>
      </w:r>
      <w:r w:rsidR="00C55994">
        <w:t>’</w:t>
      </w:r>
      <w:r w:rsidRPr="00F10391">
        <w:t xml:space="preserve"> It revisits the key research questions in turn, the contribution of prior chapters to each in the context of prior research in the area, corresponding to the research outcomes described by Lee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The associated recommendations for research and policy stages are contained with section 8.2.3, as recommendations themselves constituted a research question. The conclusions and limitations of the thesis are presented, alongside recommendations for future practice and some reflection on my own role in the process.</w:t>
      </w:r>
    </w:p>
    <w:p w14:paraId="787C53AD" w14:textId="77777777" w:rsidR="00D22CE3" w:rsidRPr="00F10391" w:rsidRDefault="00D22CE3" w:rsidP="006942ED">
      <w:r w:rsidRPr="00F10391">
        <w:t xml:space="preserve">It may be useful at this point to revisit the thesis structure and the relationship between the research questions and the chapters described in Chapter 1, shown again in Figure 8.1 below. </w:t>
      </w:r>
    </w:p>
    <w:p w14:paraId="54A31433" w14:textId="01753980" w:rsidR="000E04E1" w:rsidRPr="00F10391" w:rsidRDefault="000E04E1">
      <w:pPr>
        <w:pStyle w:val="Caption"/>
      </w:pPr>
      <w:bookmarkStart w:id="832" w:name="_Toc476241461"/>
      <w:r w:rsidRPr="00F10391">
        <w:t xml:space="preserve">Figure </w:t>
      </w:r>
      <w:r w:rsidR="000F1034">
        <w:fldChar w:fldCharType="begin"/>
      </w:r>
      <w:r w:rsidR="000F1034">
        <w:instrText xml:space="preserve"> STYLEREF 1 \s </w:instrText>
      </w:r>
      <w:r w:rsidR="000F1034">
        <w:fldChar w:fldCharType="separate"/>
      </w:r>
      <w:r w:rsidR="00B37229">
        <w:rPr>
          <w:noProof/>
        </w:rPr>
        <w:t>8</w:t>
      </w:r>
      <w:r w:rsidR="000F1034">
        <w:rPr>
          <w:noProof/>
        </w:rPr>
        <w:fldChar w:fldCharType="end"/>
      </w:r>
      <w:r w:rsidRPr="00F10391">
        <w:t>.</w:t>
      </w:r>
      <w:r w:rsidR="000F1034">
        <w:fldChar w:fldCharType="begin"/>
      </w:r>
      <w:r w:rsidR="000F1034">
        <w:instrText xml:space="preserve"> SEQ Figure \* ARABIC \s 1 </w:instrText>
      </w:r>
      <w:r w:rsidR="000F1034">
        <w:fldChar w:fldCharType="separate"/>
      </w:r>
      <w:r w:rsidR="00B37229">
        <w:rPr>
          <w:noProof/>
        </w:rPr>
        <w:t>1</w:t>
      </w:r>
      <w:r w:rsidR="000F1034">
        <w:rPr>
          <w:noProof/>
        </w:rPr>
        <w:fldChar w:fldCharType="end"/>
      </w:r>
      <w:r w:rsidRPr="00F10391">
        <w:t xml:space="preserve"> - Overview of the thesis’ framework; showing relationship between research objectives (row 1), research questions (row 2) and research outputs (row 3) and chapters (row 4) [as with Figure 1.2]</w:t>
      </w:r>
      <w:bookmarkEnd w:id="832"/>
    </w:p>
    <w:p w14:paraId="0F4AC837" w14:textId="77777777" w:rsidR="00D22CE3" w:rsidRPr="00F10391" w:rsidRDefault="00D22CE3">
      <w:r w:rsidRPr="00F10391">
        <w:rPr>
          <w:noProof/>
          <w:lang w:val="en-IE" w:eastAsia="en-IE"/>
        </w:rPr>
        <w:drawing>
          <wp:inline distT="0" distB="0" distL="0" distR="0" wp14:anchorId="62B6C98E" wp14:editId="195F25E7">
            <wp:extent cx="5913234" cy="388088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018" cy="3891243"/>
                    </a:xfrm>
                    <a:prstGeom prst="rect">
                      <a:avLst/>
                    </a:prstGeom>
                    <a:noFill/>
                  </pic:spPr>
                </pic:pic>
              </a:graphicData>
            </a:graphic>
          </wp:inline>
        </w:drawing>
      </w:r>
    </w:p>
    <w:p w14:paraId="42EF97BC" w14:textId="77777777" w:rsidR="00D22CE3" w:rsidRPr="00F10391" w:rsidRDefault="00D22CE3"/>
    <w:p w14:paraId="7C9CD226" w14:textId="77777777" w:rsidR="00D22CE3" w:rsidRPr="00F10391" w:rsidRDefault="00D22CE3">
      <w:pPr>
        <w:pStyle w:val="Numberedheading2"/>
      </w:pPr>
      <w:bookmarkStart w:id="833" w:name="_Toc453235481"/>
      <w:bookmarkStart w:id="834" w:name="_Toc453595554"/>
      <w:bookmarkStart w:id="835" w:name="_Toc476241651"/>
      <w:r w:rsidRPr="00F10391">
        <w:t>8.1</w:t>
      </w:r>
      <w:r w:rsidRPr="00F10391">
        <w:tab/>
      </w:r>
      <w:r w:rsidRPr="00F10391">
        <w:tab/>
        <w:t>Research outputs</w:t>
      </w:r>
      <w:bookmarkEnd w:id="833"/>
      <w:bookmarkEnd w:id="834"/>
      <w:bookmarkEnd w:id="835"/>
    </w:p>
    <w:p w14:paraId="2736E741" w14:textId="77777777" w:rsidR="00D22CE3" w:rsidRPr="00F10391" w:rsidRDefault="00D22CE3"/>
    <w:p w14:paraId="00526E60" w14:textId="77777777" w:rsidR="00D22CE3" w:rsidRPr="00F10391" w:rsidRDefault="00D22CE3">
      <w:r w:rsidRPr="00F10391">
        <w:t xml:space="preserve">The research outputs of the thesis naturally followed the research questions, as recommended by Lee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and provide:</w:t>
      </w:r>
    </w:p>
    <w:p w14:paraId="75611078" w14:textId="77777777" w:rsidR="00D22CE3" w:rsidRPr="00F10391" w:rsidRDefault="00D22CE3" w:rsidP="0063065F">
      <w:pPr>
        <w:pStyle w:val="ListParagraph"/>
        <w:numPr>
          <w:ilvl w:val="0"/>
          <w:numId w:val="55"/>
        </w:numPr>
      </w:pPr>
      <w:r w:rsidRPr="00F10391">
        <w:t>A description of public health decision-making techniques generally;</w:t>
      </w:r>
    </w:p>
    <w:p w14:paraId="27C1C342" w14:textId="77777777" w:rsidR="00D22CE3" w:rsidRPr="00F10391" w:rsidRDefault="00D22CE3" w:rsidP="0063065F">
      <w:pPr>
        <w:pStyle w:val="ListParagraph"/>
        <w:numPr>
          <w:ilvl w:val="0"/>
          <w:numId w:val="55"/>
        </w:numPr>
      </w:pPr>
      <w:r w:rsidRPr="00F10391">
        <w:t>A systematic review of how and where MCDA approaches have been used in public health settings previously worldwide;</w:t>
      </w:r>
    </w:p>
    <w:p w14:paraId="4F6C7FFC" w14:textId="77777777" w:rsidR="00D22CE3" w:rsidRPr="00F10391" w:rsidRDefault="00D22CE3" w:rsidP="0063065F">
      <w:pPr>
        <w:pStyle w:val="ListParagraph"/>
        <w:numPr>
          <w:ilvl w:val="0"/>
          <w:numId w:val="55"/>
        </w:numPr>
      </w:pPr>
      <w:r w:rsidRPr="00F10391">
        <w:t>A description of the decision-making processes, stages, actors and 'special factors' that are used in the CPH;</w:t>
      </w:r>
    </w:p>
    <w:p w14:paraId="1076CB8E" w14:textId="77777777" w:rsidR="00D22CE3" w:rsidRPr="00F10391" w:rsidRDefault="00D22CE3" w:rsidP="0063065F">
      <w:pPr>
        <w:pStyle w:val="ListParagraph"/>
        <w:numPr>
          <w:ilvl w:val="0"/>
          <w:numId w:val="55"/>
        </w:numPr>
      </w:pPr>
      <w:r w:rsidRPr="00F10391">
        <w:t>A review of techniques, perspectives and criteria that have been used in CPH economic modelling in practice, and implications for MCDA use there;</w:t>
      </w:r>
    </w:p>
    <w:p w14:paraId="386BB45E" w14:textId="77777777" w:rsidR="00D22CE3" w:rsidRPr="00F10391" w:rsidRDefault="00D22CE3" w:rsidP="0063065F">
      <w:pPr>
        <w:pStyle w:val="ListParagraph"/>
        <w:numPr>
          <w:ilvl w:val="0"/>
          <w:numId w:val="55"/>
        </w:numPr>
      </w:pPr>
      <w:r w:rsidRPr="00F10391">
        <w:t>A description of a piloted application of the AHP technique to CPH decision-making processes, at the topic appraisal stage;</w:t>
      </w:r>
    </w:p>
    <w:p w14:paraId="16F35351" w14:textId="77777777" w:rsidR="00D22CE3" w:rsidRPr="00F10391" w:rsidRDefault="00D22CE3" w:rsidP="0063065F">
      <w:pPr>
        <w:pStyle w:val="ListParagraph"/>
        <w:numPr>
          <w:ilvl w:val="0"/>
          <w:numId w:val="55"/>
        </w:numPr>
      </w:pPr>
      <w:r w:rsidRPr="00F10391">
        <w:t xml:space="preserve">A description of an action research project carried out using an MCDA approach to structure the prioritisation of public health decision-making (namely relating to reducing tobacco prevalence) at local government level; </w:t>
      </w:r>
    </w:p>
    <w:p w14:paraId="0FD003C0" w14:textId="77777777" w:rsidR="00D22CE3" w:rsidRPr="00F10391" w:rsidRDefault="00D22CE3" w:rsidP="0063065F">
      <w:pPr>
        <w:pStyle w:val="ListParagraph"/>
        <w:numPr>
          <w:ilvl w:val="0"/>
          <w:numId w:val="55"/>
        </w:numPr>
      </w:pPr>
      <w:r w:rsidRPr="00F10391">
        <w:t>Overall conclusions and recommendations.</w:t>
      </w:r>
    </w:p>
    <w:p w14:paraId="3A2C8E81" w14:textId="77777777" w:rsidR="00D22CE3" w:rsidRPr="00F10391" w:rsidRDefault="00D22CE3">
      <w:r w:rsidRPr="00F10391">
        <w:t xml:space="preserve">A paper arising from the study to inform topic selection for future guidance in the CPH was published in Public Health in 2014 </w:t>
      </w:r>
      <w:r w:rsidRPr="00F10391">
        <w:fldChar w:fldCharType="begin"/>
      </w:r>
      <w:r w:rsidR="00D24504">
        <w:instrText xml:space="preserve"> ADDIN EN.CITE &lt;EndNote&gt;&lt;Cite&gt;&lt;Author&gt;Reddy&lt;/Author&gt;&lt;Year&gt;2014&lt;/Year&gt;&lt;RecNum&gt;166&lt;/RecNum&gt;&lt;DisplayText&gt;[337]&lt;/DisplayText&gt;&lt;record&gt;&lt;rec-number&gt;166&lt;/rec-number&gt;&lt;foreign-keys&gt;&lt;key app="EN" db-id="sz9092dv2s5fpze9wpgx0zxgv5ar00aezrvf" timestamp="0"&gt;166&lt;/key&gt;&lt;/foreign-keys&gt;&lt;ref-type name="Journal Article"&gt;17&lt;/ref-type&gt;&lt;contributors&gt;&lt;authors&gt;&lt;author&gt;Reddy, BP&lt;/author&gt;&lt;author&gt;Kelly, MP&lt;/author&gt;&lt;author&gt;Thokala, P&lt;/author&gt;&lt;author&gt;Walters, SJ&lt;/author&gt;&lt;author&gt;Duenas, A&lt;/author&gt;&lt;/authors&gt;&lt;/contributors&gt;&lt;titles&gt;&lt;title&gt;Prioritising public health guidance topics in the National Institute for Health and Care Excellence using the Analytic Hierarchy Process&lt;/title&gt;&lt;secondary-title&gt;Public health&lt;/secondary-title&gt;&lt;/titles&gt;&lt;pages&gt;896-903&lt;/pages&gt;&lt;volume&gt;128&lt;/volume&gt;&lt;number&gt;10&lt;/number&gt;&lt;dates&gt;&lt;year&gt;2014&lt;/year&gt;&lt;/dates&gt;&lt;isbn&gt;0033-3506&lt;/isbn&gt;&lt;urls&gt;&lt;related-urls&gt;&lt;url&gt;http://www.publichealthjrnl.com/article/S0033-3506(14)00184-X/pdf&lt;/url&gt;&lt;/related-urls&gt;&lt;/urls&gt;&lt;/record&gt;&lt;/Cite&gt;&lt;/EndNote&gt;</w:instrText>
      </w:r>
      <w:r w:rsidRPr="00F10391">
        <w:fldChar w:fldCharType="separate"/>
      </w:r>
      <w:r w:rsidR="00D24504">
        <w:rPr>
          <w:noProof/>
        </w:rPr>
        <w:t>[337]</w:t>
      </w:r>
      <w:r w:rsidRPr="00F10391">
        <w:fldChar w:fldCharType="end"/>
      </w:r>
      <w:r w:rsidRPr="00F10391">
        <w:t xml:space="preserve">. Another paper, based upon local governmental prioritisation of anti-tobacco interventions has recently been in the EURO Journal of Decision Processes </w:t>
      </w:r>
      <w:r w:rsidRPr="00F10391">
        <w:fldChar w:fldCharType="begin"/>
      </w:r>
      <w:r w:rsidR="00700267">
        <w:instrText xml:space="preserve"> ADDIN EN.CITE &lt;EndNote&gt;&lt;Cite&gt;&lt;Author&gt;Reddy&lt;/Author&gt;&lt;Year&gt;2016&lt;/Year&gt;&lt;RecNum&gt;444&lt;/RecNum&gt;&lt;DisplayText&gt;[324]&lt;/DisplayText&gt;&lt;record&gt;&lt;rec-number&gt;444&lt;/rec-number&gt;&lt;foreign-keys&gt;&lt;key app="EN" db-id="sz9092dv2s5fpze9wpgx0zxgv5ar00aezrvf" timestamp="1465811721"&gt;444&lt;/key&gt;&lt;/foreign-keys&gt;&lt;ref-type name="Journal Article"&gt;17&lt;/ref-type&gt;&lt;contributors&gt;&lt;authors&gt;&lt;author&gt;Reddy, Brian&lt;/author&gt;&lt;author&gt;Thokala, Praveen&lt;/author&gt;&lt;author&gt;Iliff, Alison&lt;/author&gt;&lt;author&gt;Warhurst, Kerry&lt;/author&gt;&lt;author&gt;Chambers, Helen&lt;/author&gt;&lt;author&gt;Bowker, Lynsey&lt;/author&gt;&lt;author&gt;Walters, Stephen J&lt;/author&gt;&lt;author&gt;Duenas, Alejandra&lt;/author&gt;&lt;author&gt;Kelly, Michael P&lt;/author&gt;&lt;/authors&gt;&lt;/contributors&gt;&lt;titles&gt;&lt;title&gt;Using MCDA to generate and interpret evidence to inform local government investment in public health&lt;/title&gt;&lt;secondary-title&gt;EURO Journal on Decision Processes&lt;/secondary-title&gt;&lt;/titles&gt;&lt;periodical&gt;&lt;full-title&gt;EURO Journal on Decision Processes&lt;/full-title&gt;&lt;/periodical&gt;&lt;pages&gt;1-21&lt;/pages&gt;&lt;dates&gt;&lt;year&gt;2016&lt;/year&gt;&lt;/dates&gt;&lt;isbn&gt;2193-9438&lt;/isbn&gt;&lt;urls&gt;&lt;/urls&gt;&lt;/record&gt;&lt;/Cite&gt;&lt;/EndNote&gt;</w:instrText>
      </w:r>
      <w:r w:rsidRPr="00F10391">
        <w:fldChar w:fldCharType="separate"/>
      </w:r>
      <w:r w:rsidR="00700267">
        <w:rPr>
          <w:noProof/>
        </w:rPr>
        <w:t>[324]</w:t>
      </w:r>
      <w:r w:rsidRPr="00F10391">
        <w:fldChar w:fldCharType="end"/>
      </w:r>
      <w:r w:rsidRPr="00F10391">
        <w:t xml:space="preserve">, and will similarly be reported in an upcoming book by Springer </w:t>
      </w:r>
      <w:r w:rsidRPr="00F10391">
        <w:fldChar w:fldCharType="begin"/>
      </w:r>
      <w:r w:rsidR="00D24504">
        <w:instrText xml:space="preserve"> ADDIN EN.CITE &lt;EndNote&gt;&lt;Cite&gt;&lt;Author&gt;Reddy&lt;/Author&gt;&lt;Year&gt;In press&lt;/Year&gt;&lt;RecNum&gt;434&lt;/RecNum&gt;&lt;DisplayText&gt;[350]&lt;/DisplayText&gt;&lt;record&gt;&lt;rec-number&gt;434&lt;/rec-number&gt;&lt;foreign-keys&gt;&lt;key app="EN" db-id="sz9092dv2s5fpze9wpgx0zxgv5ar00aezrvf" timestamp="1462378224"&gt;434&lt;/key&gt;&lt;/foreign-keys&gt;&lt;ref-type name="Book Section"&gt;5&lt;/ref-type&gt;&lt;contributors&gt;&lt;authors&gt;&lt;author&gt;Reddy, BP&lt;/author&gt;&lt;author&gt;Thokala, P&lt;/author&gt;&lt;author&gt;Duenas, A&lt;/author&gt;&lt;/authors&gt;&lt;secondary-authors&gt;&lt;author&gt;Kevin Marsh, Praveen Thokala, Rob Baltussen, Mireille Goetghebeur &lt;/author&gt;&lt;/secondary-authors&gt;&lt;/contributors&gt;&lt;titles&gt;&lt;title&gt;MCDA for resource allocation at a local level: an application in the UK&lt;/title&gt;&lt;secondary-title&gt;Multi-criteria decision analysis to support healthcare decisions&lt;/secondary-title&gt;&lt;/titles&gt;&lt;pages&gt;171–194&lt;/pages&gt;&lt;dates&gt;&lt;year&gt;In press&lt;/year&gt;&lt;/dates&gt;&lt;pub-location&gt;Cham&lt;/pub-location&gt;&lt;publisher&gt;Springer&lt;/publisher&gt;&lt;urls&gt;&lt;/urls&gt;&lt;/record&gt;&lt;/Cite&gt;&lt;/EndNote&gt;</w:instrText>
      </w:r>
      <w:r w:rsidRPr="00F10391">
        <w:fldChar w:fldCharType="separate"/>
      </w:r>
      <w:r w:rsidR="00D24504">
        <w:rPr>
          <w:noProof/>
        </w:rPr>
        <w:t>[350]</w:t>
      </w:r>
      <w:r w:rsidRPr="00F10391">
        <w:fldChar w:fldCharType="end"/>
      </w:r>
      <w:r w:rsidRPr="00F10391">
        <w:t xml:space="preserve">.  and the results have been presented at a number of conferences. A full list is shown in the Dissemination section prior to the first chapter. </w:t>
      </w:r>
    </w:p>
    <w:p w14:paraId="5A63B5B7" w14:textId="77777777" w:rsidR="00D22CE3" w:rsidRPr="00F10391" w:rsidRDefault="00D22CE3"/>
    <w:p w14:paraId="3E3F18EE" w14:textId="77777777" w:rsidR="00D22CE3" w:rsidRPr="00F10391" w:rsidRDefault="00D22CE3">
      <w:pPr>
        <w:pStyle w:val="Numberedheading2"/>
      </w:pPr>
      <w:bookmarkStart w:id="836" w:name="_Toc453235482"/>
      <w:bookmarkStart w:id="837" w:name="_Toc453595555"/>
      <w:bookmarkStart w:id="838" w:name="_Toc476241652"/>
      <w:r w:rsidRPr="00F10391">
        <w:t>8.2</w:t>
      </w:r>
      <w:r w:rsidRPr="00F10391">
        <w:tab/>
      </w:r>
      <w:r w:rsidRPr="00F10391">
        <w:tab/>
        <w:t>Research outcomes</w:t>
      </w:r>
      <w:bookmarkEnd w:id="836"/>
      <w:bookmarkEnd w:id="837"/>
      <w:bookmarkEnd w:id="838"/>
    </w:p>
    <w:p w14:paraId="15AC2812" w14:textId="77777777" w:rsidR="00D22CE3" w:rsidRPr="00F10391" w:rsidRDefault="00D22CE3">
      <w:bookmarkStart w:id="839" w:name="_Toc441581780"/>
    </w:p>
    <w:p w14:paraId="088A0A91" w14:textId="77777777" w:rsidR="00D22CE3" w:rsidRPr="00F10391" w:rsidRDefault="00D22CE3">
      <w:pPr>
        <w:pStyle w:val="Heading3"/>
      </w:pPr>
      <w:bookmarkStart w:id="840" w:name="_Toc453235483"/>
      <w:bookmarkStart w:id="841" w:name="_Toc453595556"/>
      <w:bookmarkStart w:id="842" w:name="_Toc476241653"/>
      <w:r w:rsidRPr="00F10391">
        <w:t>8.2.1</w:t>
      </w:r>
      <w:r w:rsidRPr="00F10391">
        <w:tab/>
      </w:r>
      <w:r w:rsidRPr="00F10391">
        <w:tab/>
        <w:t>Problem specification stage</w:t>
      </w:r>
      <w:bookmarkEnd w:id="840"/>
      <w:bookmarkEnd w:id="841"/>
      <w:bookmarkEnd w:id="842"/>
      <w:r w:rsidRPr="00F10391">
        <w:t xml:space="preserve"> </w:t>
      </w:r>
    </w:p>
    <w:p w14:paraId="32C40FDA" w14:textId="77777777" w:rsidR="00D22CE3" w:rsidRPr="00F10391" w:rsidRDefault="00D22CE3">
      <w:bookmarkStart w:id="843" w:name="_Toc453235484"/>
    </w:p>
    <w:p w14:paraId="26A0FA5C" w14:textId="77777777" w:rsidR="00D22CE3" w:rsidRPr="00F10391" w:rsidRDefault="00D22CE3">
      <w:pPr>
        <w:pStyle w:val="Heading4"/>
      </w:pPr>
      <w:bookmarkStart w:id="844" w:name="_Toc453595557"/>
      <w:bookmarkStart w:id="845" w:name="_Toc476241654"/>
      <w:r w:rsidRPr="00F10391">
        <w:t>8.2.1.1</w:t>
      </w:r>
      <w:r w:rsidRPr="00F10391">
        <w:tab/>
      </w:r>
      <w:r w:rsidRPr="00F10391">
        <w:tab/>
      </w:r>
      <w:bookmarkEnd w:id="839"/>
      <w:r w:rsidRPr="00F10391">
        <w:t>Which relevant techniques are available and where have they been used in public health settings?</w:t>
      </w:r>
      <w:bookmarkEnd w:id="843"/>
      <w:bookmarkEnd w:id="844"/>
      <w:bookmarkEnd w:id="845"/>
    </w:p>
    <w:p w14:paraId="08B15EF0" w14:textId="7C270DFE" w:rsidR="00D22CE3" w:rsidRPr="00F10391" w:rsidRDefault="00D22CE3">
      <w:r w:rsidRPr="00F10391">
        <w:t xml:space="preserve">Defining “health” is no simple task. One’s perceived health is not an objective measure and health outcomes are influenced by socio-economic position and the broader societal structure </w:t>
      </w:r>
      <w:r w:rsidRPr="00F10391">
        <w:fldChar w:fldCharType="begin"/>
      </w:r>
      <w:r w:rsidR="00700267">
        <w:instrText xml:space="preserve"> ADDIN EN.CITE &lt;EndNote&gt;&lt;Cite&gt;&lt;Author&gt;Marmot&lt;/Author&gt;&lt;Year&gt;2004&lt;/Year&gt;&lt;RecNum&gt;89&lt;/RecNum&gt;&lt;DisplayText&gt;[27]&lt;/DisplayText&gt;&lt;record&gt;&lt;rec-number&gt;89&lt;/rec-number&gt;&lt;foreign-keys&gt;&lt;key app="EN" db-id="sz9092dv2s5fpze9wpgx0zxgv5ar00aezrvf" timestamp="0"&gt;89&lt;/key&gt;&lt;/foreign-keys&gt;&lt;ref-type name="Journal Article"&gt;17&lt;/ref-type&gt;&lt;contributors&gt;&lt;authors&gt;&lt;author&gt;Marmot, Michael&lt;/author&gt;&lt;/authors&gt;&lt;/contributors&gt;&lt;titles&gt;&lt;title&gt;The status syndrome: how your social standing affects your health and life expectancy&lt;/title&gt;&lt;secondary-title&gt;Bloomsbury, London&lt;/secondary-title&gt;&lt;/titles&gt;&lt;dates&gt;&lt;year&gt;2004&lt;/year&gt;&lt;/dates&gt;&lt;urls&gt;&lt;/urls&gt;&lt;/record&gt;&lt;/Cite&gt;&lt;/EndNote&gt;</w:instrText>
      </w:r>
      <w:r w:rsidRPr="00F10391">
        <w:fldChar w:fldCharType="separate"/>
      </w:r>
      <w:r w:rsidR="00700267">
        <w:rPr>
          <w:noProof/>
        </w:rPr>
        <w:t>[27]</w:t>
      </w:r>
      <w:r w:rsidRPr="00F10391">
        <w:fldChar w:fldCharType="end"/>
      </w:r>
      <w:r w:rsidRPr="00F10391">
        <w:t xml:space="preserve">, so it is difficult to wholly separate health issues from the political realm. Specifying the appropriate level of government involvement in such settings inevitably requires value </w:t>
      </w:r>
      <w:r w:rsidR="001B7ADD">
        <w:t>judgment</w:t>
      </w:r>
      <w:r w:rsidRPr="00F10391">
        <w:t xml:space="preserve">s. This is especially relevant in public health where equity is a key concern, evidence is more limited than elsewhere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and where an intervention’s outcomes may have effects on external issues such as crime, violence, economic growth, social cohesion and well-being </w:t>
      </w:r>
      <w:r w:rsidRPr="00F10391">
        <w:fldChar w:fldCharType="begin"/>
      </w:r>
      <w:r w:rsidR="00700267">
        <w:instrText xml:space="preserve"> ADDIN EN.CITE &lt;EndNote&gt;&lt;Cite&gt;&lt;Author&gt;Kawachi&lt;/Author&gt;&lt;Year&gt;1997&lt;/Year&gt;&lt;RecNum&gt;71&lt;/RecNum&gt;&lt;DisplayText&gt;[36]&lt;/DisplayText&gt;&lt;record&gt;&lt;rec-number&gt;71&lt;/rec-number&gt;&lt;foreign-keys&gt;&lt;key app="EN" db-id="sz9092dv2s5fpze9wpgx0zxgv5ar00aezrvf" timestamp="0"&gt;71&lt;/key&gt;&lt;/foreign-keys&gt;&lt;ref-type name="Journal Article"&gt;17&lt;/ref-type&gt;&lt;contributors&gt;&lt;authors&gt;&lt;author&gt;Kawachi, Ichiro&lt;/author&gt;&lt;author&gt;Kennedy, Bruce P&lt;/author&gt;&lt;/authors&gt;&lt;/contributors&gt;&lt;titles&gt;&lt;title&gt;Socioeconomic determinants of health: Health and social cohesion: why care about income inequality?&lt;/title&gt;&lt;secondary-title&gt;Bmj&lt;/secondary-title&gt;&lt;/titles&gt;&lt;pages&gt;1037&lt;/pages&gt;&lt;volume&gt;314&lt;/volume&gt;&lt;number&gt;7086&lt;/number&gt;&lt;dates&gt;&lt;year&gt;1997&lt;/year&gt;&lt;/dates&gt;&lt;isbn&gt;0959-8138&lt;/isbn&gt;&lt;urls&gt;&lt;related-urls&gt;&lt;url&gt;http://www.ncbi.nlm.nih.gov/pmc/articles/PMC2126438/pdf/9112854.pdf&lt;/url&gt;&lt;/related-urls&gt;&lt;/urls&gt;&lt;/record&gt;&lt;/Cite&gt;&lt;/EndNote&gt;</w:instrText>
      </w:r>
      <w:r w:rsidRPr="00F10391">
        <w:fldChar w:fldCharType="separate"/>
      </w:r>
      <w:r w:rsidR="00700267">
        <w:rPr>
          <w:noProof/>
        </w:rPr>
        <w:t>[36]</w:t>
      </w:r>
      <w:r w:rsidRPr="00F10391">
        <w:fldChar w:fldCharType="end"/>
      </w:r>
      <w:r w:rsidRPr="00F10391">
        <w:t>. Prioritising – and trading off – between such issues is clearly politically complicated.</w:t>
      </w:r>
    </w:p>
    <w:p w14:paraId="1793C38E" w14:textId="77777777" w:rsidR="00D22CE3" w:rsidRPr="00F10391" w:rsidRDefault="00D22CE3">
      <w:r w:rsidRPr="00F10391">
        <w:t xml:space="preserve">Evidence-based approaches to healthcare have become mainstream in recent years in the UK, particularly since the foundation of NICE in 1999. But applications of the methodology to public health are still evolving, given its complexity </w:t>
      </w:r>
      <w:r w:rsidRPr="00F10391">
        <w:fldChar w:fldCharType="begin"/>
      </w:r>
      <w:r w:rsidRPr="00F10391">
        <w:instrText xml:space="preserve"> ADDIN EN.CITE &lt;EndNote&gt;&lt;Cite&gt;&lt;Author&gt;Kelly&lt;/Author&gt;&lt;Year&gt;2010&lt;/Year&gt;&lt;RecNum&gt;74&lt;/RecNum&gt;&lt;DisplayText&gt;[3]&lt;/DisplayText&gt;&lt;record&gt;&lt;rec-number&gt;74&lt;/rec-number&gt;&lt;foreign-keys&gt;&lt;key app="EN" db-id="sz9092dv2s5fpze9wpgx0zxgv5ar00aezrvf" timestamp="0"&gt;74&lt;/key&gt;&lt;/foreign-keys&gt;&lt;ref-type name="Journal Article"&gt;17&lt;/ref-type&gt;&lt;contributors&gt;&lt;authors&gt;&lt;author&gt;Kelly, Michael&lt;/author&gt;&lt;author&gt;Morgan, Antony&lt;/author&gt;&lt;author&gt;Ellis, Simon&lt;/author&gt;&lt;author&gt;Younger, Tricia&lt;/author&gt;&lt;author&gt;Huntley, Jane&lt;/author&gt;&lt;author&gt;Swann, Catherine&lt;/author&gt;&lt;/authors&gt;&lt;/contributors&gt;&lt;titles&gt;&lt;title&gt;Evidence based public health: a review of the experience of the National Institute of Health and Clinical Excellence (NICE) of developing public health guidance in England&lt;/title&gt;&lt;secondary-title&gt;Social science &amp;amp; medicine&lt;/secondary-title&gt;&lt;/titles&gt;&lt;periodical&gt;&lt;full-title&gt;Social science &amp;amp; medicine&lt;/full-title&gt;&lt;/periodical&gt;&lt;pages&gt;1056-1062&lt;/pages&gt;&lt;volume&gt;71&lt;/volume&gt;&lt;number&gt;6&lt;/number&gt;&lt;dates&gt;&lt;year&gt;2010&lt;/year&gt;&lt;/dates&gt;&lt;isbn&gt;0277-9536&lt;/isbn&gt;&lt;urls&gt;&lt;related-urls&gt;&lt;url&gt;http://www.sciencedirect.com/science/article/pii/S0277953610005290&lt;/url&gt;&lt;/related-urls&gt;&lt;/urls&gt;&lt;/record&gt;&lt;/Cite&gt;&lt;/EndNote&gt;</w:instrText>
      </w:r>
      <w:r w:rsidRPr="00F10391">
        <w:fldChar w:fldCharType="separate"/>
      </w:r>
      <w:r w:rsidRPr="00F10391">
        <w:t>[3]</w:t>
      </w:r>
      <w:r w:rsidRPr="00F10391">
        <w:fldChar w:fldCharType="end"/>
      </w:r>
      <w:r w:rsidRPr="00F10391">
        <w:t xml:space="preserve">. There are a range of economic approaches available (alongside other evidence-based techniques, such as operational research), with each approach having its own advantages and disadvantages, and must therefore be selected based upon the decision problem at hand. The predominant economic evaluation techniques are </w:t>
      </w:r>
      <w:r w:rsidRPr="00F10391">
        <w:fldChar w:fldCharType="begin"/>
      </w:r>
      <w:r w:rsidR="00700267">
        <w:instrText xml:space="preserve"> ADDIN EN.CITE &lt;EndNote&gt;&lt;Cite&gt;&lt;Author&gt;Coast&lt;/Author&gt;&lt;Year&gt;2004&lt;/Year&gt;&lt;RecNum&gt;2&lt;/RecNum&gt;&lt;DisplayText&gt;[82]&lt;/DisplayText&gt;&lt;record&gt;&lt;rec-number&gt;2&lt;/rec-number&gt;&lt;foreign-keys&gt;&lt;key app="EN" db-id="sz9092dv2s5fpze9wpgx0zxgv5ar00aezrvf" timestamp="0"&gt;2&lt;/key&gt;&lt;/foreign-keys&gt;&lt;ref-type name="Journal Article"&gt;17&lt;/ref-type&gt;&lt;contributors&gt;&lt;authors&gt;&lt;author&gt;Coast, Joanna&lt;/author&gt;&lt;/authors&gt;&lt;/contributors&gt;&lt;titles&gt;&lt;title&gt;Is economic evaluation in touch with society&amp;apos;s health values?&lt;/title&gt;&lt;secondary-title&gt;BMJ: British Medical Journal&lt;/secondary-title&gt;&lt;/titles&gt;&lt;pages&gt;1233&lt;/pages&gt;&lt;volume&gt;329&lt;/volume&gt;&lt;number&gt;7476&lt;/number&gt;&lt;dates&gt;&lt;year&gt;2004&lt;/year&gt;&lt;/dates&gt;&lt;urls&gt;&lt;related-urls&gt;&lt;url&gt;http://www.ncbi.nlm.nih.gov/pmc/articles/PMC529373/pdf/bmj32901233.pdf&lt;/url&gt;&lt;/related-urls&gt;&lt;/urls&gt;&lt;/record&gt;&lt;/Cite&gt;&lt;/EndNote&gt;</w:instrText>
      </w:r>
      <w:r w:rsidRPr="00F10391">
        <w:fldChar w:fldCharType="separate"/>
      </w:r>
      <w:r w:rsidR="00700267">
        <w:rPr>
          <w:noProof/>
        </w:rPr>
        <w:t>[82]</w:t>
      </w:r>
      <w:r w:rsidRPr="00F10391">
        <w:fldChar w:fldCharType="end"/>
      </w:r>
      <w:r w:rsidRPr="00F10391">
        <w:t>:</w:t>
      </w:r>
    </w:p>
    <w:p w14:paraId="1AC1D210" w14:textId="77777777" w:rsidR="00D22CE3" w:rsidRPr="00F10391" w:rsidRDefault="00D22CE3">
      <w:pPr>
        <w:pStyle w:val="ListParagraph"/>
        <w:numPr>
          <w:ilvl w:val="0"/>
          <w:numId w:val="32"/>
        </w:numPr>
      </w:pPr>
      <w:r w:rsidRPr="00F10391">
        <w:t>Cost-effectiveness analysis (CEA):</w:t>
      </w:r>
      <w:r w:rsidRPr="00F10391">
        <w:tab/>
      </w:r>
    </w:p>
    <w:p w14:paraId="18A4817D" w14:textId="77777777" w:rsidR="00D22CE3" w:rsidRPr="00F10391" w:rsidRDefault="00D22CE3">
      <w:pPr>
        <w:pStyle w:val="ListParagraph"/>
        <w:numPr>
          <w:ilvl w:val="1"/>
          <w:numId w:val="32"/>
        </w:numPr>
      </w:pPr>
      <w:r w:rsidRPr="00F10391">
        <w:t>Costs compared with some single outcome measure.</w:t>
      </w:r>
    </w:p>
    <w:p w14:paraId="7A084B6F" w14:textId="77777777" w:rsidR="00D22CE3" w:rsidRPr="00F10391" w:rsidRDefault="00D22CE3">
      <w:pPr>
        <w:pStyle w:val="ListParagraph"/>
        <w:numPr>
          <w:ilvl w:val="0"/>
          <w:numId w:val="32"/>
        </w:numPr>
      </w:pPr>
      <w:r w:rsidRPr="00F10391">
        <w:t>Cost-utility analysis (CUA):</w:t>
      </w:r>
      <w:r w:rsidRPr="00F10391">
        <w:tab/>
      </w:r>
    </w:p>
    <w:p w14:paraId="2B42D5EA" w14:textId="77777777" w:rsidR="00D22CE3" w:rsidRPr="00F10391" w:rsidRDefault="00D22CE3">
      <w:pPr>
        <w:pStyle w:val="ListParagraph"/>
        <w:numPr>
          <w:ilvl w:val="1"/>
          <w:numId w:val="32"/>
        </w:numPr>
      </w:pPr>
      <w:r w:rsidRPr="00F10391">
        <w:t>A specific form of cost-effectiveness analysis in which outcomes are measured in terms of QALYs gained, and from which the incremental cost-effectiveness ratio can be calculated.</w:t>
      </w:r>
    </w:p>
    <w:p w14:paraId="3E153DC3" w14:textId="77777777" w:rsidR="00D22CE3" w:rsidRPr="00F10391" w:rsidRDefault="00D22CE3">
      <w:pPr>
        <w:pStyle w:val="ListParagraph"/>
        <w:numPr>
          <w:ilvl w:val="0"/>
          <w:numId w:val="32"/>
        </w:numPr>
      </w:pPr>
      <w:r w:rsidRPr="00F10391">
        <w:t>Cost-benefit analysis (CBA):</w:t>
      </w:r>
      <w:r w:rsidRPr="00F10391">
        <w:tab/>
      </w:r>
    </w:p>
    <w:p w14:paraId="4FEF2DD1" w14:textId="77777777" w:rsidR="00D22CE3" w:rsidRPr="00F10391" w:rsidRDefault="00D22CE3">
      <w:pPr>
        <w:pStyle w:val="ListParagraph"/>
        <w:numPr>
          <w:ilvl w:val="1"/>
          <w:numId w:val="32"/>
        </w:numPr>
      </w:pPr>
      <w:r w:rsidRPr="00F10391">
        <w:t>Costs compared with outcomes that have been translated into money equivalents, and the results presented in Net Present Values (NPVs).</w:t>
      </w:r>
    </w:p>
    <w:p w14:paraId="25BD8BCF" w14:textId="77777777" w:rsidR="00D22CE3" w:rsidRPr="00F10391" w:rsidRDefault="00D22CE3">
      <w:pPr>
        <w:pStyle w:val="ListParagraph"/>
        <w:numPr>
          <w:ilvl w:val="0"/>
          <w:numId w:val="32"/>
        </w:numPr>
      </w:pPr>
      <w:r w:rsidRPr="00F10391">
        <w:t xml:space="preserve">Cost-consequence analysis (CCA): </w:t>
      </w:r>
      <w:r w:rsidRPr="00F10391">
        <w:tab/>
      </w:r>
    </w:p>
    <w:p w14:paraId="73A958B7" w14:textId="77777777" w:rsidR="00D22CE3" w:rsidRPr="00F10391" w:rsidRDefault="00D22CE3">
      <w:pPr>
        <w:pStyle w:val="ListParagraph"/>
        <w:numPr>
          <w:ilvl w:val="1"/>
          <w:numId w:val="32"/>
        </w:numPr>
      </w:pPr>
      <w:r w:rsidRPr="00F10391">
        <w:t>Costs compared with the complete list of expected outcomes, left intact in natural units and not combined into a single measure. Decision-makers are presented with predictions of the interventions’ efficacy in all relevant areas, such as that it will avoid x deaths, y hospital visits and z cases of pneumonia, costing £n.</w:t>
      </w:r>
    </w:p>
    <w:p w14:paraId="42BD607D" w14:textId="77777777" w:rsidR="00D22CE3" w:rsidRPr="00F10391" w:rsidRDefault="00D22CE3">
      <w:r w:rsidRPr="00F10391">
        <w:t xml:space="preserve">Such techniques are a useful starting point for indicating whether or not an intervention should be made available, but they should not be used in isolation. The Accountability for Reasonableness framework  </w:t>
      </w:r>
      <w:r w:rsidRPr="00F10391">
        <w:fldChar w:fldCharType="begin"/>
      </w:r>
      <w:r w:rsidR="00D24504">
        <w:instrText xml:space="preserve"> ADDIN EN.CITE &lt;EndNote&gt;&lt;Cite&gt;&lt;Author&gt;Daniels&lt;/Author&gt;&lt;Year&gt;2000&lt;/Year&gt;&lt;RecNum&gt;33&lt;/RecNum&gt;&lt;DisplayText&gt;[341]&lt;/DisplayText&gt;&lt;record&gt;&lt;rec-number&gt;33&lt;/rec-number&gt;&lt;foreign-keys&gt;&lt;key app="EN" db-id="sz9092dv2s5fpze9wpgx0zxgv5ar00aezrvf" timestamp="0"&gt;33&lt;/key&gt;&lt;/foreign-keys&gt;&lt;ref-type name="Journal Article"&gt;17&lt;/ref-type&gt;&lt;contributors&gt;&lt;authors&gt;&lt;author&gt;Daniels, Norman&lt;/author&gt;&lt;/authors&gt;&lt;/contributors&gt;&lt;titles&gt;&lt;title&gt;Accountability for reasonableness: Establishing a fair process for priority setting is easier than agreeing on principles&lt;/title&gt;&lt;secondary-title&gt;BMJ: British Medical Journal&lt;/secondary-title&gt;&lt;/titles&gt;&lt;pages&gt;1300&lt;/pages&gt;&lt;volume&gt;321&lt;/volume&gt;&lt;number&gt;7272&lt;/number&gt;&lt;dates&gt;&lt;year&gt;2000&lt;/year&gt;&lt;/dates&gt;&lt;urls&gt;&lt;related-urls&gt;&lt;url&gt;http://www.ncbi.nlm.nih.gov/pmc/articles/PMC1119050/pdf/1300.pdf&lt;/url&gt;&lt;/related-urls&gt;&lt;/urls&gt;&lt;/record&gt;&lt;/Cite&gt;&lt;/EndNote&gt;</w:instrText>
      </w:r>
      <w:r w:rsidRPr="00F10391">
        <w:fldChar w:fldCharType="separate"/>
      </w:r>
      <w:r w:rsidR="00D24504">
        <w:rPr>
          <w:noProof/>
        </w:rPr>
        <w:t>[341]</w:t>
      </w:r>
      <w:r w:rsidRPr="00F10391">
        <w:fldChar w:fldCharType="end"/>
      </w:r>
      <w:r w:rsidRPr="00F10391">
        <w:t xml:space="preserve"> specifies particular requirements for a decision process to be considered fair, for example. There may be any number of other issues (ethical and otherwise) outside of those taken into account in economic evaluations that are relevant to real-life decision-making. Those apparently used in NICE are further described in section 8.2.</w:t>
      </w:r>
    </w:p>
    <w:p w14:paraId="762B668F" w14:textId="77777777" w:rsidR="00D22CE3" w:rsidRPr="00F10391" w:rsidRDefault="00D22CE3">
      <w:r w:rsidRPr="00F10391">
        <w:t xml:space="preserve">As with the variety of health economic approaches, there are many sub-categories of MCDA techniques. Given the nature of a given decision problem, some advantages or disadvantages may be more important, so decision-makers need to be careful how the approach is chosen. In general, however, approaches follow 8 common steps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0051187B">
        <w:t xml:space="preserve"> (p.31)</w:t>
      </w:r>
      <w:r w:rsidRPr="00F10391">
        <w:t>:</w:t>
      </w:r>
    </w:p>
    <w:p w14:paraId="7A0A8344" w14:textId="77777777" w:rsidR="00D22CE3" w:rsidRPr="00F10391" w:rsidRDefault="00D22CE3">
      <w:pPr>
        <w:pStyle w:val="ListParagraph"/>
        <w:numPr>
          <w:ilvl w:val="0"/>
          <w:numId w:val="4"/>
        </w:numPr>
      </w:pPr>
      <w:r w:rsidRPr="00F10391">
        <w:t>Establish the decision context.</w:t>
      </w:r>
    </w:p>
    <w:p w14:paraId="005AC9B5" w14:textId="77777777" w:rsidR="00D22CE3" w:rsidRPr="00F10391" w:rsidRDefault="00D22CE3">
      <w:pPr>
        <w:pStyle w:val="ListParagraph"/>
        <w:numPr>
          <w:ilvl w:val="0"/>
          <w:numId w:val="4"/>
        </w:numPr>
      </w:pPr>
      <w:r w:rsidRPr="00F10391">
        <w:t>Identify the options to be appraised.</w:t>
      </w:r>
    </w:p>
    <w:p w14:paraId="35F8DDED" w14:textId="77777777" w:rsidR="00D22CE3" w:rsidRPr="00F10391" w:rsidRDefault="00D22CE3">
      <w:pPr>
        <w:pStyle w:val="ListParagraph"/>
        <w:numPr>
          <w:ilvl w:val="0"/>
          <w:numId w:val="4"/>
        </w:numPr>
      </w:pPr>
      <w:r w:rsidRPr="00F10391">
        <w:t>Identify objectives and criteria.</w:t>
      </w:r>
    </w:p>
    <w:p w14:paraId="27669748" w14:textId="77777777" w:rsidR="00D22CE3" w:rsidRPr="00F10391" w:rsidRDefault="00D22CE3">
      <w:pPr>
        <w:pStyle w:val="ListParagraph"/>
        <w:numPr>
          <w:ilvl w:val="0"/>
          <w:numId w:val="4"/>
        </w:numPr>
      </w:pPr>
      <w:r w:rsidRPr="00F10391">
        <w:t xml:space="preserve"> ‘Scoring’. Assess the expected performance of each option against the criteria. Then assess the value associated with the consequences of each option for each criterion.</w:t>
      </w:r>
    </w:p>
    <w:p w14:paraId="25C66047" w14:textId="77777777" w:rsidR="00D22CE3" w:rsidRPr="00F10391" w:rsidRDefault="00D22CE3">
      <w:pPr>
        <w:pStyle w:val="ListParagraph"/>
        <w:numPr>
          <w:ilvl w:val="0"/>
          <w:numId w:val="4"/>
        </w:numPr>
      </w:pPr>
      <w:r w:rsidRPr="00F10391">
        <w:t xml:space="preserve"> ‘Weighting’. Assign weights for each of the criterion to reflect their relative importance to the decision.</w:t>
      </w:r>
    </w:p>
    <w:p w14:paraId="46684355" w14:textId="77777777" w:rsidR="00D22CE3" w:rsidRPr="00F10391" w:rsidRDefault="00D22CE3">
      <w:pPr>
        <w:pStyle w:val="ListParagraph"/>
        <w:numPr>
          <w:ilvl w:val="0"/>
          <w:numId w:val="4"/>
        </w:numPr>
      </w:pPr>
      <w:r w:rsidRPr="00F10391">
        <w:t>Combine the weights and scores for each option to derive an overall value.</w:t>
      </w:r>
    </w:p>
    <w:p w14:paraId="28EBEEEB" w14:textId="77777777" w:rsidR="00D22CE3" w:rsidRPr="00F10391" w:rsidRDefault="00D22CE3">
      <w:pPr>
        <w:pStyle w:val="ListParagraph"/>
        <w:numPr>
          <w:ilvl w:val="0"/>
          <w:numId w:val="4"/>
        </w:numPr>
      </w:pPr>
      <w:r w:rsidRPr="00F10391">
        <w:t>Examine the results.</w:t>
      </w:r>
    </w:p>
    <w:p w14:paraId="7E397B71" w14:textId="77777777" w:rsidR="00D22CE3" w:rsidRPr="00F10391" w:rsidRDefault="00D22CE3">
      <w:pPr>
        <w:pStyle w:val="ListParagraph"/>
        <w:numPr>
          <w:ilvl w:val="0"/>
          <w:numId w:val="4"/>
        </w:numPr>
      </w:pPr>
      <w:r w:rsidRPr="00F10391">
        <w:t>Sensitivity analysis.</w:t>
      </w:r>
    </w:p>
    <w:p w14:paraId="7E41A897" w14:textId="77777777" w:rsidR="00D22CE3" w:rsidRPr="00F10391" w:rsidRDefault="00D22CE3">
      <w:r w:rsidRPr="00F10391">
        <w:t xml:space="preserve">MCDA approaches are specifically designed to structure complex decision processes and explore the possible decisions available </w:t>
      </w:r>
      <w:r w:rsidRPr="00F10391">
        <w:fldChar w:fldCharType="begin"/>
      </w:r>
      <w:r w:rsidR="00700267">
        <w:instrText xml:space="preserve"> ADDIN EN.CITE &lt;EndNote&gt;&lt;Cite&gt;&lt;Author&gt;Belton&lt;/Author&gt;&lt;Year&gt;2002&lt;/Year&gt;&lt;RecNum&gt;12&lt;/RecNum&gt;&lt;DisplayText&gt;[117]&lt;/DisplayText&gt;&lt;record&gt;&lt;rec-number&gt;12&lt;/rec-number&gt;&lt;foreign-keys&gt;&lt;key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fldChar w:fldCharType="separate"/>
      </w:r>
      <w:r w:rsidR="00700267">
        <w:rPr>
          <w:noProof/>
        </w:rPr>
        <w:t>[117]</w:t>
      </w:r>
      <w:r w:rsidRPr="00F10391">
        <w:fldChar w:fldCharType="end"/>
      </w:r>
      <w:r w:rsidRPr="00F10391">
        <w:t xml:space="preserve">, given the potentially conflicting nature of criteria </w:t>
      </w:r>
      <w:r w:rsidRPr="00F10391">
        <w:fldChar w:fldCharType="begin"/>
      </w:r>
      <w:r w:rsidRPr="00F10391">
        <w:instrText xml:space="preserve"> ADDIN EN.CITE &lt;EndNote&gt;&lt;Cite&gt;&lt;Author&gt;Keeney&lt;/Author&gt;&lt;Year&gt;1993&lt;/Year&gt;&lt;RecNum&gt;260&lt;/RecNum&gt;&lt;DisplayText&gt;[8]&lt;/DisplayText&gt;&lt;record&gt;&lt;rec-number&gt;260&lt;/rec-number&gt;&lt;foreign-keys&gt;&lt;key app="EN" db-id="sz9092dv2s5fpze9wpgx0zxgv5ar00aezrvf" timestamp="0"&gt;260&lt;/key&gt;&lt;/foreign-keys&gt;&lt;ref-type name="Book"&gt;6&lt;/ref-type&gt;&lt;contributors&gt;&lt;authors&gt;&lt;author&gt;Keeney, Ralph L&lt;/author&gt;&lt;author&gt;Raiffa, Howard&lt;/author&gt;&lt;/authors&gt;&lt;/contributors&gt;&lt;titles&gt;&lt;title&gt;Decisions with multiple objectives: preferences and value trade-offs&lt;/title&gt;&lt;/titles&gt;&lt;dates&gt;&lt;year&gt;1993&lt;/year&gt;&lt;/dates&gt;&lt;publisher&gt;Cambridge university press&lt;/publisher&gt;&lt;isbn&gt;0521438837&lt;/isbn&gt;&lt;urls&gt;&lt;/urls&gt;&lt;/record&gt;&lt;/Cite&gt;&lt;/EndNote&gt;</w:instrText>
      </w:r>
      <w:r w:rsidRPr="00F10391">
        <w:fldChar w:fldCharType="separate"/>
      </w:r>
      <w:r w:rsidRPr="00F10391">
        <w:t>[8]</w:t>
      </w:r>
      <w:r w:rsidRPr="00F10391">
        <w:fldChar w:fldCharType="end"/>
      </w:r>
      <w:r w:rsidRPr="00F10391">
        <w:t xml:space="preserve">. It generally does not seek to find the ‘right answer’ but instead tries to combine the objective and subjective information available to aid the decision-maker, and allowing for the management of and analyses of these subjective aspects </w:t>
      </w:r>
      <w:r w:rsidRPr="00F10391">
        <w:fldChar w:fldCharType="begin"/>
      </w:r>
      <w:r w:rsidR="00700267">
        <w:instrText xml:space="preserve"> ADDIN EN.CITE &lt;EndNote&gt;&lt;Cite&gt;&lt;Author&gt;Belton&lt;/Author&gt;&lt;Year&gt;2002&lt;/Year&gt;&lt;RecNum&gt;12&lt;/RecNum&gt;&lt;DisplayText&gt;[117]&lt;/DisplayText&gt;&lt;record&gt;&lt;rec-number&gt;12&lt;/rec-number&gt;&lt;foreign-keys&gt;&lt;key app="EN" db-id="sz9092dv2s5fpze9wpgx0zxgv5ar00aezrvf" timestamp="0"&gt;12&lt;/key&gt;&lt;/foreign-keys&gt;&lt;ref-type name="Book"&gt;6&lt;/ref-type&gt;&lt;contributors&gt;&lt;authors&gt;&lt;author&gt;Belton, V&lt;/author&gt;&lt;author&gt;Stewart, TJ&lt;/author&gt;&lt;/authors&gt;&lt;/contributors&gt;&lt;titles&gt;&lt;title&gt;Multiple criteria decision analysis: an integrated approach. &lt;/title&gt;&lt;/titles&gt;&lt;dates&gt;&lt;year&gt;2002&lt;/year&gt;&lt;/dates&gt;&lt;publisher&gt;Kluwer, Boston&lt;/publisher&gt;&lt;urls&gt;&lt;/urls&gt;&lt;/record&gt;&lt;/Cite&gt;&lt;/EndNote&gt;</w:instrText>
      </w:r>
      <w:r w:rsidRPr="00F10391">
        <w:fldChar w:fldCharType="separate"/>
      </w:r>
      <w:r w:rsidR="00700267">
        <w:rPr>
          <w:noProof/>
        </w:rPr>
        <w:t>[117]</w:t>
      </w:r>
      <w:r w:rsidRPr="00F10391">
        <w:fldChar w:fldCharType="end"/>
      </w:r>
      <w:r w:rsidRPr="00F10391">
        <w:t xml:space="preserve">. A number of possible advantages flow from this compared to less structured, intuitive reasoning (including deliberation). Decisions may be more consistent and less prone to accidental irrationality, given the decision’s complexity. The processes used are more transparent and accountable to the wider public, and potentially therefore more fair </w:t>
      </w:r>
      <w:r w:rsidRPr="00F10391">
        <w:fldChar w:fldCharType="begin"/>
      </w:r>
      <w:r w:rsidR="00D24504">
        <w:instrText xml:space="preserve"> ADDIN EN.CITE &lt;EndNote&gt;&lt;Cite&gt;&lt;Author&gt;Daniels&lt;/Author&gt;&lt;Year&gt;2000&lt;/Year&gt;&lt;RecNum&gt;33&lt;/RecNum&gt;&lt;DisplayText&gt;[341]&lt;/DisplayText&gt;&lt;record&gt;&lt;rec-number&gt;33&lt;/rec-number&gt;&lt;foreign-keys&gt;&lt;key app="EN" db-id="sz9092dv2s5fpze9wpgx0zxgv5ar00aezrvf" timestamp="0"&gt;33&lt;/key&gt;&lt;/foreign-keys&gt;&lt;ref-type name="Journal Article"&gt;17&lt;/ref-type&gt;&lt;contributors&gt;&lt;authors&gt;&lt;author&gt;Daniels, Norman&lt;/author&gt;&lt;/authors&gt;&lt;/contributors&gt;&lt;titles&gt;&lt;title&gt;Accountability for reasonableness: Establishing a fair process for priority setting is easier than agreeing on principles&lt;/title&gt;&lt;secondary-title&gt;BMJ: British Medical Journal&lt;/secondary-title&gt;&lt;/titles&gt;&lt;pages&gt;1300&lt;/pages&gt;&lt;volume&gt;321&lt;/volume&gt;&lt;number&gt;7272&lt;/number&gt;&lt;dates&gt;&lt;year&gt;2000&lt;/year&gt;&lt;/dates&gt;&lt;urls&gt;&lt;related-urls&gt;&lt;url&gt;http://www.ncbi.nlm.nih.gov/pmc/articles/PMC1119050/pdf/1300.pdf&lt;/url&gt;&lt;/related-urls&gt;&lt;/urls&gt;&lt;/record&gt;&lt;/Cite&gt;&lt;/EndNote&gt;</w:instrText>
      </w:r>
      <w:r w:rsidRPr="00F10391">
        <w:fldChar w:fldCharType="separate"/>
      </w:r>
      <w:r w:rsidR="00D24504">
        <w:rPr>
          <w:noProof/>
        </w:rPr>
        <w:t>[341]</w:t>
      </w:r>
      <w:r w:rsidRPr="00F10391">
        <w:fldChar w:fldCharType="end"/>
      </w:r>
      <w:r w:rsidRPr="00F10391">
        <w:t>. The weights used, alongside other subjective factors, can be investigated for robustness, to ensure that assumptions used are justifiable, and potentially making the decision process easier by avoiding unnecessary arguments. As seen in chapter 6 and 7, MCDA can also be used to generate more compelling evidence than would otherwise be available.</w:t>
      </w:r>
    </w:p>
    <w:p w14:paraId="37EDA384" w14:textId="77777777" w:rsidR="00D22CE3" w:rsidRPr="00F10391" w:rsidRDefault="00D22CE3">
      <w:r w:rsidRPr="00F10391">
        <w:t xml:space="preserve">This being said, MCDA does have disadvantages compared to current processes. As the UNFCC report </w:t>
      </w:r>
      <w:r w:rsidRPr="00F10391">
        <w:fldChar w:fldCharType="begin"/>
      </w:r>
      <w:r w:rsidR="00D24504">
        <w:instrText xml:space="preserve"> ADDIN EN.CITE &lt;EndNote&gt;&lt;Cite&gt;&lt;Author&gt;United Nations Framework for Climate Change&lt;/Author&gt;&lt;Year&gt;2002&lt;/Year&gt;&lt;RecNum&gt;197&lt;/RecNum&gt;&lt;DisplayText&gt;[365]&lt;/DisplayText&gt;&lt;record&gt;&lt;rec-number&gt;197&lt;/rec-number&gt;&lt;foreign-keys&gt;&lt;key app="EN" db-id="sz9092dv2s5fpze9wpgx0zxgv5ar00aezrvf" timestamp="0"&gt;197&lt;/key&gt;&lt;/foreign-keys&gt;&lt;ref-type name="Report"&gt;27&lt;/ref-type&gt;&lt;contributors&gt;&lt;authors&gt;&lt;author&gt;United Nations Framework for Climate Change,&lt;/author&gt;&lt;/authors&gt;&lt;/contributors&gt;&lt;titles&gt;&lt;title&gt;Input of the least developed countries expert group on the improvement of the guidelines for the preparation of national adaptation programmes of action FCCC/SBI/2002/INF.14&lt;/title&gt;&lt;/titles&gt;&lt;dates&gt;&lt;year&gt;2002&lt;/year&gt;&lt;/dates&gt;&lt;pub-location&gt;Geneva&lt;/pub-location&gt;&lt;publisher&gt;United Nations&lt;/publisher&gt;&lt;urls&gt;&lt;related-urls&gt;&lt;url&gt;www.unfccc.int/resource/docs/2002/sbi/inf14.pdf.&lt;/url&gt;&lt;/related-urls&gt;&lt;/urls&gt;&lt;/record&gt;&lt;/Cite&gt;&lt;/EndNote&gt;</w:instrText>
      </w:r>
      <w:r w:rsidRPr="00F10391">
        <w:fldChar w:fldCharType="separate"/>
      </w:r>
      <w:r w:rsidR="00D24504">
        <w:rPr>
          <w:noProof/>
        </w:rPr>
        <w:t>[365]</w:t>
      </w:r>
      <w:r w:rsidRPr="00F10391">
        <w:fldChar w:fldCharType="end"/>
      </w:r>
      <w:r w:rsidRPr="00F10391">
        <w:t xml:space="preserve"> argued, in many situations other economic evaluation techniques will be better suited to structure the decision. The Kennedy Review </w:t>
      </w:r>
      <w:r w:rsidRPr="00F10391">
        <w:fldChar w:fldCharType="begin"/>
      </w:r>
      <w:r w:rsidR="00D24504">
        <w:instrText xml:space="preserve"> ADDIN EN.CITE &lt;EndNote&gt;&lt;Cite&gt;&lt;Author&gt;Kennedy&lt;/Author&gt;&lt;Year&gt;2010&lt;/Year&gt;&lt;RecNum&gt;75&lt;/RecNum&gt;&lt;DisplayText&gt;[366]&lt;/DisplayText&gt;&lt;record&gt;&lt;rec-number&gt;75&lt;/rec-number&gt;&lt;foreign-keys&gt;&lt;key app="EN" db-id="sz9092dv2s5fpze9wpgx0zxgv5ar00aezrvf" timestamp="0"&gt;75&lt;/key&gt;&lt;/foreign-keys&gt;&lt;ref-type name="Journal Article"&gt;17&lt;/ref-type&gt;&lt;contributors&gt;&lt;authors&gt;&lt;author&gt;Kennedy, Ian&lt;/author&gt;&lt;/authors&gt;&lt;/contributors&gt;&lt;titles&gt;&lt;title&gt;Getting it right for children and young people: Overcoming cultural barriers in the NHS so as to meet their needs&lt;/title&gt;&lt;/titles&gt;&lt;dates&gt;&lt;year&gt;2010&lt;/year&gt;&lt;/dates&gt;&lt;urls&gt;&lt;/urls&gt;&lt;/record&gt;&lt;/Cite&gt;&lt;/EndNote&gt;</w:instrText>
      </w:r>
      <w:r w:rsidRPr="00F10391">
        <w:fldChar w:fldCharType="separate"/>
      </w:r>
      <w:r w:rsidR="00D24504">
        <w:rPr>
          <w:noProof/>
        </w:rPr>
        <w:t>[366]</w:t>
      </w:r>
      <w:r w:rsidRPr="00F10391">
        <w:fldChar w:fldCharType="end"/>
      </w:r>
      <w:r w:rsidR="00010343">
        <w:t xml:space="preserve"> (p.29)</w:t>
      </w:r>
      <w:r w:rsidRPr="00F10391">
        <w:t xml:space="preserve"> warned that “such a system, so far from preventing challenges, would in fact promote them, as arguments over weighting and scoring went back and forth.” While sensitivity analysis should in theory remove such issues, the process used in NICE would need to be carefully designed to reduce this risk. On the other hand, Dodgson et al argue that:</w:t>
      </w:r>
    </w:p>
    <w:p w14:paraId="32A6BFC4" w14:textId="4EE042A6" w:rsidR="00D22CE3" w:rsidRPr="00F10391" w:rsidRDefault="00D22CE3">
      <w:pPr>
        <w:ind w:left="720"/>
      </w:pPr>
      <w:r w:rsidRPr="00F10391">
        <w:t xml:space="preserve">“The subjectivity that pervades this can be a matter of concern. Its foundation, in principle, is the decision-makers’ own choices of objectives, criteria, weights and assessments of achieving the objectives, although ‘objective’ data such as observed prices can also be included. [MCDA], however, can bring a degree of structure, analysis and openness to classes of decision that lie beyond the practical reach of CBA”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xml:space="preserve"> (</w:t>
      </w:r>
      <w:r w:rsidR="008533CC">
        <w:t>p.</w:t>
      </w:r>
      <w:r w:rsidRPr="00F10391">
        <w:t>20)</w:t>
      </w:r>
      <w:r w:rsidR="00EF7608">
        <w:t>.</w:t>
      </w:r>
    </w:p>
    <w:p w14:paraId="1F797BC8" w14:textId="4FC60EE1" w:rsidR="00D22CE3" w:rsidRPr="00F10391" w:rsidRDefault="00D22CE3" w:rsidP="00F51F18">
      <w:pPr>
        <w:rPr>
          <w:lang w:eastAsia="en-GB"/>
        </w:rPr>
      </w:pPr>
      <w:r w:rsidRPr="00F10391">
        <w:t xml:space="preserve">A key requirement of MCDA techniques is that the final model chosen be requisite - that is sufficient to represent the mental models, beliefs about uncertainty and preferences of the participants, and where additional model refinements do not generate new insights in the problem </w:t>
      </w:r>
      <w:r w:rsidRPr="00F10391">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Pr="00F10391">
        <w:fldChar w:fldCharType="separate"/>
      </w:r>
      <w:r w:rsidR="00700267">
        <w:rPr>
          <w:noProof/>
        </w:rPr>
        <w:t>[121]</w:t>
      </w:r>
      <w:r w:rsidRPr="00F10391">
        <w:fldChar w:fldCharType="end"/>
      </w:r>
      <w:r w:rsidRPr="00F10391">
        <w:t>.  This principle of parsimony can be further extended insofar as that it is a relatively resource intensive process, it should not be used where it is clear that a simpler method would suffice. And even if current processes are not perfect, they are widely accepted – and are perceived to work – so there is an inherent risk in undermining such a process.</w:t>
      </w:r>
      <w:r w:rsidR="00F51F18">
        <w:t xml:space="preserve"> D</w:t>
      </w:r>
      <w:r w:rsidRPr="00F10391">
        <w:t>espite these limitations, it is well established that the use of</w:t>
      </w:r>
      <w:r w:rsidRPr="00F10391">
        <w:rPr>
          <w:lang w:eastAsia="en-GB"/>
        </w:rPr>
        <w:t xml:space="preserve"> a structured approach can help to inform decision-making in such complex settings </w:t>
      </w:r>
      <w:r w:rsidRPr="00F10391">
        <w:rPr>
          <w:lang w:eastAsia="en-GB"/>
        </w:rPr>
        <w:fldChar w:fldCharType="begin">
          <w:fldData xml:space="preserve">PEVuZE5vdGU+PENpdGU+PEF1dGhvcj5UdmVyc2t5PC9BdXRob3I+PFllYXI+MTk3MzwvWWVhcj48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</w:fldData>
        </w:fldChar>
      </w:r>
      <w:r w:rsidR="00700267">
        <w:rPr>
          <w:lang w:eastAsia="en-GB"/>
        </w:rPr>
        <w:instrText xml:space="preserve"> ADDIN EN.CITE </w:instrText>
      </w:r>
      <w:r w:rsidR="00700267">
        <w:rPr>
          <w:lang w:eastAsia="en-GB"/>
        </w:rPr>
        <w:fldChar w:fldCharType="begin">
          <w:fldData xml:space="preserve">PEVuZE5vdGU+PENpdGU+PEF1dGhvcj5UdmVyc2t5PC9BdXRob3I+PFllYXI+MTk3MzwvWWVhcj48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</w:fldData>
        </w:fldChar>
      </w:r>
      <w:r w:rsidR="00700267">
        <w:rPr>
          <w:lang w:eastAsia="en-GB"/>
        </w:rPr>
        <w:instrText xml:space="preserve"> ADDIN EN.CITE.DATA </w:instrText>
      </w:r>
      <w:r w:rsidR="00700267">
        <w:rPr>
          <w:lang w:eastAsia="en-GB"/>
        </w:rPr>
      </w:r>
      <w:r w:rsidR="00700267">
        <w:rPr>
          <w:lang w:eastAsia="en-GB"/>
        </w:rPr>
        <w:fldChar w:fldCharType="end"/>
      </w:r>
      <w:r w:rsidRPr="00F10391">
        <w:rPr>
          <w:lang w:eastAsia="en-GB"/>
        </w:rPr>
      </w:r>
      <w:r w:rsidRPr="00F10391">
        <w:rPr>
          <w:lang w:eastAsia="en-GB"/>
        </w:rPr>
        <w:fldChar w:fldCharType="separate"/>
      </w:r>
      <w:r w:rsidR="00700267">
        <w:rPr>
          <w:noProof/>
          <w:lang w:eastAsia="en-GB"/>
        </w:rPr>
        <w:t>[76, 77, 315]</w:t>
      </w:r>
      <w:r w:rsidRPr="00F10391">
        <w:rPr>
          <w:lang w:eastAsia="en-GB"/>
        </w:rPr>
        <w:fldChar w:fldCharType="end"/>
      </w:r>
      <w:r w:rsidRPr="00F10391">
        <w:rPr>
          <w:lang w:eastAsia="en-GB"/>
        </w:rPr>
        <w:t>.</w:t>
      </w:r>
    </w:p>
    <w:p w14:paraId="128E6BD8" w14:textId="77777777" w:rsidR="00D22CE3" w:rsidRPr="00F10391" w:rsidRDefault="00D22CE3" w:rsidP="006942ED">
      <w:pPr>
        <w:rPr>
          <w:lang w:eastAsia="en-GB"/>
        </w:rPr>
      </w:pPr>
      <w:r w:rsidRPr="00F10391">
        <w:rPr>
          <w:lang w:eastAsia="en-GB"/>
        </w:rPr>
        <w:t>Because MCDA techniques are intended to aid the decision-maker in exploring possible choices – rather than replace the decision-makers’ responsibility – they can be thought of as one stage in a broader decision-making process. In order to be successfully employed, not only does the MCDA method chosen need to be matched with the decision context, but the approach should sit comfortably within this process, rather than being unnecessarily imposed into place.</w:t>
      </w:r>
    </w:p>
    <w:p w14:paraId="7CCBFC2E" w14:textId="77777777" w:rsidR="00D22CE3" w:rsidRPr="00F10391" w:rsidRDefault="00D22CE3">
      <w:r w:rsidRPr="00F10391">
        <w:t xml:space="preserve">A narrative systematic review of papers describing the use of MCDA in public health settings was presented in Chapter 3. It found that MCDA approaches used in public health settings were generally reported as ad hoc, once-off case studies. A wide variety of MCDA techniques had been used, and these had been applied to a wide range of public health settings. Because each study was unique, direct comparison and meta-analyses of results was not possible. This also implied that care was required in matching an MCDA technique to a particular decision problem on a careful case-by-case basis. It is in hindsight not surprising that context takes on such importance, given how crucial context is in the evaluation of public health interventions more broadly </w:t>
      </w:r>
      <w:r w:rsidRPr="00F10391">
        <w:fldChar w:fldCharType="begin"/>
      </w:r>
      <w:r w:rsidR="00700267">
        <w:instrText xml:space="preserve"> ADDIN EN.CITE &lt;EndNote&gt;&lt;Cite&gt;&lt;Author&gt;Fischer&lt;/Author&gt;&lt;Year&gt;2012&lt;/Year&gt;&lt;RecNum&gt;175&lt;/RecNum&gt;&lt;DisplayText&gt;[182]&lt;/DisplayText&gt;&lt;record&gt;&lt;rec-number&gt;175&lt;/rec-number&gt;&lt;foreign-keys&gt;&lt;key app="EN" db-id="sz9092dv2s5fpze9wpgx0zxgv5ar00aezrvf" timestamp="0"&gt;175&lt;/key&gt;&lt;/foreign-keys&gt;&lt;ref-type name="Report"&gt;27&lt;/ref-type&gt;&lt;contributors&gt;&lt;authors&gt;&lt;author&gt;Fischer, A; Phillips, C; Varney, J&lt;/author&gt;&lt;/authors&gt;&lt;/contributors&gt;&lt;titles&gt;&lt;title&gt;Obesity – working with local communities economic modelling; Cost-effectiveness analysis in partnership working for reducing obesity and other long-term conditions. &lt;/title&gt;&lt;secondary-title&gt;Obesity – working with local communities&lt;/secondary-title&gt;&lt;/titles&gt;&lt;dates&gt;&lt;year&gt;2012&lt;/year&gt;&lt;/dates&gt;&lt;pub-location&gt;London&lt;/pub-location&gt;&lt;publisher&gt;National Institute for Health and Care Excellence.&lt;/publisher&gt;&lt;urls&gt;&lt;/urls&gt;&lt;/record&gt;&lt;/Cite&gt;&lt;/EndNote&gt;</w:instrText>
      </w:r>
      <w:r w:rsidRPr="00F10391">
        <w:fldChar w:fldCharType="separate"/>
      </w:r>
      <w:r w:rsidR="00700267">
        <w:rPr>
          <w:noProof/>
        </w:rPr>
        <w:t>[182]</w:t>
      </w:r>
      <w:r w:rsidRPr="00F10391">
        <w:fldChar w:fldCharType="end"/>
      </w:r>
      <w:r w:rsidRPr="00F10391">
        <w:t xml:space="preserve"> and in the fundamental importance of understanding fully the decision context prior to applying MCDA techniques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w:t>
      </w:r>
    </w:p>
    <w:p w14:paraId="38967230" w14:textId="77777777" w:rsidR="00D22CE3" w:rsidRPr="00F10391" w:rsidRDefault="00D22CE3">
      <w:r w:rsidRPr="00F10391">
        <w:t>In the update to the review, topics covered between 2011 and 2014 included:</w:t>
      </w:r>
    </w:p>
    <w:p w14:paraId="7EA7707A" w14:textId="77777777" w:rsidR="00D22CE3" w:rsidRPr="00F10391" w:rsidRDefault="00D22CE3">
      <w:pPr>
        <w:pStyle w:val="ListParagraph"/>
        <w:numPr>
          <w:ilvl w:val="0"/>
          <w:numId w:val="33"/>
        </w:numPr>
        <w:sectPr w:rsidR="00D22CE3" w:rsidRPr="00F10391" w:rsidSect="00D22CE3">
          <w:footerReference w:type="default" r:id="rId53"/>
          <w:type w:val="continuous"/>
          <w:pgSz w:w="11906" w:h="16838" w:code="9"/>
          <w:pgMar w:top="1440" w:right="1440" w:bottom="1440" w:left="1440" w:header="708" w:footer="708" w:gutter="0"/>
          <w:cols w:space="708"/>
          <w:docGrid w:linePitch="360"/>
        </w:sectPr>
      </w:pPr>
    </w:p>
    <w:p w14:paraId="7892FEBD" w14:textId="77777777" w:rsidR="00D22CE3" w:rsidRPr="00F10391" w:rsidRDefault="00D22CE3" w:rsidP="0063065F">
      <w:pPr>
        <w:pStyle w:val="ListParagraph"/>
        <w:numPr>
          <w:ilvl w:val="0"/>
          <w:numId w:val="33"/>
        </w:numPr>
        <w:jc w:val="left"/>
      </w:pPr>
      <w:r w:rsidRPr="00F10391">
        <w:t>Cardiovascular disease;</w:t>
      </w:r>
    </w:p>
    <w:p w14:paraId="3A4393C5" w14:textId="77777777" w:rsidR="00D22CE3" w:rsidRPr="00F10391" w:rsidRDefault="00D22CE3" w:rsidP="0063065F">
      <w:pPr>
        <w:pStyle w:val="ListParagraph"/>
        <w:numPr>
          <w:ilvl w:val="0"/>
          <w:numId w:val="33"/>
        </w:numPr>
        <w:jc w:val="left"/>
      </w:pPr>
      <w:r w:rsidRPr="00F10391">
        <w:t>Cervical cancer screening;</w:t>
      </w:r>
    </w:p>
    <w:p w14:paraId="4D88B0D3" w14:textId="77777777" w:rsidR="00D22CE3" w:rsidRPr="00F10391" w:rsidRDefault="00D22CE3" w:rsidP="0063065F">
      <w:pPr>
        <w:pStyle w:val="ListParagraph"/>
        <w:numPr>
          <w:ilvl w:val="0"/>
          <w:numId w:val="33"/>
        </w:numPr>
        <w:jc w:val="left"/>
      </w:pPr>
      <w:r w:rsidRPr="00F10391">
        <w:t>Chagas disease;</w:t>
      </w:r>
    </w:p>
    <w:p w14:paraId="0FF47AB4" w14:textId="77777777" w:rsidR="00D22CE3" w:rsidRPr="00F10391" w:rsidRDefault="00D22CE3" w:rsidP="0063065F">
      <w:pPr>
        <w:pStyle w:val="ListParagraph"/>
        <w:numPr>
          <w:ilvl w:val="0"/>
          <w:numId w:val="33"/>
        </w:numPr>
        <w:jc w:val="left"/>
      </w:pPr>
      <w:r w:rsidRPr="00F10391">
        <w:t>Choosing guidance topics;</w:t>
      </w:r>
    </w:p>
    <w:p w14:paraId="3113FC05" w14:textId="77777777" w:rsidR="00D22CE3" w:rsidRPr="00F10391" w:rsidRDefault="00D22CE3" w:rsidP="0063065F">
      <w:pPr>
        <w:pStyle w:val="ListParagraph"/>
        <w:numPr>
          <w:ilvl w:val="0"/>
          <w:numId w:val="33"/>
        </w:numPr>
        <w:jc w:val="left"/>
      </w:pPr>
      <w:r w:rsidRPr="00F10391">
        <w:t>City design/walkability;</w:t>
      </w:r>
    </w:p>
    <w:p w14:paraId="66B8213C" w14:textId="77777777" w:rsidR="00D22CE3" w:rsidRPr="00F10391" w:rsidRDefault="00D22CE3" w:rsidP="0063065F">
      <w:pPr>
        <w:pStyle w:val="ListParagraph"/>
        <w:numPr>
          <w:ilvl w:val="0"/>
          <w:numId w:val="33"/>
        </w:numPr>
        <w:jc w:val="left"/>
      </w:pPr>
      <w:r w:rsidRPr="00F10391">
        <w:t>Colorectal cancer screening;</w:t>
      </w:r>
    </w:p>
    <w:p w14:paraId="40DFD755" w14:textId="77777777" w:rsidR="00D22CE3" w:rsidRPr="00F10391" w:rsidRDefault="00D22CE3" w:rsidP="0063065F">
      <w:pPr>
        <w:pStyle w:val="ListParagraph"/>
        <w:numPr>
          <w:ilvl w:val="0"/>
          <w:numId w:val="33"/>
        </w:numPr>
        <w:jc w:val="left"/>
      </w:pPr>
      <w:r w:rsidRPr="00F10391">
        <w:t>Comparison of national preferences;</w:t>
      </w:r>
    </w:p>
    <w:p w14:paraId="6654BE3B" w14:textId="77777777" w:rsidR="00D22CE3" w:rsidRPr="00F10391" w:rsidRDefault="00D22CE3" w:rsidP="0063065F">
      <w:pPr>
        <w:pStyle w:val="ListParagraph"/>
        <w:numPr>
          <w:ilvl w:val="0"/>
          <w:numId w:val="33"/>
        </w:numPr>
        <w:jc w:val="left"/>
      </w:pPr>
      <w:r w:rsidRPr="00F10391">
        <w:t>Contraceptive method;</w:t>
      </w:r>
    </w:p>
    <w:p w14:paraId="5C12BBEB" w14:textId="77777777" w:rsidR="00D22CE3" w:rsidRPr="00F10391" w:rsidRDefault="00D22CE3" w:rsidP="0063065F">
      <w:pPr>
        <w:pStyle w:val="ListParagraph"/>
        <w:numPr>
          <w:ilvl w:val="0"/>
          <w:numId w:val="33"/>
        </w:numPr>
        <w:jc w:val="left"/>
      </w:pPr>
      <w:r w:rsidRPr="00F10391">
        <w:t>Diagnostic imaging;</w:t>
      </w:r>
    </w:p>
    <w:p w14:paraId="55C00215" w14:textId="77777777" w:rsidR="00D22CE3" w:rsidRPr="00F10391" w:rsidRDefault="00D22CE3" w:rsidP="0063065F">
      <w:pPr>
        <w:pStyle w:val="ListParagraph"/>
        <w:numPr>
          <w:ilvl w:val="0"/>
          <w:numId w:val="33"/>
        </w:numPr>
        <w:jc w:val="left"/>
      </w:pPr>
      <w:r w:rsidRPr="00F10391">
        <w:t>HIV/AIDS;</w:t>
      </w:r>
    </w:p>
    <w:p w14:paraId="421CC60E" w14:textId="77777777" w:rsidR="00D22CE3" w:rsidRPr="00F10391" w:rsidRDefault="00D22CE3" w:rsidP="0063065F">
      <w:pPr>
        <w:pStyle w:val="ListParagraph"/>
        <w:numPr>
          <w:ilvl w:val="0"/>
          <w:numId w:val="33"/>
        </w:numPr>
        <w:jc w:val="left"/>
      </w:pPr>
      <w:r w:rsidRPr="00F10391">
        <w:t>Inclusion in universal health care basket;</w:t>
      </w:r>
    </w:p>
    <w:p w14:paraId="64E6EC89" w14:textId="77777777" w:rsidR="00D22CE3" w:rsidRPr="00F10391" w:rsidRDefault="00D22CE3" w:rsidP="0063065F">
      <w:pPr>
        <w:pStyle w:val="ListParagraph"/>
        <w:numPr>
          <w:ilvl w:val="0"/>
          <w:numId w:val="33"/>
        </w:numPr>
        <w:jc w:val="left"/>
      </w:pPr>
      <w:r w:rsidRPr="00F10391">
        <w:t>Lyme disease;</w:t>
      </w:r>
    </w:p>
    <w:p w14:paraId="0A0D41BA" w14:textId="77777777" w:rsidR="00D22CE3" w:rsidRPr="00F10391" w:rsidRDefault="00D22CE3" w:rsidP="0063065F">
      <w:pPr>
        <w:pStyle w:val="ListParagraph"/>
        <w:numPr>
          <w:ilvl w:val="0"/>
          <w:numId w:val="33"/>
        </w:numPr>
        <w:jc w:val="left"/>
      </w:pPr>
      <w:r w:rsidRPr="00F10391">
        <w:t>Malaria;</w:t>
      </w:r>
    </w:p>
    <w:p w14:paraId="399F3D02" w14:textId="77777777" w:rsidR="00D22CE3" w:rsidRPr="00F10391" w:rsidRDefault="00D22CE3" w:rsidP="0063065F">
      <w:pPr>
        <w:pStyle w:val="ListParagraph"/>
        <w:numPr>
          <w:ilvl w:val="0"/>
          <w:numId w:val="33"/>
        </w:numPr>
        <w:jc w:val="left"/>
      </w:pPr>
      <w:r w:rsidRPr="00F10391">
        <w:t>Measurement of decision quality;</w:t>
      </w:r>
    </w:p>
    <w:p w14:paraId="2CF457A9" w14:textId="77777777" w:rsidR="00D22CE3" w:rsidRPr="00F10391" w:rsidRDefault="00D22CE3" w:rsidP="0063065F">
      <w:pPr>
        <w:pStyle w:val="ListParagraph"/>
        <w:numPr>
          <w:ilvl w:val="0"/>
          <w:numId w:val="33"/>
        </w:numPr>
        <w:jc w:val="left"/>
      </w:pPr>
      <w:r w:rsidRPr="00F10391">
        <w:t>Physiotherapy;</w:t>
      </w:r>
    </w:p>
    <w:p w14:paraId="34D3B162" w14:textId="77777777" w:rsidR="00D22CE3" w:rsidRPr="00F10391" w:rsidRDefault="00D22CE3" w:rsidP="0063065F">
      <w:pPr>
        <w:pStyle w:val="ListParagraph"/>
        <w:numPr>
          <w:ilvl w:val="0"/>
          <w:numId w:val="33"/>
        </w:numPr>
        <w:jc w:val="left"/>
      </w:pPr>
      <w:r w:rsidRPr="00F10391">
        <w:t>Spatial modelling;</w:t>
      </w:r>
    </w:p>
    <w:p w14:paraId="3848BEEA" w14:textId="77777777" w:rsidR="00D22CE3" w:rsidRPr="00F10391" w:rsidRDefault="00D22CE3" w:rsidP="0063065F">
      <w:pPr>
        <w:pStyle w:val="ListParagraph"/>
        <w:numPr>
          <w:ilvl w:val="0"/>
          <w:numId w:val="33"/>
        </w:numPr>
        <w:jc w:val="left"/>
      </w:pPr>
      <w:r w:rsidRPr="00F10391">
        <w:t>Systems Change techniques;</w:t>
      </w:r>
    </w:p>
    <w:p w14:paraId="59D0E754" w14:textId="77777777" w:rsidR="00D22CE3" w:rsidRPr="00F10391" w:rsidRDefault="00D22CE3" w:rsidP="0063065F">
      <w:pPr>
        <w:pStyle w:val="ListParagraph"/>
        <w:numPr>
          <w:ilvl w:val="0"/>
          <w:numId w:val="33"/>
        </w:numPr>
        <w:jc w:val="left"/>
        <w:sectPr w:rsidR="00D22CE3" w:rsidRPr="00F10391" w:rsidSect="00D22CE3">
          <w:type w:val="continuous"/>
          <w:pgSz w:w="11906" w:h="16838" w:code="9"/>
          <w:pgMar w:top="1440" w:right="1440" w:bottom="1440" w:left="1440" w:header="708" w:footer="708" w:gutter="0"/>
          <w:cols w:num="2" w:space="708"/>
          <w:docGrid w:linePitch="360"/>
        </w:sectPr>
      </w:pPr>
      <w:r w:rsidRPr="00F10391">
        <w:t>Vector borne disease.</w:t>
      </w:r>
    </w:p>
    <w:p w14:paraId="3E4776EE" w14:textId="77777777" w:rsidR="00D22CE3" w:rsidRPr="00F10391" w:rsidRDefault="00D22CE3" w:rsidP="006942ED">
      <w:r w:rsidRPr="00F10391">
        <w:t xml:space="preserve">A number of value measurement approaches were used over the same period: the Linear Additive approach, the Analytic Hierarchy Process, Discrete Choice Experiments, SMART and EVIDEM. Two outranking approaches were used: PROMETHEE and TODIM. Goal programming techniques were not used. PBMA, a much softer approach, was the predominant such method (even if technically outside of scope for this thesis) until 2010, but the use of more formal MCDA techniques has grown quickly since this time. </w:t>
      </w:r>
    </w:p>
    <w:p w14:paraId="56AA5423" w14:textId="77777777" w:rsidR="00D22CE3" w:rsidRPr="00F10391" w:rsidRDefault="00D22CE3">
      <w:r w:rsidRPr="00F10391">
        <w:t>The approaches were predominantly used to prioritise between alternative course of action. Others related to describing the potential role of MCDA in public health decision-making more generally or to highlight the risk of certain diseases using the geographical information systems technique.</w:t>
      </w:r>
    </w:p>
    <w:p w14:paraId="5F6AAE16" w14:textId="77777777" w:rsidR="00D22CE3" w:rsidRPr="00F10391" w:rsidRDefault="00D22CE3">
      <w:r w:rsidRPr="00F10391">
        <w:t xml:space="preserve">Studies generally reported the use of MCDA in very positive terms, though this may of course be subject to publication bias. The case study nature of approaches offered no evidence of MCDA techniques being embedded into decision-making processes of larger public health bodies, in health economic settings, or being used recurrently. It may be that large, complex public bodies are not the places to test ambitious new approaches, and that this may have to follow in the future (though bodies outside public health have used similar approaches in the past </w:t>
      </w:r>
      <w:r w:rsidRPr="00F10391">
        <w:fldChar w:fldCharType="begin"/>
      </w:r>
      <w:r w:rsidRPr="00F10391">
        <w:instrText xml:space="preserve"> ADDIN EN.CITE &lt;EndNote&gt;&lt;Cite&gt;&lt;Author&gt;Devlin&lt;/Author&gt;&lt;Year&gt;2011&lt;/Year&gt;&lt;RecNum&gt;37&lt;/RecNum&gt;&lt;DisplayText&gt;[4]&lt;/DisplayText&gt;&lt;record&gt;&lt;rec-number&gt;37&lt;/rec-number&gt;&lt;foreign-keys&gt;&lt;key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Pr="00F10391">
        <w:t>[4]</w:t>
      </w:r>
      <w:r w:rsidRPr="00F10391">
        <w:fldChar w:fldCharType="end"/>
      </w:r>
      <w:r w:rsidRPr="00F10391">
        <w:t xml:space="preserve">). It may also be that the replacement of HTA processes with a wholly new MCDA-derived process may be too grand a project to undertake at this time. At a smaller scale, however, MCDA processes have been shown to consistently work as part of the public health decision-making process. </w:t>
      </w:r>
    </w:p>
    <w:p w14:paraId="1AA56700" w14:textId="77777777" w:rsidR="00D22CE3" w:rsidRPr="00F10391" w:rsidRDefault="00D22CE3">
      <w:r w:rsidRPr="00F10391">
        <w:t xml:space="preserve">Mitton and Donaldson </w:t>
      </w:r>
      <w:r w:rsidRPr="00F10391">
        <w:fldChar w:fldCharType="begin"/>
      </w:r>
      <w:r w:rsidR="00700267">
        <w:instrText xml:space="preserve"> ADDIN EN.CITE &lt;EndNote&gt;&lt;Cite&gt;&lt;Author&gt;Mitton&lt;/Author&gt;&lt;Year&gt;2003&lt;/Year&gt;&lt;RecNum&gt;97&lt;/RecNum&gt;&lt;DisplayText&gt;[139]&lt;/DisplayText&gt;&lt;record&gt;&lt;rec-number&gt;97&lt;/rec-number&gt;&lt;foreign-keys&gt;&lt;key app="EN" db-id="sz9092dv2s5fpze9wpgx0zxgv5ar00aezrvf" timestamp="0"&gt;97&lt;/key&gt;&lt;/foreign-keys&gt;&lt;ref-type name="Journal Article"&gt;17&lt;/ref-type&gt;&lt;contributors&gt;&lt;authors&gt;&lt;author&gt;Mitton, Craig R&lt;/author&gt;&lt;author&gt;Donaldson, Cam&lt;/author&gt;&lt;/authors&gt;&lt;/contributors&gt;&lt;titles&gt;&lt;title&gt;Setting priorities and allocating resources in health regions: lessons from a project evaluating program budgeting and marginal analysis (PBMA)&lt;/title&gt;&lt;secondary-title&gt;Health Policy&lt;/secondary-title&gt;&lt;/titles&gt;&lt;periodical&gt;&lt;full-title&gt;Health Policy&lt;/full-title&gt;&lt;/periodical&gt;&lt;pages&gt;335-348&lt;/pages&gt;&lt;volume&gt;64&lt;/volume&gt;&lt;number&gt;3&lt;/number&gt;&lt;dates&gt;&lt;year&gt;2003&lt;/year&gt;&lt;/dates&gt;&lt;isbn&gt;0168-8510&lt;/isbn&gt;&lt;urls&gt;&lt;related-urls&gt;&lt;url&gt;http://www.healthpolicyjrnl.com/article/S0168-8510(02)00198-7/abstract&lt;/url&gt;&lt;url&gt;http://ac.els-cdn.com/S0168851002001987/1-s2.0-S0168851002001987-main.pdf?_tid=4668b398-9359-11e4-a17a-00000aab0f26&amp;amp;acdnat=1420297417_249b4ca55c283d1512b0bfe201ecaa9f&lt;/url&gt;&lt;/related-urls&gt;&lt;/urls&gt;&lt;/record&gt;&lt;/Cite&gt;&lt;/EndNote&gt;</w:instrText>
      </w:r>
      <w:r w:rsidRPr="00F10391">
        <w:fldChar w:fldCharType="separate"/>
      </w:r>
      <w:r w:rsidR="00700267">
        <w:rPr>
          <w:noProof/>
        </w:rPr>
        <w:t>[139]</w:t>
      </w:r>
      <w:r w:rsidRPr="00F10391">
        <w:fldChar w:fldCharType="end"/>
      </w:r>
      <w:r w:rsidR="00993BDE">
        <w:t xml:space="preserve"> (p.345)</w:t>
      </w:r>
      <w:r w:rsidRPr="00F10391">
        <w:t xml:space="preserve"> state that “the first step in overcoming barriers to change is identifying what those barriers are”, and the use of MCDA techniques appears to help in focussing the minds of those taking part by explicitly engaging with the conflicting demands of public health settings. They can be used in a wide variety of contexts, but the successful approaches reported have been relatively modest in scale, carefully matched to the nature of the chosen sub-processes at hand. My intention with this thesis was always to bear towards pragmatism, and based upon the review I decided to focus on MCDA approaches of the scale that were relevant and likely to actually make a difference in public health decision-making in England, rather than attempting to solve the far more ambitious conundrums, such as how to somehow replace the HTA process as it stands with an MCDA derived approach. In any case, for reasons below, such an approach might be neither desirable nor achievable in any case.</w:t>
      </w:r>
    </w:p>
    <w:p w14:paraId="566D18C8" w14:textId="77777777" w:rsidR="00D22CE3" w:rsidRPr="00F10391" w:rsidRDefault="00D22CE3">
      <w:bookmarkStart w:id="846" w:name="_Toc441581784"/>
    </w:p>
    <w:p w14:paraId="325C89D2" w14:textId="77777777" w:rsidR="00D22CE3" w:rsidRPr="00F10391" w:rsidRDefault="00D22CE3">
      <w:pPr>
        <w:pStyle w:val="Heading4"/>
      </w:pPr>
      <w:bookmarkStart w:id="847" w:name="_Toc453235485"/>
      <w:bookmarkStart w:id="848" w:name="_Toc453595558"/>
      <w:bookmarkStart w:id="849" w:name="_Toc476241655"/>
      <w:r w:rsidRPr="00F10391">
        <w:t>8.</w:t>
      </w:r>
      <w:bookmarkEnd w:id="846"/>
      <w:r w:rsidRPr="00F10391">
        <w:t>2.1.2</w:t>
      </w:r>
      <w:r w:rsidRPr="00F10391">
        <w:tab/>
      </w:r>
      <w:r w:rsidRPr="00F10391">
        <w:tab/>
        <w:t>How are decisions made in the CPH, according to its reference case and in practice?</w:t>
      </w:r>
      <w:bookmarkEnd w:id="847"/>
      <w:bookmarkEnd w:id="848"/>
      <w:bookmarkEnd w:id="849"/>
    </w:p>
    <w:p w14:paraId="23201CF9" w14:textId="77777777" w:rsidR="00D22CE3" w:rsidRPr="00F10391" w:rsidRDefault="00D22CE3">
      <w:r w:rsidRPr="00F10391">
        <w:t>From start to finish, NICE rely on six broad stages in developing guidance in public health, alongside a number of sub-processes carried out in sequence or in parallel, listed in Figure 4.1. These stages relate to:</w:t>
      </w:r>
    </w:p>
    <w:p w14:paraId="22045493" w14:textId="77777777" w:rsidR="00D22CE3" w:rsidRPr="00F10391" w:rsidRDefault="00D22CE3">
      <w:pPr>
        <w:pStyle w:val="ListParagraph"/>
        <w:numPr>
          <w:ilvl w:val="0"/>
          <w:numId w:val="26"/>
        </w:numPr>
        <w:sectPr w:rsidR="00D22CE3" w:rsidRPr="00F10391" w:rsidSect="00D22CE3">
          <w:footerReference w:type="default" r:id="rId54"/>
          <w:type w:val="continuous"/>
          <w:pgSz w:w="11906" w:h="16838" w:code="9"/>
          <w:pgMar w:top="1440" w:right="1440" w:bottom="1440" w:left="1440" w:header="708" w:footer="708" w:gutter="0"/>
          <w:cols w:space="708"/>
          <w:docGrid w:linePitch="360"/>
        </w:sectPr>
      </w:pPr>
    </w:p>
    <w:p w14:paraId="1B2D5642" w14:textId="77777777" w:rsidR="00D22CE3" w:rsidRPr="00F10391" w:rsidRDefault="00D22CE3">
      <w:pPr>
        <w:pStyle w:val="ListParagraph"/>
        <w:numPr>
          <w:ilvl w:val="0"/>
          <w:numId w:val="26"/>
        </w:numPr>
      </w:pPr>
      <w:r w:rsidRPr="00F10391">
        <w:t>Topic selection</w:t>
      </w:r>
    </w:p>
    <w:p w14:paraId="3552E710" w14:textId="77777777" w:rsidR="00D22CE3" w:rsidRPr="00F10391" w:rsidRDefault="00D22CE3">
      <w:pPr>
        <w:pStyle w:val="ListParagraph"/>
        <w:numPr>
          <w:ilvl w:val="0"/>
          <w:numId w:val="26"/>
        </w:numPr>
      </w:pPr>
      <w:r w:rsidRPr="00F10391">
        <w:t>Laying study foundations</w:t>
      </w:r>
    </w:p>
    <w:p w14:paraId="4877166C" w14:textId="77777777" w:rsidR="00D22CE3" w:rsidRPr="00F10391" w:rsidRDefault="00D22CE3">
      <w:pPr>
        <w:pStyle w:val="ListParagraph"/>
        <w:numPr>
          <w:ilvl w:val="0"/>
          <w:numId w:val="26"/>
        </w:numPr>
      </w:pPr>
      <w:r w:rsidRPr="00F10391">
        <w:t>Gathering evidence</w:t>
      </w:r>
    </w:p>
    <w:p w14:paraId="1BA3FD43" w14:textId="77777777" w:rsidR="00D22CE3" w:rsidRPr="00F10391" w:rsidRDefault="00D22CE3">
      <w:pPr>
        <w:pStyle w:val="ListParagraph"/>
        <w:numPr>
          <w:ilvl w:val="0"/>
          <w:numId w:val="26"/>
        </w:numPr>
      </w:pPr>
      <w:r w:rsidRPr="00F10391">
        <w:t>Developing/writing guidance</w:t>
      </w:r>
    </w:p>
    <w:p w14:paraId="7D37A683" w14:textId="77777777" w:rsidR="00D22CE3" w:rsidRPr="00F10391" w:rsidRDefault="00D22CE3">
      <w:pPr>
        <w:pStyle w:val="ListParagraph"/>
        <w:numPr>
          <w:ilvl w:val="0"/>
          <w:numId w:val="26"/>
        </w:numPr>
      </w:pPr>
      <w:r w:rsidRPr="00F10391">
        <w:t>Publication and dissemination</w:t>
      </w:r>
    </w:p>
    <w:p w14:paraId="5AFBF21D" w14:textId="77777777" w:rsidR="00D22CE3" w:rsidRPr="00F10391" w:rsidRDefault="00D22CE3">
      <w:pPr>
        <w:pStyle w:val="ListParagraph"/>
        <w:numPr>
          <w:ilvl w:val="0"/>
          <w:numId w:val="26"/>
        </w:numPr>
      </w:pPr>
      <w:r w:rsidRPr="00F10391">
        <w:t>Implementation and eventual</w:t>
      </w:r>
      <w:r w:rsidRPr="00F10391">
        <w:rPr>
          <w:lang w:eastAsia="zh-CN"/>
        </w:rPr>
        <w:t xml:space="preserve"> u</w:t>
      </w:r>
      <w:r w:rsidRPr="00F10391">
        <w:t>pdating</w:t>
      </w:r>
    </w:p>
    <w:p w14:paraId="0E842C90" w14:textId="77777777" w:rsidR="00D22CE3" w:rsidRPr="00F10391" w:rsidRDefault="00D22CE3">
      <w:r w:rsidRPr="00F10391">
        <w:t xml:space="preserve">Within public health, decisions are made by a PHAC committee, overseen by NICE staff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xml:space="preserve">. The committee is made up of experts from a range of settings, alongside lay representatives. Citizens councils are occasionally convened in NICE to ensure that priorities and assumptions reflect public preferences </w:t>
      </w:r>
      <w:r w:rsidRPr="00F10391">
        <w:fldChar w:fldCharType="begin"/>
      </w:r>
      <w:r w:rsidR="00700267">
        <w:instrText xml:space="preserve"> ADDIN EN.CITE &lt;EndNote&gt;&lt;Cite&gt;&lt;Author&gt;NICE&lt;/Author&gt;&lt;Year&gt;2014&lt;/Year&gt;&lt;RecNum&gt;190&lt;/RecNum&gt;&lt;DisplayText&gt;[245]&lt;/DisplayText&gt;&lt;record&gt;&lt;rec-number&gt;190&lt;/rec-number&gt;&lt;foreign-keys&gt;&lt;key app="EN" db-id="sz9092dv2s5fpze9wpgx0zxgv5ar00aezrvf" timestamp="0"&gt;190&lt;/key&gt;&lt;/foreign-keys&gt;&lt;ref-type name="Report"&gt;27&lt;/ref-type&gt;&lt;contributors&gt;&lt;authors&gt;&lt;author&gt;NICE&lt;/author&gt;&lt;/authors&gt;&lt;/contributors&gt;&lt;titles&gt;&lt;title&gt;What are the societal values that need to be considered when making decisions about trade-offs between equity and efficiency? Citizens Council Meeting report: 8-9 May 2014. &lt;/title&gt;&lt;/titles&gt;&lt;dates&gt;&lt;year&gt;2014&lt;/year&gt;&lt;/dates&gt;&lt;pub-location&gt;London&lt;/pub-location&gt;&lt;publisher&gt;National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[245]</w:t>
      </w:r>
      <w:r w:rsidRPr="00F10391">
        <w:fldChar w:fldCharType="end"/>
      </w:r>
      <w:r w:rsidRPr="00F10391">
        <w:t xml:space="preserve">. Some other issues that are inherently subjective use more sophisticated quantitative approaches to elicit public preferences, such as the MVH study to estimate quality of life preferences using EQ-5D </w:t>
      </w:r>
      <w:r w:rsidRPr="00F10391">
        <w:fldChar w:fldCharType="begin"/>
      </w:r>
      <w:r w:rsidR="00700267">
        <w:instrText xml:space="preserve"> ADDIN EN.CITE &lt;EndNote&gt;&lt;Cite&gt;&lt;Author&gt;Dolan&lt;/Author&gt;&lt;Year&gt;1994&lt;/Year&gt;&lt;RecNum&gt;296&lt;/RecNum&gt;&lt;DisplayText&gt;[189]&lt;/DisplayText&gt;&lt;record&gt;&lt;rec-number&gt;296&lt;/rec-number&gt;&lt;foreign-keys&gt;&lt;key app="EN" db-id="sz9092dv2s5fpze9wpgx0zxgv5ar00aezrvf" timestamp="0"&gt;296&lt;/key&gt;&lt;/foreign-keys&gt;&lt;ref-type name="Journal Article"&gt;17&lt;/ref-type&gt;&lt;contributors&gt;&lt;authors&gt;&lt;author&gt;Dolan, P&lt;/author&gt;&lt;author&gt;Gudex, C&lt;/author&gt;&lt;author&gt;Kind, P&lt;/author&gt;&lt;author&gt;Williams, A&lt;/author&gt;&lt;/authors&gt;&lt;/contributors&gt;&lt;titles&gt;&lt;title&gt;The measurement and valuation of health: first report on the main survey&lt;/title&gt;&lt;secondary-title&gt;York: University of York&lt;/secondary-title&gt;&lt;/titles&gt;&lt;dates&gt;&lt;year&gt;1994&lt;/year&gt;&lt;/dates&gt;&lt;urls&gt;&lt;/urls&gt;&lt;/record&gt;&lt;/Cite&gt;&lt;/EndNote&gt;</w:instrText>
      </w:r>
      <w:r w:rsidRPr="00F10391">
        <w:fldChar w:fldCharType="separate"/>
      </w:r>
      <w:r w:rsidR="00700267">
        <w:rPr>
          <w:noProof/>
        </w:rPr>
        <w:t>[189]</w:t>
      </w:r>
      <w:r w:rsidRPr="00F10391">
        <w:fldChar w:fldCharType="end"/>
      </w:r>
      <w:r w:rsidRPr="00F10391">
        <w:t>.</w:t>
      </w:r>
    </w:p>
    <w:p w14:paraId="7FAE449C" w14:textId="77777777" w:rsidR="00D22CE3" w:rsidRPr="00F10391" w:rsidRDefault="00D22CE3">
      <w:pPr>
        <w:sectPr w:rsidR="00D22CE3" w:rsidRPr="00F10391" w:rsidSect="00D22CE3">
          <w:type w:val="continuous"/>
          <w:pgSz w:w="11906" w:h="16838" w:code="9"/>
          <w:pgMar w:top="1440" w:right="1440" w:bottom="1440" w:left="1440" w:header="708" w:footer="708" w:gutter="0"/>
          <w:cols w:space="708"/>
          <w:docGrid w:linePitch="360"/>
        </w:sectPr>
      </w:pPr>
    </w:p>
    <w:p w14:paraId="5B8B0CA1" w14:textId="0F4F893A" w:rsidR="00D22CE3" w:rsidRPr="00F10391" w:rsidRDefault="00D22CE3">
      <w:r w:rsidRPr="00F10391">
        <w:t xml:space="preserve">Evidence reviews, such as results from literature reviews and economic modelling, are presented to the PHAC and gaps in evidence are addressed with economic modelling, expert testimony, grey and unpublished literature, and the PHAC’s collective </w:t>
      </w:r>
      <w:r w:rsidR="001B7ADD">
        <w:t>judgment</w:t>
      </w:r>
      <w:r w:rsidRPr="00F10391">
        <w:t xml:space="preserve">. </w:t>
      </w:r>
      <w:r w:rsidR="001B7ADD">
        <w:t>Judgment</w:t>
      </w:r>
      <w:r w:rsidRPr="00F10391">
        <w:t xml:space="preserve"> is also required relating to the strength of evidence available and how appropriate it is to extrapolate guidance based upon it. Other factors too are also taken into account, all implicitly weighed up and decided upon in this deliberative process over a series of meetings.</w:t>
      </w:r>
    </w:p>
    <w:p w14:paraId="0070755A" w14:textId="66E98DF7" w:rsidR="00D22CE3" w:rsidRPr="00F10391" w:rsidRDefault="00D22CE3">
      <w:r w:rsidRPr="00F10391">
        <w:t xml:space="preserve">Because of the importance of context in public health settings, </w:t>
      </w:r>
      <w:r w:rsidR="001B7ADD">
        <w:t>judgment</w:t>
      </w:r>
      <w:r w:rsidRPr="00F10391">
        <w:t xml:space="preserve"> may also be required as to the relevance of given evidence and social value </w:t>
      </w:r>
      <w:r w:rsidR="001B7ADD">
        <w:t>judgment</w:t>
      </w:r>
      <w:r w:rsidRPr="00F10391">
        <w:t>s are also required in doing so. Given the range of aims that need to be taken into account in public health - which are not confined to cost-effectiveness concerns (nor even to decisions’ knock-on effects on equity), it cannot necessarily be said to simply be the maximisation of health.</w:t>
      </w:r>
    </w:p>
    <w:p w14:paraId="7552B0A5" w14:textId="77777777" w:rsidR="00D22CE3" w:rsidRPr="00F10391" w:rsidRDefault="00D22CE3">
      <w:r w:rsidRPr="00F10391">
        <w:t xml:space="preserve">Decisions throughout are expected to use the assumptions described in the reference case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xml:space="preserve">. This is a framework describing the key norms to be used in modelling, deliberations and other processes. These include which economic evaluation techniques are permitted, the range of perspectives used, the discount rate to be incorporated and so on. These norms have gradually changed since the Centre for Public Health’s foundation and - as seen in chapter 5 - they are not rigidly stuck to in any case. This makes comparisons between directorates (and even within a directorate) over time more complicated than one might expect. There seems to be little reason to believe it will not continue to evolve in future. </w:t>
      </w:r>
    </w:p>
    <w:p w14:paraId="004F9791" w14:textId="77777777" w:rsidR="00D22CE3" w:rsidRPr="00F10391" w:rsidRDefault="00D22CE3">
      <w:r w:rsidRPr="00F10391">
        <w:t>Upon its foundation, the CPH approaches mirrored the standard NICE reference case, but this has gradually been tailored to better suit the range of challenges posed in public health. This was described in Table 4.1.  Economic evaluation techniques are no longer confined to CUA, and the previous requirement of a public sector perspective on costs and benefits has now loosened to allow NHS and PSS, societal and ‘other’ perspectives (such as employer or local government), depending on the nature of the guidance (though many of these had in practice been used for some years anyway). This leads to questions as to why the same threshold should necessarily apply in all cases – given that outcomes may no longer be confined to health settings, and different bodies will have very different budgets available. Other challenges in such settings previously discussed, and outside of the role of cost-effectiveness included:</w:t>
      </w:r>
    </w:p>
    <w:p w14:paraId="08764ACE" w14:textId="77777777" w:rsidR="00D22CE3" w:rsidRPr="00F10391" w:rsidRDefault="00D22CE3">
      <w:pPr>
        <w:pStyle w:val="ListParagraph"/>
        <w:numPr>
          <w:ilvl w:val="0"/>
          <w:numId w:val="22"/>
        </w:numPr>
      </w:pPr>
      <w:r w:rsidRPr="00F10391">
        <w:t>Problems of consistency, transparency and accountability given the complexity of such decision-making processes and the use of multiple criteria;</w:t>
      </w:r>
    </w:p>
    <w:p w14:paraId="3D206BFF" w14:textId="77777777" w:rsidR="00D22CE3" w:rsidRPr="00F10391" w:rsidRDefault="00D22CE3">
      <w:pPr>
        <w:pStyle w:val="ListParagraph"/>
        <w:numPr>
          <w:ilvl w:val="0"/>
          <w:numId w:val="22"/>
        </w:numPr>
      </w:pPr>
      <w:r w:rsidRPr="00F10391">
        <w:t>Definitions of health and applicability of evidence based medicine approaches in public health settings;</w:t>
      </w:r>
    </w:p>
    <w:p w14:paraId="1FDBEF78" w14:textId="77777777" w:rsidR="00D22CE3" w:rsidRPr="00F10391" w:rsidRDefault="00D22CE3">
      <w:pPr>
        <w:pStyle w:val="ListParagraph"/>
        <w:numPr>
          <w:ilvl w:val="0"/>
          <w:numId w:val="22"/>
        </w:numPr>
      </w:pPr>
      <w:r w:rsidRPr="00F10391">
        <w:t>How to find an appropriate balance between democratic processes and scientific methods; and</w:t>
      </w:r>
    </w:p>
    <w:p w14:paraId="537E90FB" w14:textId="5F943BBD" w:rsidR="00D22CE3" w:rsidRPr="00F10391" w:rsidRDefault="00D22CE3">
      <w:pPr>
        <w:pStyle w:val="ListParagraph"/>
        <w:numPr>
          <w:ilvl w:val="0"/>
          <w:numId w:val="22"/>
        </w:numPr>
      </w:pPr>
      <w:r w:rsidRPr="00F10391">
        <w:t xml:space="preserve">How to incorporate inconclusive evidence and value </w:t>
      </w:r>
      <w:r w:rsidR="001B7ADD">
        <w:t>judgment</w:t>
      </w:r>
      <w:r w:rsidRPr="00F10391">
        <w:t>s.</w:t>
      </w:r>
    </w:p>
    <w:p w14:paraId="398CC47A" w14:textId="77777777" w:rsidR="00D22CE3" w:rsidRPr="00F10391" w:rsidRDefault="00D22CE3">
      <w:r w:rsidRPr="00F10391">
        <w:t>All such issues (and any others specific to the topic at hand) should be considered as part of deliberations – though how or where this happens on any given occasion is not published and is therefore not open to scrutiny, whether in individual cases or in aggregate. This lack of transparency is clearly not ideal and the complexity of decision-making in these settings is also potentially a major issue, given the failure to use structured models to weigh up such issues. In theory, MCDA approaches might be able to play a role in at least partially ameliorating each of them.</w:t>
      </w:r>
    </w:p>
    <w:p w14:paraId="685A473F" w14:textId="77777777" w:rsidR="00D22CE3" w:rsidRPr="00F10391" w:rsidRDefault="00D22CE3">
      <w:r w:rsidRPr="00F10391">
        <w:rPr>
          <w:lang w:eastAsia="en-US"/>
        </w:rPr>
        <w:t>It is widely considered that cost-effectiveness is the primary consideration in NICE committees</w:t>
      </w:r>
      <w:r w:rsidRPr="00F10391">
        <w:t xml:space="preserve"> </w:t>
      </w:r>
      <w:r w:rsidRPr="00F10391">
        <w:fldChar w:fldCharType="begin"/>
      </w:r>
      <w:r w:rsidR="00700267">
        <w:instrText xml:space="preserve"> ADDIN EN.CITE &lt;EndNote&gt;&lt;Cite&gt;&lt;Author&gt;Devlin&lt;/Author&gt;&lt;Year&gt;2011&lt;/Year&gt;&lt;RecNum&gt;37&lt;/RecNum&gt;&lt;DisplayText&gt;[4, 224]&lt;/DisplayText&gt;&lt;record&gt;&lt;rec-number&gt;37&lt;/rec-number&gt;&lt;foreign-keys&gt;&lt;key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Cite&gt;&lt;Author&gt;NICE&lt;/Author&gt;&lt;Year&gt;2009&lt;/Year&gt;&lt;RecNum&gt;186&lt;/RecNum&gt;&lt;record&gt;&lt;rec-number&gt;186&lt;/rec-number&gt;&lt;foreign-keys&gt;&lt;key app="EN" db-id="sz9092dv2s5fpze9wpgx0zxgv5ar00aezrvf" timestamp="0"&gt;186&lt;/key&gt;&lt;/foreign-keys&gt;&lt;ref-type name="Report"&gt;27&lt;/ref-type&gt;&lt;contributors&gt;&lt;authors&gt;&lt;author&gt;NICE  &lt;/author&gt;&lt;/authors&gt;&lt;/contributors&gt;&lt;titles&gt;&lt;title&gt;Methods for the development of NICE public health guidance&lt;/title&gt;&lt;/titles&gt;&lt;edition&gt;Second edition&lt;/edition&gt;&lt;dates&gt;&lt;year&gt;2009&lt;/year&gt;&lt;/dates&gt;&lt;pub-location&gt;London&lt;/pub-location&gt;&lt;publisher&gt;National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[4, 224]</w:t>
      </w:r>
      <w:r w:rsidRPr="00F10391">
        <w:fldChar w:fldCharType="end"/>
      </w:r>
      <w:r w:rsidRPr="00F10391">
        <w:t>. Where the ICER is low enough (i.e. below £20,000), interventions should be recommended more or less automatically, regardless of other issues. Above this figure, committees should also take into account other factors (especially once a £30,000 ceiling has been breached), namely:</w:t>
      </w:r>
    </w:p>
    <w:p w14:paraId="6A6C2E4D" w14:textId="77777777" w:rsidR="00D22CE3" w:rsidRPr="00F10391" w:rsidRDefault="00D22CE3">
      <w:pPr>
        <w:pStyle w:val="ListParagraph"/>
        <w:numPr>
          <w:ilvl w:val="0"/>
          <w:numId w:val="34"/>
        </w:numPr>
      </w:pPr>
      <w:r w:rsidRPr="00F10391">
        <w:t xml:space="preserve">the degree of certainty around the ICER </w:t>
      </w:r>
      <w:r w:rsidRPr="00F10391">
        <w:fldChar w:fldCharType="begin"/>
      </w:r>
      <w:r w:rsidR="00700267">
        <w:instrText xml:space="preserve"> ADDIN EN.CITE &lt;EndNote&gt;&lt;Cite&gt;&lt;Author&gt;NICE&lt;/Author&gt;&lt;Year&gt;2009&lt;/Year&gt;&lt;RecNum&gt;186&lt;/RecNum&gt;&lt;DisplayText&gt;[4, 224]&lt;/DisplayText&gt;&lt;record&gt;&lt;rec-number&gt;186&lt;/rec-number&gt;&lt;foreign-keys&gt;&lt;key app="EN" db-id="sz9092dv2s5fpze9wpgx0zxgv5ar00aezrvf" timestamp="0"&gt;186&lt;/key&gt;&lt;/foreign-keys&gt;&lt;ref-type name="Report"&gt;27&lt;/ref-type&gt;&lt;contributors&gt;&lt;authors&gt;&lt;author&gt;NICE  &lt;/author&gt;&lt;/authors&gt;&lt;/contributors&gt;&lt;titles&gt;&lt;title&gt;Methods for the development of NICE public health guidance&lt;/title&gt;&lt;/titles&gt;&lt;edition&gt;Second edition&lt;/edition&gt;&lt;dates&gt;&lt;year&gt;2009&lt;/year&gt;&lt;/dates&gt;&lt;pub-location&gt;London&lt;/pub-location&gt;&lt;publisher&gt;National Institute for Health and Care Excellence.&lt;/publisher&gt;&lt;urls&gt;&lt;/urls&gt;&lt;/record&gt;&lt;/Cite&gt;&lt;Cite&gt;&lt;Author&gt;Devlin&lt;/Author&gt;&lt;Year&gt;2011&lt;/Year&gt;&lt;RecNum&gt;37&lt;/RecNum&gt;&lt;record&gt;&lt;rec-number&gt;37&lt;/rec-number&gt;&lt;foreign-keys&gt;&lt;key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00700267">
        <w:rPr>
          <w:noProof/>
        </w:rPr>
        <w:t>[4, 224]</w:t>
      </w:r>
      <w:r w:rsidRPr="00F10391">
        <w:fldChar w:fldCharType="end"/>
      </w:r>
      <w:r w:rsidRPr="00F10391">
        <w:t xml:space="preserve">; </w:t>
      </w:r>
    </w:p>
    <w:p w14:paraId="533927D3" w14:textId="77777777" w:rsidR="00D22CE3" w:rsidRPr="00F10391" w:rsidRDefault="00D22CE3">
      <w:pPr>
        <w:pStyle w:val="ListParagraph"/>
        <w:numPr>
          <w:ilvl w:val="0"/>
          <w:numId w:val="29"/>
        </w:numPr>
      </w:pPr>
      <w:r w:rsidRPr="00F10391">
        <w:t xml:space="preserve">the presence of strong reasons suggesting that the change in quality of life has not been adequately captured </w:t>
      </w:r>
      <w:r w:rsidRPr="00F10391">
        <w:fldChar w:fldCharType="begin"/>
      </w:r>
      <w:r w:rsidR="00700267">
        <w:instrText xml:space="preserve"> ADDIN EN.CITE &lt;EndNote&gt;&lt;Cite&gt;&lt;Author&gt;NICE&lt;/Author&gt;&lt;Year&gt;2009&lt;/Year&gt;&lt;RecNum&gt;186&lt;/RecNum&gt;&lt;DisplayText&gt;[4, 224]&lt;/DisplayText&gt;&lt;record&gt;&lt;rec-number&gt;186&lt;/rec-number&gt;&lt;foreign-keys&gt;&lt;key app="EN" db-id="sz9092dv2s5fpze9wpgx0zxgv5ar00aezrvf" timestamp="0"&gt;186&lt;/key&gt;&lt;/foreign-keys&gt;&lt;ref-type name="Report"&gt;27&lt;/ref-type&gt;&lt;contributors&gt;&lt;authors&gt;&lt;author&gt;NICE  &lt;/author&gt;&lt;/authors&gt;&lt;/contributors&gt;&lt;titles&gt;&lt;title&gt;Methods for the development of NICE public health guidance&lt;/title&gt;&lt;/titles&gt;&lt;edition&gt;Second edition&lt;/edition&gt;&lt;dates&gt;&lt;year&gt;2009&lt;/year&gt;&lt;/dates&gt;&lt;pub-location&gt;London&lt;/pub-location&gt;&lt;publisher&gt;National Institute for Health and Care Excellence.&lt;/publisher&gt;&lt;urls&gt;&lt;/urls&gt;&lt;/record&gt;&lt;/Cite&gt;&lt;Cite&gt;&lt;Author&gt;Devlin&lt;/Author&gt;&lt;Year&gt;2011&lt;/Year&gt;&lt;RecNum&gt;37&lt;/RecNum&gt;&lt;record&gt;&lt;rec-number&gt;37&lt;/rec-number&gt;&lt;foreign-keys&gt;&lt;key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economics&lt;/secondary-title&gt;&lt;/titles&gt;&lt;dates&gt;&lt;year&gt;2011&lt;/year&gt;&lt;/dates&gt;&lt;urls&gt;&lt;/urls&gt;&lt;/record&gt;&lt;/Cite&gt;&lt;/EndNote&gt;</w:instrText>
      </w:r>
      <w:r w:rsidRPr="00F10391">
        <w:fldChar w:fldCharType="separate"/>
      </w:r>
      <w:r w:rsidR="00700267">
        <w:rPr>
          <w:noProof/>
        </w:rPr>
        <w:t>[4, 224]</w:t>
      </w:r>
      <w:r w:rsidRPr="00F10391">
        <w:fldChar w:fldCharType="end"/>
      </w:r>
      <w:r w:rsidRPr="00F10391">
        <w:t xml:space="preserve">; and </w:t>
      </w:r>
    </w:p>
    <w:p w14:paraId="52B99A0D" w14:textId="77777777" w:rsidR="00D22CE3" w:rsidRPr="00F10391" w:rsidRDefault="00D22CE3">
      <w:pPr>
        <w:pStyle w:val="ListParagraph"/>
        <w:numPr>
          <w:ilvl w:val="0"/>
          <w:numId w:val="29"/>
        </w:numPr>
      </w:pPr>
      <w:r w:rsidRPr="00F10391">
        <w:t xml:space="preserve">innovation </w:t>
      </w:r>
      <w:r w:rsidRPr="00F10391">
        <w:fldChar w:fldCharType="begin">
          <w:fldData xml:space="preserve">PEVuZE5vdGU+PENpdGU+PEF1dGhvcj5OSUNFPC9BdXRob3I+PFllYXI+MjAwOTwvWWVhcj48UmVj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</w:fldData>
        </w:fldChar>
      </w:r>
      <w:r w:rsidR="00700267">
        <w:instrText xml:space="preserve"> ADDIN EN.CITE </w:instrText>
      </w:r>
      <w:r w:rsidR="00700267">
        <w:fldChar w:fldCharType="begin">
          <w:fldData xml:space="preserve">PEVuZE5vdGU+PENpdGU+PEF1dGhvcj5OSUNFPC9BdXRob3I+PFllYXI+MjAwOTwvWWVhcj48UmVj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</w:fldData>
        </w:fldChar>
      </w:r>
      <w:r w:rsidR="00700267">
        <w:instrText xml:space="preserve"> ADDIN EN.CITE.DATA </w:instrText>
      </w:r>
      <w:r w:rsidR="00700267">
        <w:fldChar w:fldCharType="end"/>
      </w:r>
      <w:r w:rsidRPr="00F10391">
        <w:fldChar w:fldCharType="separate"/>
      </w:r>
      <w:r w:rsidR="00700267">
        <w:rPr>
          <w:noProof/>
        </w:rPr>
        <w:t>[4, 224, 237]</w:t>
      </w:r>
      <w:r w:rsidRPr="00F10391">
        <w:fldChar w:fldCharType="end"/>
      </w:r>
      <w:r w:rsidRPr="00F10391">
        <w:t>.</w:t>
      </w:r>
    </w:p>
    <w:p w14:paraId="3557BABE" w14:textId="77777777" w:rsidR="00D22CE3" w:rsidRPr="00F10391" w:rsidRDefault="00D22CE3">
      <w:r w:rsidRPr="00F10391">
        <w:t xml:space="preserve">The ICER itself is of course made up of the comparative changes in a number of criteria, namely: </w:t>
      </w:r>
    </w:p>
    <w:p w14:paraId="01A3D296" w14:textId="77777777" w:rsidR="00D22CE3" w:rsidRPr="00F10391" w:rsidRDefault="00D22CE3" w:rsidP="0063065F">
      <w:pPr>
        <w:pStyle w:val="ListParagraph"/>
        <w:numPr>
          <w:ilvl w:val="0"/>
          <w:numId w:val="28"/>
        </w:numPr>
        <w:jc w:val="left"/>
      </w:pPr>
      <w:r w:rsidRPr="00F10391">
        <w:t xml:space="preserve">Cost </w:t>
      </w:r>
    </w:p>
    <w:p w14:paraId="04D26384" w14:textId="77777777" w:rsidR="00D22CE3" w:rsidRPr="00F10391" w:rsidRDefault="00D22CE3" w:rsidP="0063065F">
      <w:pPr>
        <w:pStyle w:val="ListParagraph"/>
        <w:numPr>
          <w:ilvl w:val="0"/>
          <w:numId w:val="28"/>
        </w:numPr>
        <w:jc w:val="left"/>
      </w:pPr>
      <w:r w:rsidRPr="00F10391">
        <w:t>Life expectancy</w:t>
      </w:r>
    </w:p>
    <w:p w14:paraId="16407A13" w14:textId="77777777" w:rsidR="00D22CE3" w:rsidRPr="00F10391" w:rsidRDefault="00D22CE3" w:rsidP="0063065F">
      <w:pPr>
        <w:pStyle w:val="ListParagraph"/>
        <w:numPr>
          <w:ilvl w:val="0"/>
          <w:numId w:val="28"/>
        </w:numPr>
        <w:jc w:val="left"/>
        <w:sectPr w:rsidR="00D22CE3" w:rsidRPr="00F10391" w:rsidSect="00D22CE3">
          <w:type w:val="continuous"/>
          <w:pgSz w:w="11906" w:h="16838" w:code="9"/>
          <w:pgMar w:top="1440" w:right="1440" w:bottom="1440" w:left="1440" w:header="708" w:footer="708" w:gutter="0"/>
          <w:cols w:space="708"/>
          <w:docGrid w:linePitch="360"/>
        </w:sectPr>
      </w:pPr>
      <w:r w:rsidRPr="00F10391">
        <w:t>Health related quality of life, which is itself made up of:</w:t>
      </w:r>
    </w:p>
    <w:p w14:paraId="4297F5F0" w14:textId="77777777" w:rsidR="00D22CE3" w:rsidRPr="00F10391" w:rsidRDefault="00D22CE3" w:rsidP="0063065F">
      <w:pPr>
        <w:pStyle w:val="ListParagraph"/>
        <w:numPr>
          <w:ilvl w:val="0"/>
          <w:numId w:val="27"/>
        </w:numPr>
        <w:jc w:val="left"/>
      </w:pPr>
      <w:r w:rsidRPr="00F10391">
        <w:t xml:space="preserve">Mobility; </w:t>
      </w:r>
    </w:p>
    <w:p w14:paraId="5AC2DA40" w14:textId="77777777" w:rsidR="00D22CE3" w:rsidRPr="00F10391" w:rsidRDefault="00D22CE3" w:rsidP="0063065F">
      <w:pPr>
        <w:pStyle w:val="ListParagraph"/>
        <w:numPr>
          <w:ilvl w:val="0"/>
          <w:numId w:val="27"/>
        </w:numPr>
        <w:jc w:val="left"/>
      </w:pPr>
      <w:r w:rsidRPr="00F10391">
        <w:t xml:space="preserve">Self-care; </w:t>
      </w:r>
    </w:p>
    <w:p w14:paraId="003BA20B" w14:textId="77777777" w:rsidR="00D22CE3" w:rsidRPr="00F10391" w:rsidRDefault="00D22CE3" w:rsidP="0063065F">
      <w:pPr>
        <w:pStyle w:val="ListParagraph"/>
        <w:numPr>
          <w:ilvl w:val="0"/>
          <w:numId w:val="27"/>
        </w:numPr>
        <w:jc w:val="left"/>
      </w:pPr>
      <w:r w:rsidRPr="00F10391">
        <w:t xml:space="preserve">Usual activities; </w:t>
      </w:r>
    </w:p>
    <w:p w14:paraId="0AC43CD7" w14:textId="77777777" w:rsidR="00D22CE3" w:rsidRPr="00F10391" w:rsidRDefault="00D22CE3" w:rsidP="0063065F">
      <w:pPr>
        <w:pStyle w:val="ListParagraph"/>
        <w:numPr>
          <w:ilvl w:val="0"/>
          <w:numId w:val="27"/>
        </w:numPr>
        <w:jc w:val="left"/>
      </w:pPr>
      <w:r w:rsidRPr="00F10391">
        <w:t>Anxiety/Depression;</w:t>
      </w:r>
    </w:p>
    <w:p w14:paraId="255ECA77" w14:textId="77777777" w:rsidR="00D22CE3" w:rsidRPr="00F10391" w:rsidRDefault="00D22CE3" w:rsidP="0063065F">
      <w:pPr>
        <w:pStyle w:val="ListParagraph"/>
        <w:numPr>
          <w:ilvl w:val="0"/>
          <w:numId w:val="27"/>
        </w:numPr>
        <w:jc w:val="left"/>
        <w:sectPr w:rsidR="00D22CE3" w:rsidRPr="00F10391" w:rsidSect="00D22CE3">
          <w:type w:val="continuous"/>
          <w:pgSz w:w="11906" w:h="16838" w:code="9"/>
          <w:pgMar w:top="1440" w:right="1440" w:bottom="1440" w:left="1440" w:header="708" w:footer="708" w:gutter="0"/>
          <w:cols w:num="2" w:space="708"/>
          <w:docGrid w:linePitch="360"/>
        </w:sectPr>
      </w:pPr>
      <w:r w:rsidRPr="00F10391">
        <w:t xml:space="preserve">Pain/Discomfort </w:t>
      </w:r>
      <w:r w:rsidRPr="00F10391">
        <w:fldChar w:fldCharType="begin"/>
      </w:r>
      <w:r w:rsidR="00D24504">
        <w:instrText xml:space="preserve"> ADDIN EN.CITE &lt;EndNote&gt;&lt;Cite&gt;&lt;Author&gt;Brooks&lt;/Author&gt;&lt;Year&gt;1996&lt;/Year&gt;&lt;RecNum&gt;289&lt;/RecNum&gt;&lt;DisplayText&gt;[367]&lt;/DisplayText&gt;&lt;record&gt;&lt;rec-number&gt;289&lt;/rec-number&gt;&lt;foreign-keys&gt;&lt;key app="EN" db-id="sz9092dv2s5fpze9wpgx0zxgv5ar00aezrvf" timestamp="0"&gt;289&lt;/key&gt;&lt;/foreign-keys&gt;&lt;ref-type name="Journal Article"&gt;17&lt;/ref-type&gt;&lt;contributors&gt;&lt;authors&gt;&lt;author&gt;Brooks, Richard&lt;/author&gt;&lt;author&gt;Group, EuroQol&lt;/author&gt;&lt;/authors&gt;&lt;/contributors&gt;&lt;titles&gt;&lt;title&gt;EuroQol: the current state of play&lt;/title&gt;&lt;secondary-title&gt;Health policy&lt;/secondary-title&gt;&lt;/titles&gt;&lt;periodical&gt;&lt;full-title&gt;Health Policy&lt;/full-title&gt;&lt;/periodical&gt;&lt;pages&gt;53-72&lt;/pages&gt;&lt;volume&gt;37&lt;/volume&gt;&lt;number&gt;1&lt;/number&gt;&lt;dates&gt;&lt;year&gt;1996&lt;/year&gt;&lt;/dates&gt;&lt;isbn&gt;0168-8510&lt;/isbn&gt;&lt;urls&gt;&lt;related-urls&gt;&lt;url&gt;http://www.healthpolicyjrnl.com/article/0168-8510(96)00822-6/abstract&lt;/url&gt;&lt;/related-urls&gt;&lt;/urls&gt;&lt;/record&gt;&lt;/Cite&gt;&lt;/EndNote&gt;</w:instrText>
      </w:r>
      <w:r w:rsidRPr="00F10391">
        <w:fldChar w:fldCharType="separate"/>
      </w:r>
      <w:r w:rsidR="00D24504">
        <w:rPr>
          <w:noProof/>
        </w:rPr>
        <w:t>[367]</w:t>
      </w:r>
      <w:r w:rsidRPr="00F10391">
        <w:fldChar w:fldCharType="end"/>
      </w:r>
      <w:r w:rsidRPr="00F10391">
        <w:t xml:space="preserve">. </w:t>
      </w:r>
    </w:p>
    <w:p w14:paraId="408A0E96" w14:textId="77777777" w:rsidR="00D22CE3" w:rsidRPr="00F10391" w:rsidRDefault="00D22CE3" w:rsidP="006942ED">
      <w:pPr>
        <w:sectPr w:rsidR="00D22CE3" w:rsidRPr="00F10391" w:rsidSect="00D22CE3">
          <w:footerReference w:type="default" r:id="rId55"/>
          <w:footnotePr>
            <w:numFmt w:val="lowerRoman"/>
          </w:footnotePr>
          <w:type w:val="continuous"/>
          <w:pgSz w:w="11906" w:h="16838" w:code="9"/>
          <w:pgMar w:top="1440" w:right="1440" w:bottom="1440" w:left="1440" w:header="708" w:footer="708" w:gutter="0"/>
          <w:cols w:space="708"/>
          <w:docGrid w:linePitch="360"/>
        </w:sectPr>
      </w:pPr>
    </w:p>
    <w:p w14:paraId="0B5E7982" w14:textId="77777777" w:rsidR="00D22CE3" w:rsidRPr="00F10391" w:rsidRDefault="00D22CE3">
      <w:r w:rsidRPr="00F10391">
        <w:t xml:space="preserve">Since the 2012 guidance, NICE has advocated the use of the Grading of Recommendations Assessment, Development and Evaluation (GRADE) system for committees to indicate the strength of studies across five criteria </w:t>
      </w:r>
      <w:r w:rsidRPr="00F10391">
        <w:fldChar w:fldCharType="begin"/>
      </w:r>
      <w:r w:rsidR="00700267">
        <w:instrText xml:space="preserve"> ADDIN EN.CITE &lt;EndNote&gt;&lt;Cite&gt;&lt;Author&gt;NICE&lt;/Author&gt;&lt;Year&gt;2012&lt;/Year&gt;&lt;RecNum&gt;188&lt;/RecNum&gt;&lt;DisplayText&gt;[10, 368]&lt;/DisplayText&gt;&lt;record&gt;&lt;rec-number&gt;188&lt;/rec-number&gt;&lt;foreign-keys&gt;&lt;key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Excellence.&lt;/publisher&gt;&lt;urls&gt;&lt;/urls&gt;&lt;/record&gt;&lt;/Cite&gt;&lt;Cite&gt;&lt;Author&gt;Thornton&lt;/Author&gt;&lt;Year&gt;2013&lt;/Year&gt;&lt;RecNum&gt;363&lt;/RecNum&gt;&lt;record&gt;&lt;rec-number&gt;363&lt;/rec-number&gt;&lt;foreign-keys&gt;&lt;key app="EN" db-id="tw5esrpswxepd9edza959r2tte5rs22ssaaz" timestamp="1454339255"&gt;363&lt;/key&gt;&lt;/foreign-keys&gt;&lt;ref-type name="Journal Article"&gt;17&lt;/ref-type&gt;&lt;contributors&gt;&lt;authors&gt;&lt;author&gt;Thornton, Judith&lt;/author&gt;&lt;author&gt;Alderson, Philip&lt;/author&gt;&lt;author&gt;Tan, Toni&lt;/author&gt;&lt;author&gt;Turner, Claire&lt;/author&gt;&lt;author&gt;Latchem, Sue&lt;/author&gt;&lt;author&gt;Shaw, Elizabeth&lt;/author&gt;&lt;author&gt;Ruiz, Francis&lt;/author&gt;&lt;author&gt;Reken, Stefanie&lt;/author&gt;&lt;author&gt;Mugglestone, Moira A&lt;/author&gt;&lt;author&gt;Hill, Jennifer&lt;/author&gt;&lt;/authors&gt;&lt;/contributors&gt;&lt;titles&gt;&lt;title&gt;Introducing GRADE across the NICE clinical guideline program&lt;/title&gt;&lt;secondary-title&gt;Journal of Clinical Epidemiology&lt;/secondary-title&gt;&lt;/titles&gt;&lt;periodical&gt;&lt;full-title&gt;Journal of Clinical Epidemiology&lt;/full-title&gt;&lt;/periodical&gt;&lt;pages&gt;124-131&lt;/pages&gt;&lt;volume&gt;66&lt;/volume&gt;&lt;number&gt;2&lt;/number&gt;&lt;dates&gt;&lt;year&gt;2013&lt;/year&gt;&lt;/dates&gt;&lt;isbn&gt;0895-4356&lt;/isbn&gt;&lt;urls&gt;&lt;/urls&gt;&lt;/record&gt;&lt;/Cite&gt;&lt;/EndNote&gt;</w:instrText>
      </w:r>
      <w:r w:rsidRPr="00F10391">
        <w:fldChar w:fldCharType="separate"/>
      </w:r>
      <w:r w:rsidR="00700267">
        <w:rPr>
          <w:noProof/>
        </w:rPr>
        <w:t>[10, 368]</w:t>
      </w:r>
      <w:r w:rsidRPr="00F10391">
        <w:fldChar w:fldCharType="end"/>
      </w:r>
      <w:r w:rsidRPr="00F10391">
        <w:t>:</w:t>
      </w:r>
    </w:p>
    <w:p w14:paraId="42682653" w14:textId="68EC4D66" w:rsidR="00D22CE3" w:rsidRDefault="00D22CE3"/>
    <w:p w14:paraId="4C622DE0" w14:textId="77777777" w:rsidR="00307DCA" w:rsidRPr="00F10391" w:rsidRDefault="00307DCA">
      <w:pPr>
        <w:sectPr w:rsidR="00307DCA" w:rsidRPr="00F10391" w:rsidSect="00D22CE3">
          <w:footnotePr>
            <w:numFmt w:val="lowerRoman"/>
          </w:footnotePr>
          <w:type w:val="continuous"/>
          <w:pgSz w:w="11906" w:h="16838" w:code="9"/>
          <w:pgMar w:top="1440" w:right="1440" w:bottom="1440" w:left="1440" w:header="708" w:footer="708" w:gutter="0"/>
          <w:cols w:space="708"/>
          <w:docGrid w:linePitch="360"/>
        </w:sectPr>
      </w:pPr>
    </w:p>
    <w:p w14:paraId="30931D8A" w14:textId="77777777" w:rsidR="00D22CE3" w:rsidRPr="00F10391" w:rsidRDefault="00D22CE3" w:rsidP="0063065F">
      <w:pPr>
        <w:pStyle w:val="ListParagraph"/>
        <w:numPr>
          <w:ilvl w:val="0"/>
          <w:numId w:val="56"/>
        </w:numPr>
        <w:jc w:val="left"/>
      </w:pPr>
      <w:r w:rsidRPr="00F10391">
        <w:t xml:space="preserve">risk of bias within studies; </w:t>
      </w:r>
    </w:p>
    <w:p w14:paraId="16E0F361" w14:textId="77777777" w:rsidR="00D22CE3" w:rsidRPr="00F10391" w:rsidRDefault="00D22CE3" w:rsidP="0063065F">
      <w:pPr>
        <w:pStyle w:val="ListParagraph"/>
        <w:numPr>
          <w:ilvl w:val="0"/>
          <w:numId w:val="56"/>
        </w:numPr>
        <w:jc w:val="left"/>
      </w:pPr>
      <w:r w:rsidRPr="00F10391">
        <w:t xml:space="preserve">directness of evidence; </w:t>
      </w:r>
    </w:p>
    <w:p w14:paraId="4EE58536" w14:textId="77777777" w:rsidR="00D22CE3" w:rsidRPr="00F10391" w:rsidRDefault="00D22CE3" w:rsidP="0063065F">
      <w:pPr>
        <w:pStyle w:val="ListParagraph"/>
        <w:numPr>
          <w:ilvl w:val="0"/>
          <w:numId w:val="56"/>
        </w:numPr>
        <w:jc w:val="left"/>
      </w:pPr>
      <w:r w:rsidRPr="00F10391">
        <w:t>consistency of evidence;</w:t>
      </w:r>
    </w:p>
    <w:p w14:paraId="56345291" w14:textId="77777777" w:rsidR="00D22CE3" w:rsidRPr="00F10391" w:rsidRDefault="00D22CE3" w:rsidP="0063065F">
      <w:pPr>
        <w:pStyle w:val="ListParagraph"/>
        <w:numPr>
          <w:ilvl w:val="0"/>
          <w:numId w:val="56"/>
        </w:numPr>
        <w:jc w:val="left"/>
      </w:pPr>
      <w:r w:rsidRPr="00F10391">
        <w:t xml:space="preserve">precision of the estimated effects (relative to decision-making); </w:t>
      </w:r>
    </w:p>
    <w:p w14:paraId="3050585F" w14:textId="77777777" w:rsidR="00D22CE3" w:rsidRPr="00F10391" w:rsidRDefault="00D22CE3" w:rsidP="0063065F">
      <w:pPr>
        <w:pStyle w:val="ListParagraph"/>
        <w:numPr>
          <w:ilvl w:val="0"/>
          <w:numId w:val="56"/>
        </w:numPr>
        <w:jc w:val="left"/>
      </w:pPr>
      <w:r w:rsidRPr="00F10391">
        <w:t>publication bias.</w:t>
      </w:r>
    </w:p>
    <w:p w14:paraId="155B0A3C" w14:textId="77777777" w:rsidR="00D22CE3" w:rsidRPr="00F10391" w:rsidRDefault="00D22CE3">
      <w:pPr>
        <w:sectPr w:rsidR="00D22CE3" w:rsidRPr="00F10391" w:rsidSect="00D22CE3">
          <w:footnotePr>
            <w:numFmt w:val="lowerRoman"/>
          </w:footnotePr>
          <w:type w:val="continuous"/>
          <w:pgSz w:w="11906" w:h="16838" w:code="9"/>
          <w:pgMar w:top="1440" w:right="1440" w:bottom="1440" w:left="1440" w:header="708" w:footer="708" w:gutter="0"/>
          <w:cols w:num="2" w:space="708"/>
          <w:docGrid w:linePitch="360"/>
        </w:sectPr>
      </w:pPr>
    </w:p>
    <w:p w14:paraId="60A44B7A" w14:textId="77777777" w:rsidR="00D22CE3" w:rsidRPr="00F10391" w:rsidRDefault="00D22CE3">
      <w:r w:rsidRPr="00F10391">
        <w:t xml:space="preserve">Broken down this so far relates to 15 separate criteria, without even reaching the elephant in the room from a public health background, “the need to distribute health resources in the fairest way within society as a whole”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NICE neither defines, limits nor prioritises the varying potential classifications of equity as part of such decisions, but the impact upon inequity is a recurring theme in what is considered important in its decision-making processes </w:t>
      </w:r>
      <w:r w:rsidRPr="00F10391">
        <w:fldChar w:fldCharType="begin"/>
      </w:r>
      <w:r w:rsidR="00700267">
        <w:instrText xml:space="preserve"> ADDIN EN.CITE &lt;EndNote&gt;&lt;Cite&gt;&lt;Author&gt;Devlin&lt;/Author&gt;&lt;Year&gt;2011&lt;/Year&gt;&lt;RecNum&gt;37&lt;/RecNum&gt;&lt;DisplayText&gt;[4, 10, 166]&lt;/DisplayText&gt;&lt;record&gt;&lt;rec-number&gt;37&lt;/rec-number&gt;&lt;foreign-keys&gt;&lt;key app="EN" db-id="sz9092dv2s5fpze9wpgx0zxgv5ar00aezrvf" timestamp="0"&gt;37&lt;/key&gt;&lt;/foreign-keys&gt;&lt;ref-type name="Journal Article"&gt;17&lt;/ref-type&gt;&lt;contributors&gt;&lt;authors&gt;&lt;author&gt;Devlin, Nancy&lt;/author&gt;&lt;author&gt;Sussex, J&lt;/author&gt;&lt;/authors&gt;&lt;/contributors&gt;&lt;titles&gt;&lt;title&gt;Incorporating multiple criteria in HTA: methods and processes&lt;/title&gt;&lt;secondary-title&gt;London: Office of health economics&lt;/secondary-title&gt;&lt;/titles&gt;&lt;dates&gt;&lt;year&gt;2011&lt;/year&gt;&lt;/dates&gt;&lt;urls&gt;&lt;/urls&gt;&lt;/record&gt;&lt;/Cite&gt;&lt;Cite&gt;&lt;Author&gt;NICE&lt;/Author&gt;&lt;Year&gt;2012&lt;/Year&gt;&lt;RecNum&gt;188&lt;/RecNum&gt;&lt;record&gt;&lt;rec-number&gt;188&lt;/rec-number&gt;&lt;foreign-keys&gt;&lt;key app="EN" db-id="sz9092dv2s5fpze9wpgx0zxgv5ar00aezrvf" timestamp="0"&gt;188&lt;/key&gt;&lt;/foreign-keys&gt;&lt;ref-type name="Report"&gt;27&lt;/ref-type&gt;&lt;contributors&gt;&lt;authors&gt;&lt;author&gt;NICE&lt;/author&gt;&lt;/authors&gt;&lt;/contributors&gt;&lt;titles&gt;&lt;title&gt;Methods for the development of NICE public health guidance&lt;/title&gt;&lt;/titles&gt;&lt;edition&gt;Third edition&lt;/edition&gt;&lt;dates&gt;&lt;year&gt;2012&lt;/year&gt;&lt;/dates&gt;&lt;pub-location&gt;London&lt;/pub-location&gt;&lt;publisher&gt;National Institute for Health and Care Excellence.&lt;/publisher&gt;&lt;urls&gt;&lt;/urls&gt;&lt;/record&gt;&lt;/Cite&gt;&lt;Cite&gt;&lt;Author&gt;Morgan A&lt;/Author&gt;&lt;Year&gt;2011&lt;/Year&gt;&lt;RecNum&gt;182&lt;/RecNum&gt;&lt;record&gt;&lt;rec-number&gt;182&lt;/rec-number&gt;&lt;foreign-keys&gt;&lt;key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[4, 10, 166]</w:t>
      </w:r>
      <w:r w:rsidRPr="00F10391">
        <w:fldChar w:fldCharType="end"/>
      </w:r>
      <w:r w:rsidRPr="00F10391">
        <w:t xml:space="preserve">. Some potentially specifically equity based factors that they have reported as worthy of extra consideration include: </w:t>
      </w:r>
    </w:p>
    <w:p w14:paraId="19F0838E" w14:textId="77777777" w:rsidR="00D22CE3" w:rsidRPr="00F10391" w:rsidRDefault="00D22CE3">
      <w:pPr>
        <w:pStyle w:val="ListParagraph"/>
        <w:numPr>
          <w:ilvl w:val="0"/>
          <w:numId w:val="31"/>
        </w:numPr>
        <w:sectPr w:rsidR="00D22CE3" w:rsidRPr="00F10391" w:rsidSect="00D22CE3">
          <w:footnotePr>
            <w:numFmt w:val="lowerRoman"/>
          </w:footnotePr>
          <w:type w:val="continuous"/>
          <w:pgSz w:w="11906" w:h="16838" w:code="9"/>
          <w:pgMar w:top="1440" w:right="1440" w:bottom="1440" w:left="1440" w:header="708" w:footer="708" w:gutter="0"/>
          <w:cols w:space="708"/>
          <w:docGrid w:linePitch="360"/>
        </w:sectPr>
      </w:pPr>
    </w:p>
    <w:p w14:paraId="3AF39835" w14:textId="77777777" w:rsidR="00D22CE3" w:rsidRPr="00F10391" w:rsidRDefault="00D22CE3" w:rsidP="0063065F">
      <w:pPr>
        <w:pStyle w:val="ListParagraph"/>
        <w:numPr>
          <w:ilvl w:val="0"/>
          <w:numId w:val="31"/>
        </w:numPr>
        <w:jc w:val="left"/>
      </w:pPr>
      <w:r w:rsidRPr="00F10391">
        <w:t xml:space="preserve">Children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w:t>
      </w:r>
    </w:p>
    <w:p w14:paraId="2E22F6E2" w14:textId="26F56940" w:rsidR="00D22CE3" w:rsidRPr="00F10391" w:rsidRDefault="00D22CE3" w:rsidP="0063065F">
      <w:pPr>
        <w:pStyle w:val="ListParagraph"/>
        <w:numPr>
          <w:ilvl w:val="0"/>
          <w:numId w:val="30"/>
        </w:numPr>
        <w:jc w:val="left"/>
      </w:pPr>
      <w:r w:rsidRPr="00F10391">
        <w:t xml:space="preserve">Ethical issues/social value </w:t>
      </w:r>
      <w:r w:rsidR="001B7ADD">
        <w:t>judgment</w:t>
      </w:r>
      <w:r w:rsidRPr="00F10391">
        <w:t xml:space="preserve">s </w:t>
      </w:r>
      <w:r w:rsidRPr="00F10391">
        <w:fldChar w:fldCharType="begin"/>
      </w:r>
      <w:r w:rsidR="00700267">
        <w:instrText xml:space="preserve"> ADDIN EN.CITE &lt;EndNote&gt;&lt;Cite&gt;&lt;Author&gt;NICE&lt;/Author&gt;&lt;Year&gt;2013&lt;/Year&gt;&lt;RecNum&gt;245&lt;/RecNum&gt;&lt;DisplayText&gt;[238-240]&lt;/DisplayText&gt;&lt;record&gt;&lt;rec-number&gt;245&lt;/rec-number&gt;&lt;foreign-keys&gt;&lt;key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Excellence&lt;/publisher&gt;&lt;urls&gt;&lt;/urls&gt;&lt;/record&gt;&lt;/Cite&gt;&lt;Cite&gt;&lt;Author&gt;NICE&lt;/Author&gt;&lt;Year&gt;2013&lt;/Year&gt;&lt;RecNum&gt;246&lt;/RecNum&gt;&lt;record&gt;&lt;rec-number&gt;246&lt;/rec-number&gt;&lt;foreign-keys&gt;&lt;key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Excellence&lt;/publisher&gt;&lt;urls&gt;&lt;/urls&gt;&lt;/record&gt;&lt;/Cite&gt;&lt;Cite&gt;&lt;Author&gt;NICE&lt;/Author&gt;&lt;Year&gt;2014&lt;/Year&gt;&lt;RecNum&gt;248&lt;/RecNum&gt;&lt;record&gt;&lt;rec-number&gt;248&lt;/rec-number&gt;&lt;foreign-keys&gt;&lt;key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[238-240]</w:t>
      </w:r>
      <w:r w:rsidRPr="00F10391">
        <w:fldChar w:fldCharType="end"/>
      </w:r>
      <w:r w:rsidRPr="00F10391">
        <w:t xml:space="preserve">; </w:t>
      </w:r>
    </w:p>
    <w:p w14:paraId="0E65F679" w14:textId="77777777" w:rsidR="00D22CE3" w:rsidRPr="00F10391" w:rsidRDefault="00D22CE3" w:rsidP="0063065F">
      <w:pPr>
        <w:pStyle w:val="ListParagraph"/>
        <w:numPr>
          <w:ilvl w:val="0"/>
          <w:numId w:val="30"/>
        </w:numPr>
        <w:jc w:val="left"/>
      </w:pPr>
      <w:r w:rsidRPr="00F10391">
        <w:t xml:space="preserve">Equality and diversity legislation </w:t>
      </w:r>
      <w:r w:rsidRPr="00F10391">
        <w:fldChar w:fldCharType="begin"/>
      </w:r>
      <w:r w:rsidR="00700267">
        <w:instrText xml:space="preserve"> ADDIN EN.CITE &lt;EndNote&gt;&lt;Cite&gt;&lt;Author&gt;NICE&lt;/Author&gt;&lt;Year&gt;2013&lt;/Year&gt;&lt;RecNum&gt;245&lt;/RecNum&gt;&lt;DisplayText&gt;[238-240]&lt;/DisplayText&gt;&lt;record&gt;&lt;rec-number&gt;245&lt;/rec-number&gt;&lt;foreign-keys&gt;&lt;key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Excellence&lt;/publisher&gt;&lt;urls&gt;&lt;/urls&gt;&lt;/record&gt;&lt;/Cite&gt;&lt;Cite&gt;&lt;Author&gt;NICE&lt;/Author&gt;&lt;Year&gt;2013&lt;/Year&gt;&lt;RecNum&gt;246&lt;/RecNum&gt;&lt;record&gt;&lt;rec-number&gt;246&lt;/rec-number&gt;&lt;foreign-keys&gt;&lt;key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Excellence&lt;/publisher&gt;&lt;urls&gt;&lt;/urls&gt;&lt;/record&gt;&lt;/Cite&gt;&lt;Cite&gt;&lt;Author&gt;NICE&lt;/Author&gt;&lt;Year&gt;2014&lt;/Year&gt;&lt;RecNum&gt;248&lt;/RecNum&gt;&lt;record&gt;&lt;rec-number&gt;248&lt;/rec-number&gt;&lt;foreign-keys&gt;&lt;key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[238-240]</w:t>
      </w:r>
      <w:r w:rsidRPr="00F10391">
        <w:fldChar w:fldCharType="end"/>
      </w:r>
      <w:r w:rsidRPr="00F10391">
        <w:t>;</w:t>
      </w:r>
    </w:p>
    <w:p w14:paraId="78AD4689" w14:textId="77777777" w:rsidR="00D22CE3" w:rsidRPr="00F10391" w:rsidRDefault="00D22CE3" w:rsidP="0063065F">
      <w:pPr>
        <w:pStyle w:val="ListParagraph"/>
        <w:numPr>
          <w:ilvl w:val="0"/>
          <w:numId w:val="30"/>
        </w:numPr>
        <w:jc w:val="left"/>
      </w:pPr>
      <w:r w:rsidRPr="00F10391">
        <w:t xml:space="preserve">Disadvantaged population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w:t>
      </w:r>
    </w:p>
    <w:p w14:paraId="2A77FA05" w14:textId="77777777" w:rsidR="00D22CE3" w:rsidRPr="00F10391" w:rsidRDefault="00D22CE3" w:rsidP="0063065F">
      <w:pPr>
        <w:pStyle w:val="ListParagraph"/>
        <w:numPr>
          <w:ilvl w:val="0"/>
          <w:numId w:val="30"/>
        </w:numPr>
        <w:jc w:val="left"/>
      </w:pPr>
      <w:r w:rsidRPr="00F10391">
        <w:t xml:space="preserve">Special consideration of social stigma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w:t>
      </w:r>
    </w:p>
    <w:p w14:paraId="57BF5C38" w14:textId="77777777" w:rsidR="00D22CE3" w:rsidRPr="00F10391" w:rsidRDefault="00D22CE3" w:rsidP="0063065F">
      <w:pPr>
        <w:pStyle w:val="ListParagraph"/>
        <w:numPr>
          <w:ilvl w:val="0"/>
          <w:numId w:val="30"/>
        </w:numPr>
        <w:jc w:val="left"/>
        <w:sectPr w:rsidR="00D22CE3" w:rsidRPr="00F10391" w:rsidSect="00D22CE3">
          <w:footnotePr>
            <w:numFmt w:val="lowerRoman"/>
          </w:footnotePr>
          <w:type w:val="continuous"/>
          <w:pgSz w:w="11906" w:h="16838" w:code="9"/>
          <w:pgMar w:top="1440" w:right="1440" w:bottom="1440" w:left="1440" w:header="708" w:footer="708" w:gutter="0"/>
          <w:cols w:num="2" w:space="708"/>
          <w:docGrid w:linePitch="360"/>
        </w:sectPr>
      </w:pPr>
      <w:r w:rsidRPr="00F10391">
        <w:t xml:space="preserve">Special consideration of disability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p>
    <w:p w14:paraId="6341B858" w14:textId="77777777" w:rsidR="00D22CE3" w:rsidRPr="00F10391" w:rsidRDefault="00D22CE3" w:rsidP="006942ED">
      <w:r w:rsidRPr="00F10391">
        <w:t>Within criteria such as these, being labelled so broadly, it is possible that further sub-populations may also exist. There are also further non-equity related issues described by NICE as relevant:</w:t>
      </w:r>
    </w:p>
    <w:p w14:paraId="6B49E64D" w14:textId="77777777" w:rsidR="00D22CE3" w:rsidRPr="00F10391" w:rsidRDefault="00D22CE3">
      <w:pPr>
        <w:pStyle w:val="ListParagraph"/>
        <w:numPr>
          <w:ilvl w:val="0"/>
          <w:numId w:val="25"/>
        </w:numPr>
        <w:sectPr w:rsidR="00D22CE3" w:rsidRPr="00F10391" w:rsidSect="00D22CE3">
          <w:footerReference w:type="default" r:id="rId56"/>
          <w:footnotePr>
            <w:numFmt w:val="lowerRoman"/>
          </w:footnotePr>
          <w:type w:val="continuous"/>
          <w:pgSz w:w="11906" w:h="16838"/>
          <w:pgMar w:top="1440" w:right="1440" w:bottom="1440" w:left="1440" w:header="708" w:footer="708" w:gutter="0"/>
          <w:cols w:space="720"/>
        </w:sectPr>
      </w:pPr>
    </w:p>
    <w:p w14:paraId="0D150C1D" w14:textId="77777777" w:rsidR="00D22CE3" w:rsidRPr="00F10391" w:rsidRDefault="00D22CE3" w:rsidP="0063065F">
      <w:pPr>
        <w:pStyle w:val="ListParagraph"/>
        <w:numPr>
          <w:ilvl w:val="0"/>
          <w:numId w:val="25"/>
        </w:numPr>
        <w:jc w:val="left"/>
      </w:pPr>
      <w:r w:rsidRPr="00F10391">
        <w:t xml:space="preserve">Applicability </w:t>
      </w:r>
      <w:r w:rsidRPr="00F10391">
        <w:fldChar w:fldCharType="begin"/>
      </w:r>
      <w:r w:rsidR="00700267">
        <w:instrText xml:space="preserve"> ADDIN EN.CITE &lt;EndNote&gt;&lt;Cite&gt;&lt;Author&gt;NICE&lt;/Author&gt;&lt;Year&gt;2009&lt;/Year&gt;&lt;RecNum&gt;186&lt;/RecNum&gt;&lt;DisplayText&gt;[224]&lt;/DisplayText&gt;&lt;record&gt;&lt;rec-number&gt;186&lt;/rec-number&gt;&lt;foreign-keys&gt;&lt;key app="EN" db-id="sz9092dv2s5fpze9wpgx0zxgv5ar00aezrvf" timestamp="0"&gt;186&lt;/key&gt;&lt;/foreign-keys&gt;&lt;ref-type name="Report"&gt;27&lt;/ref-type&gt;&lt;contributors&gt;&lt;authors&gt;&lt;author&gt;NICE  &lt;/author&gt;&lt;/authors&gt;&lt;/contributors&gt;&lt;titles&gt;&lt;title&gt;Methods for the development of NICE public health guidance&lt;/title&gt;&lt;/titles&gt;&lt;edition&gt;Second edition&lt;/edition&gt;&lt;dates&gt;&lt;year&gt;2009&lt;/year&gt;&lt;/dates&gt;&lt;pub-location&gt;London&lt;/pub-location&gt;&lt;publisher&gt;National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[224]</w:t>
      </w:r>
      <w:r w:rsidRPr="00F10391">
        <w:fldChar w:fldCharType="end"/>
      </w:r>
    </w:p>
    <w:p w14:paraId="7B7E7CFD" w14:textId="77777777" w:rsidR="00D22CE3" w:rsidRPr="00F10391" w:rsidRDefault="00D22CE3" w:rsidP="0063065F">
      <w:pPr>
        <w:pStyle w:val="ListParagraph"/>
        <w:numPr>
          <w:ilvl w:val="0"/>
          <w:numId w:val="25"/>
        </w:numPr>
        <w:jc w:val="left"/>
      </w:pPr>
      <w:r w:rsidRPr="00F10391">
        <w:t xml:space="preserve">Burden of disease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3E8DE88D" w14:textId="77777777" w:rsidR="00D22CE3" w:rsidRPr="00F10391" w:rsidRDefault="00D22CE3" w:rsidP="0063065F">
      <w:pPr>
        <w:pStyle w:val="ListParagraph"/>
        <w:numPr>
          <w:ilvl w:val="0"/>
          <w:numId w:val="25"/>
        </w:numPr>
        <w:jc w:val="left"/>
      </w:pPr>
      <w:r w:rsidRPr="00F10391">
        <w:t xml:space="preserve">Policy importance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651F3FC3" w14:textId="77777777" w:rsidR="00D22CE3" w:rsidRPr="00F10391" w:rsidRDefault="00D22CE3" w:rsidP="0063065F">
      <w:pPr>
        <w:pStyle w:val="ListParagraph"/>
        <w:numPr>
          <w:ilvl w:val="0"/>
          <w:numId w:val="25"/>
        </w:numPr>
        <w:jc w:val="left"/>
      </w:pPr>
      <w:r w:rsidRPr="00F10391">
        <w:t xml:space="preserve">Inappropriate national variation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7ADE142C" w14:textId="77777777" w:rsidR="00D22CE3" w:rsidRPr="00F10391" w:rsidRDefault="00D22CE3" w:rsidP="0063065F">
      <w:pPr>
        <w:pStyle w:val="ListParagraph"/>
        <w:numPr>
          <w:ilvl w:val="0"/>
          <w:numId w:val="25"/>
        </w:numPr>
        <w:jc w:val="left"/>
      </w:pPr>
      <w:r w:rsidRPr="00F10391">
        <w:t xml:space="preserve">Timeliness/urgency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34B8D140" w14:textId="77777777" w:rsidR="00D22CE3" w:rsidRPr="00F10391" w:rsidRDefault="00D22CE3" w:rsidP="0063065F">
      <w:pPr>
        <w:pStyle w:val="ListParagraph"/>
        <w:numPr>
          <w:ilvl w:val="0"/>
          <w:numId w:val="25"/>
        </w:numPr>
        <w:jc w:val="left"/>
      </w:pPr>
      <w:r w:rsidRPr="00F10391">
        <w:t xml:space="preserve">Clear evidence of differences in effectiveness between population groups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p>
    <w:p w14:paraId="31404211" w14:textId="77777777" w:rsidR="00D22CE3" w:rsidRPr="00F10391" w:rsidRDefault="00D22CE3" w:rsidP="0063065F">
      <w:pPr>
        <w:pStyle w:val="ListParagraph"/>
        <w:numPr>
          <w:ilvl w:val="0"/>
          <w:numId w:val="25"/>
        </w:numPr>
        <w:jc w:val="left"/>
      </w:pPr>
      <w:r w:rsidRPr="00F10391">
        <w:t xml:space="preserve">Need (in general terms)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p>
    <w:p w14:paraId="09335A66" w14:textId="77777777" w:rsidR="00D22CE3" w:rsidRPr="00F10391" w:rsidRDefault="00D22CE3" w:rsidP="0063065F">
      <w:pPr>
        <w:pStyle w:val="ListParagraph"/>
        <w:numPr>
          <w:ilvl w:val="0"/>
          <w:numId w:val="25"/>
        </w:numPr>
        <w:jc w:val="left"/>
      </w:pPr>
      <w:r w:rsidRPr="00F10391">
        <w:t xml:space="preserve">Efficacy and safety </w:t>
      </w:r>
      <w:r w:rsidRPr="00F10391">
        <w:fldChar w:fldCharType="begin"/>
      </w:r>
      <w:r w:rsidR="00700267">
        <w:instrText xml:space="preserve"> ADDIN EN.CITE &lt;EndNote&gt;&lt;Cite&gt;&lt;Author&gt;Golan&lt;/Author&gt;&lt;Year&gt;2011&lt;/Year&gt;&lt;RecNum&gt;55&lt;/RecNum&gt;&lt;DisplayText&gt;[120, 166]&lt;/DisplayText&gt;&lt;record&gt;&lt;rec-number&gt;55&lt;/rec-number&gt;&lt;foreign-keys&gt;&lt;key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Cite&gt;&lt;Author&gt;Morgan A&lt;/Author&gt;&lt;Year&gt;2011&lt;/Year&gt;&lt;RecNum&gt;182&lt;/RecNum&gt;&lt;record&gt;&lt;rec-number&gt;182&lt;/rec-number&gt;&lt;foreign-keys&gt;&lt;key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[120, 166]</w:t>
      </w:r>
      <w:r w:rsidRPr="00F10391">
        <w:fldChar w:fldCharType="end"/>
      </w:r>
    </w:p>
    <w:p w14:paraId="121FB4D4" w14:textId="77777777" w:rsidR="00D22CE3" w:rsidRPr="00F10391" w:rsidRDefault="00D22CE3" w:rsidP="0063065F">
      <w:pPr>
        <w:pStyle w:val="ListParagraph"/>
        <w:numPr>
          <w:ilvl w:val="0"/>
          <w:numId w:val="25"/>
        </w:numPr>
        <w:jc w:val="left"/>
      </w:pPr>
      <w:r w:rsidRPr="00F10391">
        <w:t xml:space="preserve">Autonomy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p>
    <w:p w14:paraId="6568DE36" w14:textId="77777777" w:rsidR="00D22CE3" w:rsidRPr="00F10391" w:rsidRDefault="00D22CE3" w:rsidP="0063065F">
      <w:pPr>
        <w:pStyle w:val="ListParagraph"/>
        <w:numPr>
          <w:ilvl w:val="0"/>
          <w:numId w:val="25"/>
        </w:numPr>
        <w:jc w:val="left"/>
      </w:pPr>
      <w:r w:rsidRPr="00F10391">
        <w:t xml:space="preserve">Consistency with prior decisions </w:t>
      </w:r>
      <w:r w:rsidRPr="00F10391">
        <w:fldChar w:fldCharType="begin"/>
      </w:r>
      <w:r w:rsidR="00700267">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Pr="00F10391">
        <w:fldChar w:fldCharType="separate"/>
      </w:r>
      <w:r w:rsidR="00700267">
        <w:rPr>
          <w:noProof/>
        </w:rPr>
        <w:t>[120]</w:t>
      </w:r>
      <w:r w:rsidRPr="00F10391">
        <w:fldChar w:fldCharType="end"/>
      </w:r>
    </w:p>
    <w:p w14:paraId="0321BC7A" w14:textId="77777777" w:rsidR="00D22CE3" w:rsidRPr="00F10391" w:rsidRDefault="00D22CE3" w:rsidP="0063065F">
      <w:pPr>
        <w:pStyle w:val="ListParagraph"/>
        <w:numPr>
          <w:ilvl w:val="0"/>
          <w:numId w:val="25"/>
        </w:numPr>
        <w:jc w:val="left"/>
      </w:pPr>
      <w:r w:rsidRPr="00F10391">
        <w:t xml:space="preserve">Severity of underlying illness </w:t>
      </w:r>
      <w:r w:rsidRPr="00F10391">
        <w:fldChar w:fldCharType="begin"/>
      </w:r>
      <w:r w:rsidR="00700267">
        <w:instrText xml:space="preserve"> ADDIN EN.CITE &lt;EndNote&gt;&lt;Cite&gt;&lt;Author&gt;Rawlins&lt;/Author&gt;&lt;Year&gt;2010&lt;/Year&gt;&lt;RecNum&gt;117&lt;/RecNum&gt;&lt;DisplayText&gt;[166, 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w:instrText>
      </w:r>
      <w:r w:rsidR="00700267">
        <w:rPr>
          <w:rFonts w:hint="eastAsia"/>
        </w:rPr>
        <w:instrText xml:space="preserve"> approach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w:instrText>
      </w:r>
      <w:r w:rsidR="00700267">
        <w:instrText>rl&gt;http://www.ncbi.nlm.nih.gov/pmc/articles/PMC2949905/pdf/bcp0070-0346.pdf&lt;/url&gt;&lt;/related-urls&gt;&lt;/urls&gt;&lt;/record&gt;&lt;/Cite&gt;&lt;Cite&gt;&lt;Author&gt;Morgan A&lt;/Author&gt;&lt;Year&gt;2011&lt;/Year&gt;&lt;RecNum&gt;182&lt;/RecNum&gt;&lt;record&gt;&lt;rec-number&gt;182&lt;/rec-number&gt;&lt;foreign-keys&gt;&lt;key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 237]</w:t>
      </w:r>
      <w:r w:rsidRPr="00F10391">
        <w:fldChar w:fldCharType="end"/>
      </w:r>
    </w:p>
    <w:p w14:paraId="4048354A" w14:textId="77777777" w:rsidR="00D22CE3" w:rsidRPr="00F10391" w:rsidRDefault="00D22CE3" w:rsidP="0063065F">
      <w:pPr>
        <w:pStyle w:val="ListParagraph"/>
        <w:numPr>
          <w:ilvl w:val="0"/>
          <w:numId w:val="25"/>
        </w:numPr>
        <w:jc w:val="left"/>
      </w:pPr>
      <w:r w:rsidRPr="00F10391">
        <w:t xml:space="preserve">End of life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p>
    <w:p w14:paraId="2D312EBB" w14:textId="77777777" w:rsidR="00D22CE3" w:rsidRPr="00F10391" w:rsidRDefault="00D22CE3" w:rsidP="0063065F">
      <w:pPr>
        <w:pStyle w:val="ListParagraph"/>
        <w:numPr>
          <w:ilvl w:val="0"/>
          <w:numId w:val="25"/>
        </w:numPr>
        <w:jc w:val="left"/>
      </w:pPr>
      <w:r w:rsidRPr="00F10391">
        <w:t xml:space="preserve">Stakeholder persuasion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p>
    <w:p w14:paraId="52DA740E" w14:textId="77777777" w:rsidR="00D22CE3" w:rsidRPr="00F10391" w:rsidRDefault="00D22CE3" w:rsidP="0063065F">
      <w:pPr>
        <w:pStyle w:val="ListParagraph"/>
        <w:numPr>
          <w:ilvl w:val="0"/>
          <w:numId w:val="25"/>
        </w:numPr>
        <w:jc w:val="left"/>
      </w:pPr>
      <w:r w:rsidRPr="00F10391">
        <w:t xml:space="preserve">Balance of harms/benefits </w:t>
      </w:r>
      <w:r w:rsidRPr="00F10391">
        <w:fldChar w:fldCharType="begin"/>
      </w:r>
      <w:r w:rsidR="00700267">
        <w:instrText xml:space="preserve"> ADDIN EN.CITE &lt;EndNote&gt;&lt;Cite&gt;&lt;Author&gt;NICE&lt;/Author&gt;&lt;Year&gt;2013&lt;/Year&gt;&lt;RecNum&gt;245&lt;/RecNum&gt;&lt;DisplayText&gt;[238-240]&lt;/DisplayText&gt;&lt;record&gt;&lt;rec-number&gt;245&lt;/rec-number&gt;&lt;foreign-keys&gt;&lt;key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Excellence&lt;/publisher&gt;&lt;urls&gt;&lt;/urls&gt;&lt;/record&gt;&lt;/Cite&gt;&lt;Cite&gt;&lt;Author&gt;NICE&lt;/Author&gt;&lt;Year&gt;2013&lt;/Year&gt;&lt;RecNum&gt;246&lt;/RecNum&gt;&lt;record&gt;&lt;rec-number&gt;246&lt;/rec-number&gt;&lt;foreign-keys&gt;&lt;key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Excellence&lt;/publisher&gt;&lt;urls&gt;&lt;/urls&gt;&lt;/record&gt;&lt;/Cite&gt;&lt;Cite&gt;&lt;Author&gt;NICE&lt;/Author&gt;&lt;Year&gt;2014&lt;/Year&gt;&lt;RecNum&gt;248&lt;/RecNum&gt;&lt;record&gt;&lt;rec-number&gt;248&lt;/rec-number&gt;&lt;foreign-keys&gt;&lt;key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[238-240]</w:t>
      </w:r>
      <w:r w:rsidRPr="00F10391">
        <w:fldChar w:fldCharType="end"/>
      </w:r>
    </w:p>
    <w:p w14:paraId="21A318CD" w14:textId="77777777" w:rsidR="00D22CE3" w:rsidRPr="00F10391" w:rsidRDefault="00D22CE3" w:rsidP="0063065F">
      <w:pPr>
        <w:pStyle w:val="ListParagraph"/>
        <w:numPr>
          <w:ilvl w:val="0"/>
          <w:numId w:val="25"/>
        </w:numPr>
        <w:jc w:val="left"/>
      </w:pPr>
      <w:r w:rsidRPr="00F10391">
        <w:t xml:space="preserve">Ease of implementation/feasibility </w:t>
      </w:r>
      <w:r w:rsidRPr="00F10391">
        <w:fldChar w:fldCharType="begin"/>
      </w:r>
      <w:r w:rsidR="00700267">
        <w:instrText xml:space="preserve"> ADDIN EN.CITE &lt;EndNote&gt;&lt;Cite&gt;&lt;Author&gt;NICE&lt;/Author&gt;&lt;Year&gt;2013&lt;/Year&gt;&lt;RecNum&gt;245&lt;/RecNum&gt;&lt;DisplayText&gt;[238-240]&lt;/DisplayText&gt;&lt;record&gt;&lt;rec-number&gt;245&lt;/rec-number&gt;&lt;foreign-keys&gt;&lt;key app="EN" db-id="sz9092dv2s5fpze9wpgx0zxgv5ar00aezrvf" timestamp="0"&gt;245&lt;/key&gt;&lt;/foreign-keys&gt;&lt;ref-type name="Report"&gt;27&lt;/ref-type&gt;&lt;contributors&gt;&lt;authors&gt;&lt;author&gt;NICE&lt;/author&gt;&lt;/authors&gt;&lt;/contributors&gt;&lt;titles&gt;&lt;title&gt;Managing overweight and obesity among children and young people: lifestyle weight management services.&lt;/title&gt;&lt;secondary-title&gt;PH47&lt;/secondary-title&gt;&lt;/titles&gt;&lt;dates&gt;&lt;year&gt;2013&lt;/year&gt;&lt;/dates&gt;&lt;pub-location&gt;London&lt;/pub-location&gt;&lt;publisher&gt;National Institute for Health and Care Excellence&lt;/publisher&gt;&lt;urls&gt;&lt;/urls&gt;&lt;/record&gt;&lt;/Cite&gt;&lt;Cite&gt;&lt;Author&gt;NICE&lt;/Author&gt;&lt;Year&gt;2013&lt;/Year&gt;&lt;RecNum&gt;246&lt;/RecNum&gt;&lt;record&gt;&lt;rec-number&gt;246&lt;/rec-number&gt;&lt;foreign-keys&gt;&lt;key app="EN" db-id="sz9092dv2s5fpze9wpgx0zxgv5ar00aezrvf" timestamp="0"&gt;246&lt;/key&gt;&lt;/foreign-keys&gt;&lt;ref-type name="Report"&gt;27&lt;/ref-type&gt;&lt;contributors&gt;&lt;authors&gt;&lt;author&gt;NICE&lt;/author&gt;&lt;/authors&gt;&lt;/contributors&gt;&lt;titles&gt;&lt;title&gt;Smoking cessation in secondary care: acute, maternity and mental health services.&lt;/title&gt;&lt;secondary-title&gt;PH48&lt;/secondary-title&gt;&lt;/titles&gt;&lt;dates&gt;&lt;year&gt;2013&lt;/year&gt;&lt;/dates&gt;&lt;pub-location&gt;London&lt;/pub-location&gt;&lt;publisher&gt;National Institute for Health and Care Excellence&lt;/publisher&gt;&lt;urls&gt;&lt;/urls&gt;&lt;/record&gt;&lt;/Cite&gt;&lt;Cite&gt;&lt;Author&gt;NICE&lt;/Author&gt;&lt;Year&gt;2014&lt;/Year&gt;&lt;RecNum&gt;248&lt;/RecNum&gt;&lt;record&gt;&lt;rec-number&gt;248&lt;/rec-number&gt;&lt;foreign-keys&gt;&lt;key app="EN" db-id="sz9092dv2s5fpze9wpgx0zxgv5ar00aezrvf" timestamp="0"&gt;248&lt;/key&gt;&lt;/foreign-keys&gt;&lt;ref-type name="Report"&gt;27&lt;/ref-type&gt;&lt;contributors&gt;&lt;authors&gt;&lt;author&gt;NICE&lt;/author&gt;&lt;/authors&gt;&lt;/contributors&gt;&lt;titles&gt;&lt;title&gt;Domestic violence and abuse: how health services, social care and the organisations they work with can respond effectively.&lt;/title&gt;&lt;secondary-title&gt;PH50&lt;/secondary-title&gt;&lt;/titles&gt;&lt;dates&gt;&lt;year&gt;2014&lt;/year&gt;&lt;/dates&gt;&lt;pub-location&gt;London&lt;/pub-location&gt;&lt;publisher&gt;National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[238-240]</w:t>
      </w:r>
      <w:r w:rsidRPr="00F10391">
        <w:fldChar w:fldCharType="end"/>
      </w:r>
    </w:p>
    <w:p w14:paraId="08FB308A" w14:textId="77777777" w:rsidR="00D22CE3" w:rsidRPr="00F10391" w:rsidRDefault="00D22CE3" w:rsidP="0063065F">
      <w:pPr>
        <w:pStyle w:val="ListParagraph"/>
        <w:numPr>
          <w:ilvl w:val="0"/>
          <w:numId w:val="25"/>
        </w:numPr>
        <w:jc w:val="left"/>
      </w:pPr>
      <w:r w:rsidRPr="00F10391">
        <w:t xml:space="preserve">Affordability/budget impact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2781DD39" w14:textId="77777777" w:rsidR="00D22CE3" w:rsidRPr="00F10391" w:rsidRDefault="00D22CE3" w:rsidP="0063065F">
      <w:pPr>
        <w:pStyle w:val="ListParagraph"/>
        <w:numPr>
          <w:ilvl w:val="0"/>
          <w:numId w:val="25"/>
        </w:numPr>
        <w:jc w:val="left"/>
      </w:pPr>
      <w:r w:rsidRPr="00F10391">
        <w:t xml:space="preserve">Population eligible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3C10AB4C" w14:textId="77777777" w:rsidR="00D22CE3" w:rsidRPr="00F10391" w:rsidRDefault="00D22CE3" w:rsidP="0063065F">
      <w:pPr>
        <w:pStyle w:val="ListParagraph"/>
        <w:numPr>
          <w:ilvl w:val="0"/>
          <w:numId w:val="25"/>
        </w:numPr>
        <w:jc w:val="left"/>
      </w:pPr>
      <w:r w:rsidRPr="00F10391">
        <w:t xml:space="preserve">Cost saving - Before 5 years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66886969" w14:textId="77777777" w:rsidR="00D22CE3" w:rsidRPr="00F10391" w:rsidRDefault="00D22CE3" w:rsidP="0063065F">
      <w:pPr>
        <w:pStyle w:val="ListParagraph"/>
        <w:numPr>
          <w:ilvl w:val="0"/>
          <w:numId w:val="25"/>
        </w:numPr>
        <w:jc w:val="left"/>
      </w:pPr>
      <w:r w:rsidRPr="00F10391">
        <w:t xml:space="preserve">Cost saving - After 5 years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1A40C314" w14:textId="77777777" w:rsidR="00D22CE3" w:rsidRPr="00F10391" w:rsidRDefault="00D22CE3" w:rsidP="0063065F">
      <w:pPr>
        <w:pStyle w:val="ListParagraph"/>
        <w:numPr>
          <w:ilvl w:val="0"/>
          <w:numId w:val="25"/>
        </w:numPr>
        <w:jc w:val="left"/>
      </w:pPr>
      <w:r w:rsidRPr="00F10391">
        <w:t xml:space="preserve">Non-health effect </w:t>
      </w:r>
      <w:r w:rsidRPr="00F10391">
        <w:fldChar w:fldCharType="begin"/>
      </w:r>
      <w:r w:rsidR="00700267">
        <w:instrText xml:space="preserve"> ADDIN EN.CITE &lt;EndNote&gt;&lt;Cite&gt;&lt;Author&gt;Morgan A&lt;/Author&gt;&lt;Year&gt;2011&lt;/Year&gt;&lt;RecNum&gt;182&lt;/RecNum&gt;&lt;DisplayText&gt;[166]&lt;/DisplayText&gt;&lt;record&gt;&lt;rec-number&gt;182&lt;/rec-number&gt;&lt;foreign-keys&gt;&lt;key app="EN" db-id="sz9092dv2s5fpze9wpgx0zxgv5ar00aezrvf" timestamp="0"&gt;182&lt;/key&gt;&lt;/foreign-keys&gt;&lt;ref-type name="Report"&gt;27&lt;/ref-type&gt;&lt;contributors&gt;&lt;authors&gt;&lt;author&gt;Morgan A, Ellis S, Field J, Owen L, Jones D, Minchin M, McArthur C, Doohan E, Hodgson G, Pickard L. . 2011, NICE.*&lt;/author&gt;&lt;/authors&gt;&lt;/contributors&gt;&lt;titles&gt;&lt;title&gt;Supporting investment in public health: Review of methods for assessing cost effectiveness, cost impact and return on investment&lt;/title&gt;&lt;/titles&gt;&lt;dates&gt;&lt;year&gt;2011&lt;/year&gt;&lt;/dates&gt;&lt;pub-location&gt;London&lt;/pub-location&gt;&lt;publisher&gt;NICE&lt;/publisher&gt;&lt;urls&gt;&lt;/urls&gt;&lt;/record&gt;&lt;/Cite&gt;&lt;/EndNote&gt;</w:instrText>
      </w:r>
      <w:r w:rsidRPr="00F10391">
        <w:fldChar w:fldCharType="separate"/>
      </w:r>
      <w:r w:rsidR="00700267">
        <w:rPr>
          <w:noProof/>
        </w:rPr>
        <w:t>[166]</w:t>
      </w:r>
      <w:r w:rsidRPr="00F10391">
        <w:fldChar w:fldCharType="end"/>
      </w:r>
    </w:p>
    <w:p w14:paraId="41889940" w14:textId="77777777" w:rsidR="00D22CE3" w:rsidRPr="00F10391" w:rsidRDefault="00D22CE3">
      <w:pPr>
        <w:sectPr w:rsidR="00D22CE3" w:rsidRPr="00F10391" w:rsidSect="00D22CE3">
          <w:footnotePr>
            <w:numFmt w:val="lowerRoman"/>
          </w:footnotePr>
          <w:type w:val="continuous"/>
          <w:pgSz w:w="11906" w:h="16838"/>
          <w:pgMar w:top="1440" w:right="1440" w:bottom="1440" w:left="1440" w:header="708" w:footer="708" w:gutter="0"/>
          <w:cols w:num="2" w:space="720"/>
        </w:sectPr>
      </w:pPr>
    </w:p>
    <w:p w14:paraId="306C14ED" w14:textId="77777777" w:rsidR="00D22CE3" w:rsidRPr="00F10391" w:rsidRDefault="00D22CE3"/>
    <w:p w14:paraId="3D6B986C" w14:textId="77777777" w:rsidR="00D22CE3" w:rsidRPr="00F10391" w:rsidRDefault="00D22CE3">
      <w:r w:rsidRPr="00F10391">
        <w:t xml:space="preserve">It is worth reiterating that this is not a complete list of factors that should be considered in the formulation of NICE guidance, but only those I came across as part of the compilation of Chapter 4, which did not use a systematic approach. While it is possible that some criteria listed could be further amalgamated, there clearly exist a large number of criteria that are expected to be used – and this assumedly excludes further criteria that should be taken into account on a case-by-case basis. All in all, this implies a particularly complex decision-making process, all carried out without a formal model after that of the economic modelling stage. </w:t>
      </w:r>
    </w:p>
    <w:p w14:paraId="63C33648" w14:textId="77777777" w:rsidR="00D22CE3" w:rsidRPr="00F10391" w:rsidRDefault="00D22CE3">
      <w:r w:rsidRPr="00F10391">
        <w:t xml:space="preserve">The deliberative process is not without nuance, and many such issues could in theory be broached over the course of a large number of meetings. But there are well-documented problems with using an unstructured approach to decision-making as decisions become more complex </w:t>
      </w:r>
      <w:r w:rsidRPr="00F10391">
        <w:fldChar w:fldCharType="begin"/>
      </w:r>
      <w:r w:rsidR="00700267">
        <w:instrText xml:space="preserve"> ADDIN EN.CITE &lt;EndNote&gt;&lt;Cite&gt;&lt;Author&gt;Kahneman&lt;/Author&gt;&lt;Year&gt;2011&lt;/Year&gt;&lt;RecNum&gt;69&lt;/RecNum&gt;&lt;DisplayText&gt;[55, 76, 315]&lt;/DisplayText&gt;&lt;record&gt;&lt;rec-number&gt;69&lt;/rec-number&gt;&lt;foreign-keys&gt;&lt;key app="EN" db-id="sz9092dv2s5fpze9wpgx0zxgv5ar00aezrvf" timestamp="0"&gt;69&lt;/key&gt;&lt;/foreign-keys&gt;&lt;ref-type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Cite&gt;&lt;Author&gt;Kahneman&lt;/Author&gt;&lt;Year&gt;1979&lt;/Year&gt;&lt;RecNum&gt;68&lt;/RecNum&gt;&lt;record&gt;&lt;rec-number&gt;68&lt;/rec-number&gt;&lt;foreign-keys&gt;&lt;key app="EN" db-id="sz9092dv2s5fpze9wpgx0zxgv5ar00aezrvf" timestamp="0"&gt;68&lt;/key&gt;&lt;/foreign-keys&gt;&lt;ref-type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ages&gt;263-291&lt;/pages&gt;&lt;dates&gt;&lt;year&gt;1979&lt;/year&gt;&lt;/dates&gt;&lt;isbn&gt;0012-9682&lt;/isbn&gt;&lt;urls&gt;&lt;/urls&gt;&lt;/record&gt;&lt;/Cite&gt;&lt;Cite&gt;&lt;Author&gt;Tversky&lt;/Author&gt;&lt;Year&gt;1974&lt;/Year&gt;&lt;RecNum&gt;143&lt;/RecNum&gt;&lt;record&gt;&lt;rec-number&gt;143&lt;/rec-number&gt;&lt;foreign-keys&gt;&lt;key app="EN" db-id="sz9092dv2s5fpze9wpgx0zxgv5ar00aezrvf" timestamp="0"&gt;143&lt;/key&gt;&lt;/foreign-keys&gt;&lt;ref-type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ages&gt;1124-1131&lt;/pages&gt;&lt;volume&gt;185&lt;/volume&gt;&lt;number&gt;4157&lt;/number&gt;&lt;dates&gt;&lt;year&gt;1974&lt;/year&gt;&lt;/dates&gt;&lt;isbn&gt;0036-8075&lt;/isbn&gt;&lt;urls&gt;&lt;related-urls&gt;&lt;url&gt;http://science.sciencemag.org/content/185/4157/1124.long&lt;/url&gt;&lt;/related-urls&gt;&lt;/urls&gt;&lt;/record&gt;&lt;/Cite&gt;&lt;/EndNote&gt;</w:instrText>
      </w:r>
      <w:r w:rsidRPr="00F10391">
        <w:fldChar w:fldCharType="separate"/>
      </w:r>
      <w:r w:rsidR="00700267">
        <w:rPr>
          <w:noProof/>
        </w:rPr>
        <w:t>[55, 76, 315]</w:t>
      </w:r>
      <w:r w:rsidRPr="00F10391">
        <w:fldChar w:fldCharType="end"/>
      </w:r>
      <w:r w:rsidRPr="00F10391">
        <w:t>. It seems wilfully naïve (or worse) to avoid using approaches, including MCDA, that might be able to better structure this decision process.</w:t>
      </w:r>
    </w:p>
    <w:p w14:paraId="53065A32" w14:textId="77777777" w:rsidR="00D22CE3" w:rsidRPr="00F10391" w:rsidRDefault="00D22CE3">
      <w:r w:rsidRPr="00F10391">
        <w:t>Aside from the fact that MCDA techniques could be used to guide the decision process, it is impossible to tell which factors have actually been explicitly taken into account as part of this and therefore difficult to tell how such factors have impacted decisions in the past.</w:t>
      </w:r>
    </w:p>
    <w:p w14:paraId="35BF1B8A" w14:textId="77777777" w:rsidR="00D22CE3" w:rsidRPr="00F10391" w:rsidRDefault="00D22CE3">
      <w:r w:rsidRPr="00F10391">
        <w:t xml:space="preserve">If the ICER is not the sole criterion of concern already taken into account, then it is not necessarily accurate to regard NICE as an organisation devoted solely to the maximisation of population-level health. As a result, some other unarticulated and implicit objective function must be being used. MCDA could in principle be used to derive this more explicitly, though doing so is well beyond the scope of this thesis; it was, I hope, a much more fruitful use of my time to investigate how MCDA could be used as links in the decision-making chain rather than attempting to build a whole new one. Given that NICE’s original mission was instead  to “remove unfairness in the availability of technologies in different localities to minimise the possibility of further examples of unfairness and inequity being introduced” </w:t>
      </w:r>
      <w:r w:rsidRPr="00F10391">
        <w:fldChar w:fldCharType="begin"/>
      </w:r>
      <w:r w:rsidR="00700267">
        <w:instrText xml:space="preserve"> ADDIN EN.CITE &lt;EndNote&gt;&lt;Cite&gt;&lt;Author&gt;NICE&lt;/Author&gt;&lt;Year&gt;2001&lt;/Year&gt;&lt;RecNum&gt;184&lt;/RecNum&gt;&lt;DisplayText&gt;[262]&lt;/DisplayText&gt;&lt;record&gt;&lt;rec-number&gt;184&lt;/rec-number&gt;&lt;foreign-keys&gt;&lt;key app="EN" db-id="sz9092dv2s5fpze9wpgx0zxgv5ar00aezrvf" timestamp="0"&gt;184&lt;/key&gt;&lt;/foreign-keys&gt;&lt;ref-type name="Report"&gt;27&lt;/ref-type&gt;&lt;contributors&gt;&lt;authors&gt;&lt;author&gt;NICE&lt;/author&gt;&lt;/authors&gt;&lt;tertiary-authors&gt;&lt;author&gt;National Institute for Clinical Excellence&lt;/author&gt;&lt;/tertiary-authors&gt;&lt;/contributors&gt;&lt;titles&gt;&lt;title&gt;Technical Guidance for Manufacturers and Sponsor on Making a Submission to a Technology Appraisal&lt;/title&gt;&lt;/titles&gt;&lt;dates&gt;&lt;year&gt;2001&lt;/year&gt;&lt;/dates&gt;&lt;pub-location&gt;London&lt;/pub-location&gt;&lt;publisher&gt;National Institute for Clinical Excellence&lt;/publisher&gt;&lt;urls&gt;&lt;/urls&gt;&lt;/record&gt;&lt;/Cite&gt;&lt;/EndNote&gt;</w:instrText>
      </w:r>
      <w:r w:rsidRPr="00F10391">
        <w:fldChar w:fldCharType="separate"/>
      </w:r>
      <w:r w:rsidR="00700267">
        <w:rPr>
          <w:noProof/>
        </w:rPr>
        <w:t>[262]</w:t>
      </w:r>
      <w:r w:rsidRPr="00F10391">
        <w:fldChar w:fldCharType="end"/>
      </w:r>
      <w:r w:rsidR="006942ED">
        <w:t xml:space="preserve"> (quoted in </w:t>
      </w:r>
      <w:r w:rsidR="006942ED">
        <w:fldChar w:fldCharType="begin"/>
      </w:r>
      <w:r w:rsidR="00700267">
        <w:instrText xml:space="preserve"> ADDIN EN.CITE &lt;EndNote&gt;&lt;Cite&gt;&lt;Author&gt;Phillips&lt;/Author&gt;&lt;Year&gt;2008&lt;/Year&gt;&lt;RecNum&gt;451&lt;/RecNum&gt;&lt;DisplayText&gt;[46]&lt;/DisplayText&gt;&lt;record&gt;&lt;rec-number&gt;451&lt;/rec-number&gt;&lt;foreign-keys&gt;&lt;key app="EN" db-id="sz9092dv2s5fpze9wpgx0zxgv5ar00aezrvf" timestamp="1485629832"&gt;451&lt;/key&gt;&lt;/foreign-keys&gt;&lt;ref-type name="Book"&gt;6&lt;/ref-type&gt;&lt;contributors&gt;&lt;authors&gt;&lt;author&gt;Phillips, Ceri J&lt;/author&gt;&lt;/authors&gt;&lt;/contributors&gt;&lt;titles&gt;&lt;title&gt;Health economics: an introduction for health professionals&lt;/title&gt;&lt;/titles&gt;&lt;dates&gt;&lt;year&gt;2008&lt;/year&gt;&lt;/dates&gt;&lt;publisher&gt;John Wiley &amp;amp; Sons&lt;/publisher&gt;&lt;isbn&gt;1405172509&lt;/isbn&gt;&lt;urls&gt;&lt;/urls&gt;&lt;/record&gt;&lt;/Cite&gt;&lt;/EndNote&gt;</w:instrText>
      </w:r>
      <w:r w:rsidR="006942ED">
        <w:fldChar w:fldCharType="separate"/>
      </w:r>
      <w:r w:rsidR="00700267">
        <w:rPr>
          <w:noProof/>
        </w:rPr>
        <w:t>[46]</w:t>
      </w:r>
      <w:r w:rsidR="006942ED">
        <w:fldChar w:fldCharType="end"/>
      </w:r>
      <w:r w:rsidR="006942ED">
        <w:t xml:space="preserve"> (p.11))</w:t>
      </w:r>
      <w:r w:rsidRPr="00F10391">
        <w:t xml:space="preserve">, it may not be surprisingly that health maximisation is not its sole aim. Conflicting aims may lead to a range of challenges and inevitable “muddling through” </w:t>
      </w:r>
      <w:r w:rsidRPr="00F10391">
        <w:fldChar w:fldCharType="begin"/>
      </w:r>
      <w:r w:rsidR="00700267">
        <w:instrText xml:space="preserve"> ADDIN EN.CITE &lt;EndNote&gt;&lt;Cite&gt;&lt;Author&gt;Lindblom&lt;/Author&gt;&lt;Year&gt;1959&lt;/Year&gt;&lt;RecNum&gt;82&lt;/RecNum&gt;&lt;DisplayText&gt;[209]&lt;/DisplayText&gt;&lt;record&gt;&lt;rec-number&gt;82&lt;/rec-number&gt;&lt;foreign-keys&gt;&lt;key app="EN" db-id="sz9092dv2s5fpze9wpgx0zxgv5ar00aezrvf" timestamp="0"&gt;82&lt;/key&gt;&lt;/foreign-keys&gt;&lt;ref-type name="Journal Article"&gt;17&lt;/ref-type&gt;&lt;contributors&gt;&lt;authors&gt;&lt;author&gt;Lindblom, Charles E&lt;/author&gt;&lt;/authors&gt;&lt;/contributors&gt;&lt;titles&gt;&lt;title&gt;The science of&amp;quot; muddling through&amp;quot;&lt;/title&gt;&lt;secondary-title&gt;Public administration review&lt;/secondary-title&gt;&lt;/titles&gt;&lt;periodical&gt;&lt;full-title&gt;Public administration review&lt;/full-title&gt;&lt;/periodical&gt;&lt;pages&gt;79-88&lt;/pages&gt;&lt;dates&gt;&lt;year&gt;1959&lt;/year&gt;&lt;/dates&gt;&lt;isbn&gt;0033-3352&lt;/isbn&gt;&lt;urls&gt;&lt;/urls&gt;&lt;/record&gt;&lt;/Cite&gt;&lt;/EndNote&gt;</w:instrText>
      </w:r>
      <w:r w:rsidRPr="00F10391">
        <w:fldChar w:fldCharType="separate"/>
      </w:r>
      <w:r w:rsidR="00700267">
        <w:rPr>
          <w:noProof/>
        </w:rPr>
        <w:t>[209]</w:t>
      </w:r>
      <w:r w:rsidRPr="00F10391">
        <w:fldChar w:fldCharType="end"/>
      </w:r>
      <w:r w:rsidRPr="00F10391">
        <w:t xml:space="preserve">. But there are certainly feasible steps that could be taken to make this path less opaque and, well, muddy. One such potential approach applied to NICE was described in Chapter 6. </w:t>
      </w:r>
    </w:p>
    <w:p w14:paraId="7F903BC5" w14:textId="5A311A98" w:rsidR="00D22CE3" w:rsidRPr="00F10391" w:rsidRDefault="00D22CE3">
      <w:r w:rsidRPr="00F10391">
        <w:t xml:space="preserve">Given that such </w:t>
      </w:r>
      <w:r w:rsidR="001B7ADD">
        <w:t>judgment</w:t>
      </w:r>
      <w:r w:rsidRPr="00F10391">
        <w:t xml:space="preserve">s are not necessarily maximising health, a reasonable question is can we describe, even in general terms, what it is that NICE are trying to achieve? Perhaps they are attempting to reflect the views of the general public, as the accountability for reasonableness approach recommends </w:t>
      </w:r>
      <w:r w:rsidRPr="00F10391">
        <w:fldChar w:fldCharType="begin"/>
      </w:r>
      <w:r w:rsidR="00700267">
        <w:instrText xml:space="preserve"> ADDIN EN.CITE &lt;EndNote&gt;&lt;Cite&gt;&lt;Author&gt;Daniels&lt;/Author&gt;&lt;Year&gt;1998&lt;/Year&gt;&lt;RecNum&gt;31&lt;/RecNum&gt;&lt;DisplayText&gt;[62]&lt;/DisplayText&gt;&lt;record&gt;&lt;rec-number&gt;31&lt;/rec-number&gt;&lt;foreign-keys&gt;&lt;key app="EN" db-id="sz9092dv2s5fpze9wpgx0zxgv5ar00aezrvf" timestamp="0"&gt;31&lt;/key&gt;&lt;/foreign-keys&gt;&lt;ref-type name="Journal Article"&gt;17&lt;/ref-type&gt;&lt;contributors&gt;&lt;authors&gt;&lt;author&gt;Daniels, Norman&lt;/author&gt;&lt;author&gt;Sabin, James&lt;/author&gt;&lt;/authors&gt;&lt;/contributors&gt;&lt;titles&gt;&lt;title&gt;The ethics of accountability in managed care reform&lt;/title&gt;&lt;secondary-title&gt;Health affairs&lt;/secondary-title&gt;&lt;/titles&gt;&lt;pages&gt;50-64&lt;/pages&gt;&lt;volume&gt;17&lt;/volume&gt;&lt;number&gt;5&lt;/number&gt;&lt;dates&gt;&lt;year&gt;1998&lt;/year&gt;&lt;/dates&gt;&lt;isbn&gt;0278-2715&lt;/isbn&gt;&lt;urls&gt;&lt;related-urls&gt;&lt;url&gt;http://content.healthaffairs.org/content/17/5/50.full.pdf&lt;/url&gt;&lt;/related-urls&gt;&lt;/urls&gt;&lt;/record&gt;&lt;/Cite&gt;&lt;/EndNote&gt;</w:instrText>
      </w:r>
      <w:r w:rsidRPr="00F10391">
        <w:fldChar w:fldCharType="separate"/>
      </w:r>
      <w:r w:rsidR="00700267">
        <w:rPr>
          <w:noProof/>
        </w:rPr>
        <w:t>[62]</w:t>
      </w:r>
      <w:r w:rsidRPr="00F10391">
        <w:fldChar w:fldCharType="end"/>
      </w:r>
      <w:r w:rsidRPr="00F10391">
        <w:t xml:space="preserve">. And indeed, the MVH study </w:t>
      </w:r>
      <w:r w:rsidRPr="00F10391">
        <w:fldChar w:fldCharType="begin"/>
      </w:r>
      <w:r w:rsidR="00700267">
        <w:instrText xml:space="preserve"> ADDIN EN.CITE &lt;EndNote&gt;&lt;Cite&gt;&lt;Author&gt;Dolan&lt;/Author&gt;&lt;Year&gt;1994&lt;/Year&gt;&lt;RecNum&gt;296&lt;/RecNum&gt;&lt;DisplayText&gt;[189]&lt;/DisplayText&gt;&lt;record&gt;&lt;rec-number&gt;296&lt;/rec-number&gt;&lt;foreign-keys&gt;&lt;key app="EN" db-id="sz9092dv2s5fpze9wpgx0zxgv5ar00aezrvf" timestamp="0"&gt;296&lt;/key&gt;&lt;/foreign-keys&gt;&lt;ref-type name="Journal Article"&gt;17&lt;/ref-type&gt;&lt;contributors&gt;&lt;authors&gt;&lt;author&gt;Dolan, P&lt;/author&gt;&lt;author&gt;Gudex, C&lt;/author&gt;&lt;author&gt;Kind, P&lt;/author&gt;&lt;author&gt;Williams, A&lt;/author&gt;&lt;/authors&gt;&lt;/contributors&gt;&lt;titles&gt;&lt;title&gt;The measurement and valuation of health: first report on the main survey&lt;/title&gt;&lt;secondary-title&gt;York: University of York&lt;/secondary-title&gt;&lt;/titles&gt;&lt;dates&gt;&lt;year&gt;1994&lt;/year&gt;&lt;/dates&gt;&lt;urls&gt;&lt;/urls&gt;&lt;/record&gt;&lt;/Cite&gt;&lt;/EndNote&gt;</w:instrText>
      </w:r>
      <w:r w:rsidRPr="00F10391">
        <w:fldChar w:fldCharType="separate"/>
      </w:r>
      <w:r w:rsidR="00700267">
        <w:rPr>
          <w:noProof/>
        </w:rPr>
        <w:t>[189]</w:t>
      </w:r>
      <w:r w:rsidRPr="00F10391">
        <w:fldChar w:fldCharType="end"/>
      </w:r>
      <w:r w:rsidRPr="00F10391">
        <w:t xml:space="preserve"> collated the public’s views on quality of life. But not all such stages are subject to such rigour; NICE’s </w:t>
      </w:r>
      <w:r w:rsidR="001B7ADD">
        <w:t>judgment</w:t>
      </w:r>
      <w:r w:rsidRPr="00F10391">
        <w:t xml:space="preserve">s do not, for example, take into account whether a patient is somehow less deserving of treatment because their condition could be considered self-inflicted </w:t>
      </w:r>
      <w:r w:rsidRPr="00F10391">
        <w:fldChar w:fldCharType="begin"/>
      </w:r>
      <w:r w:rsidR="00700267">
        <w:instrText xml:space="preserve"> ADDIN EN.CITE &lt;EndNote&gt;&lt;Cite&gt;&lt;Author&gt;NICE&lt;/Author&gt;&lt;Year&gt;2008&lt;/Year&gt;&lt;RecNum&gt;257&lt;/RecNum&gt;&lt;DisplayText&gt;[63]&lt;/DisplayText&gt;&lt;record&gt;&lt;rec-number&gt;257&lt;/rec-number&gt;&lt;foreign-keys&gt;&lt;key app="EN" db-id="sz9092dv2s5fpze9wpgx0zxgv5ar00aezrvf" timestamp="0"&gt;257&lt;/key&gt;&lt;/foreign-keys&gt;&lt;ref-type name="Report"&gt;27&lt;/ref-type&gt;&lt;contributors&gt;&lt;authors&gt;&lt;author&gt;NICE&lt;/author&gt;&lt;/authors&gt;&lt;/contributors&gt;&lt;titles&gt;&lt;title&gt;Social Value Judgements: Principles for the development of NICE guidance&lt;/title&gt;&lt;/titles&gt;&lt;edition&gt;Second edition&lt;/edition&gt;&lt;dates&gt;&lt;year&gt;2008&lt;/year&gt;&lt;/dates&gt;&lt;pub-location&gt;London&lt;/pub-location&gt;&lt;publisher&gt;National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[63]</w:t>
      </w:r>
      <w:r w:rsidRPr="00F10391">
        <w:fldChar w:fldCharType="end"/>
      </w:r>
      <w:r w:rsidRPr="00F10391">
        <w:t xml:space="preserve"> but whether or not the general public actually would agree with this principle is not clear and does not appear to have been tested. The fair innings argument </w:t>
      </w:r>
      <w:r w:rsidRPr="00F10391">
        <w:fldChar w:fldCharType="begin"/>
      </w:r>
      <w:r w:rsidR="00D24504">
        <w:instrText xml:space="preserve"> ADDIN EN.CITE &lt;EndNote&gt;&lt;Cite&gt;&lt;Author&gt;Williams&lt;/Author&gt;&lt;Year&gt;1997&lt;/Year&gt;&lt;RecNum&gt;364&lt;/RecNum&gt;&lt;DisplayText&gt;[369]&lt;/DisplayText&gt;&lt;record&gt;&lt;rec-number&gt;364&lt;/rec-number&gt;&lt;foreign-keys&gt;&lt;key app="EN" db-id="sz9092dv2s5fpze9wpgx0zxgv5ar00aezrvf" timestamp="1454708028"&gt;364&lt;/key&gt;&lt;/foreign-keys&gt;&lt;ref-type name="Journal Article"&gt;17&lt;/ref-type&gt;&lt;contributors&gt;&lt;authors&gt;&lt;author&gt;Williams, Alan&lt;/author&gt;&lt;/authors&gt;&lt;/contributors&gt;&lt;titles&gt;&lt;title&gt;Intergenerational equity: an exploration of the&amp;apos;fair innings&amp;apos; argument&lt;/title&gt;&lt;secondary-title&gt;Health economics&lt;/secondary-title&gt;&lt;/titles&gt;&lt;periodical&gt;&lt;full-title&gt;Health economics&lt;/full-title&gt;&lt;/periodical&gt;&lt;pages&gt;117-132&lt;/pages&gt;&lt;volume&gt;6&lt;/volume&gt;&lt;number&gt;2&lt;/number&gt;&lt;dates&gt;&lt;year&gt;1997&lt;/year&gt;&lt;/dates&gt;&lt;isbn&gt;1057-9230&lt;/isbn&gt;&lt;urls&gt;&lt;related-urls&gt;&lt;url&gt;http://onlinelibrary.wiley.com/doi/10.1002/(SICI)1099-1050(199703)6:2&amp;lt;117::AID-HEC256&amp;gt;3.0.CO;2-B/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D24504">
        <w:rPr>
          <w:noProof/>
        </w:rPr>
        <w:t>[369]</w:t>
      </w:r>
      <w:r w:rsidRPr="00F10391">
        <w:fldChar w:fldCharType="end"/>
      </w:r>
      <w:r w:rsidRPr="00F10391">
        <w:t xml:space="preserve"> may also fit into this paradigm, with the elderly effectively considered less deserving than younger members of the population. Such assumptions (and many of the assumptions used in the reference case) are not necessarily empirically tested. The realpolitik of the foundation of the Cancer Drugs Fund potentially points to the fact that certain groups of patients are more popular or deserving according to the public </w:t>
      </w:r>
      <w:r w:rsidRPr="00F10391">
        <w:fldChar w:fldCharType="begin"/>
      </w:r>
      <w:r w:rsidR="00D24504">
        <w:instrText xml:space="preserve"> ADDIN EN.CITE &lt;EndNote&gt;&lt;Cite&gt;&lt;Author&gt;Linley&lt;/Author&gt;&lt;Year&gt;2013&lt;/Year&gt;&lt;RecNum&gt;365&lt;/RecNum&gt;&lt;DisplayText&gt;[370]&lt;/DisplayText&gt;&lt;record&gt;&lt;rec-number&gt;365&lt;/rec-number&gt;&lt;foreign-keys&gt;&lt;key app="EN" db-id="sz9092dv2s5fpze9wpgx0zxgv5ar00aezrvf" timestamp="1455885587"&gt;3</w:instrText>
      </w:r>
      <w:r w:rsidR="00D24504">
        <w:rPr>
          <w:rFonts w:hint="eastAsia"/>
        </w:rPr>
        <w:instrText>65&lt;/key&gt;&lt;/foreign-keys&gt;&lt;ref-type name="Journal Article"&gt;17&lt;/ref-type&gt;&lt;contributors&gt;&lt;authors&gt;&lt;author&gt;Linley, Warren G&lt;/author&gt;&lt;author&gt;Hughes, Dyfrig A&lt;/author&gt;&lt;/authors&gt;&lt;/contributors&gt;&lt;titles&gt;&lt;title&gt;Societal views on NICE, cancer drugs fund and value</w:instrText>
      </w:r>
      <w:r w:rsidR="00D24504">
        <w:rPr>
          <w:rFonts w:hint="eastAsia"/>
        </w:rPr>
        <w:instrText>‐</w:instrText>
      </w:r>
      <w:r w:rsidR="00D24504">
        <w:rPr>
          <w:rFonts w:hint="eastAsia"/>
        </w:rPr>
        <w:instrText>based pricing criteria for prioritising medicines: A cross</w:instrText>
      </w:r>
      <w:r w:rsidR="00D24504">
        <w:rPr>
          <w:rFonts w:hint="eastAsia"/>
        </w:rPr>
        <w:instrText>‐</w:instrText>
      </w:r>
      <w:r w:rsidR="00D24504">
        <w:rPr>
          <w:rFonts w:hint="eastAsia"/>
        </w:rPr>
        <w:instrText>sectional survey of 4118 adults in Great Britain&lt;/title&gt;&lt;secondary-title&gt;Health economics&lt;/secondary-title&gt;&lt;/titles&gt;&lt;periodical&gt;&lt;full-title&gt;Health economics&lt;/full-title&gt;&lt;/periodical&gt;&lt;pages&gt;948-964&lt;/pag</w:instrText>
      </w:r>
      <w:r w:rsidR="00D24504">
        <w:instrText>es&gt;&lt;volume&gt;22&lt;/volume&gt;&lt;number&gt;8&lt;/number&gt;&lt;dates&gt;&lt;year&gt;2013&lt;/year&gt;&lt;/dates&gt;&lt;isbn&gt;1099-1050&lt;/isbn&gt;&lt;urls&gt;&lt;related-urls&gt;&lt;url&gt;http://onlinelibrary.wiley.com/doi/10.1002/hec.2872/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D24504">
        <w:rPr>
          <w:noProof/>
        </w:rPr>
        <w:t>[370]</w:t>
      </w:r>
      <w:r w:rsidRPr="00F10391">
        <w:fldChar w:fldCharType="end"/>
      </w:r>
      <w:r w:rsidRPr="00F10391">
        <w:t xml:space="preserve">. Whether or not potentially populist preferences should govern medical treatment is a separate and important question. But it may be that compromises are required to find a workable combination of scientific evidence and the political realities of ‘common sense’ </w:t>
      </w:r>
      <w:r w:rsidRPr="00F10391">
        <w:fldChar w:fldCharType="begin"/>
      </w:r>
      <w:r w:rsidR="00700267">
        <w:instrText xml:space="preserve"> ADDIN EN.CITE &lt;EndNote&gt;&lt;Cite&gt;&lt;Author&gt;Lomas&lt;/Author&gt;&lt;Year&gt;2005&lt;/Year&gt;&lt;RecNum&gt;85&lt;/RecNum&gt;&lt;DisplayText&gt;[214]&lt;/DisplayText&gt;&lt;record&gt;&lt;rec-number&gt;85&lt;/rec-number&gt;&lt;foreign-keys&gt;&lt;key app="EN" db-id="sz9092dv2s5fpze9wpgx0zxgv5ar00aezrvf" timestamp="0"&gt;85&lt;/key&gt;&lt;/foreign-keys&gt;&lt;ref-type name="Journal Article"&gt;17&lt;/ref-type&gt;&lt;contributors&gt;&lt;authors&gt;&lt;author&gt;Lomas, Jonathan&lt;/author&gt;&lt;author&gt;Culyer, Tony&lt;/author&gt;&lt;author&gt;Mccutcheon, Chris&lt;/author&gt;&lt;author&gt;Law, Susan&lt;/author&gt;&lt;author&gt;Tetroe, Jacqueline&lt;/author&gt;&lt;/authors&gt;&lt;/contributors&gt;&lt;titles&gt;&lt;title&gt;-Final Report-Conceptualizing and Combining Evidence for Health System Guidance&lt;/title&gt;&lt;/titles&gt;&lt;dates&gt;&lt;year&gt;2005&lt;/year&gt;&lt;/dates&gt;&lt;urls&gt;&lt;/urls&gt;&lt;/record&gt;&lt;/Cite&gt;&lt;/EndNote&gt;</w:instrText>
      </w:r>
      <w:r w:rsidRPr="00F10391">
        <w:fldChar w:fldCharType="separate"/>
      </w:r>
      <w:r w:rsidR="00700267">
        <w:rPr>
          <w:noProof/>
        </w:rPr>
        <w:t>[214]</w:t>
      </w:r>
      <w:r w:rsidRPr="00F10391">
        <w:fldChar w:fldCharType="end"/>
      </w:r>
      <w:r w:rsidRPr="00F10391">
        <w:t xml:space="preserve">. </w:t>
      </w:r>
    </w:p>
    <w:p w14:paraId="5B51EF13" w14:textId="197D0294" w:rsidR="00D22CE3" w:rsidRPr="00F10391" w:rsidRDefault="00D22CE3">
      <w:r w:rsidRPr="00F10391">
        <w:t xml:space="preserve">Despite the apparent limitations of the reference case, there is in practice some flexibility around its use and deviations from it appear to be surprisingly common, as shown in Chapter 5. Such economic models are used only when evidence is neither overwhelmingly clear nor wholly absent. While the models are simplifications of reality, they can provide useful insights. Nonetheless, they are not wholly objective, in that human </w:t>
      </w:r>
      <w:r w:rsidR="001B7ADD">
        <w:t>judgment</w:t>
      </w:r>
      <w:r w:rsidRPr="00F10391">
        <w:t xml:space="preserve">s are required to justify the assumptions underpinning them. There are also a series of </w:t>
      </w:r>
      <w:r w:rsidR="001B7ADD">
        <w:t>judgment</w:t>
      </w:r>
      <w:r w:rsidRPr="00F10391">
        <w:t xml:space="preserve">s to be made regarding what is relevant in cost-effectiveness modelling, though broadly speaking the NICE protocol is to include </w:t>
      </w:r>
      <w:r w:rsidRPr="00F10391">
        <w:rPr>
          <w:i/>
        </w:rPr>
        <w:t>all</w:t>
      </w:r>
      <w:r w:rsidRPr="00F10391">
        <w:t xml:space="preserve"> relevant factors </w:t>
      </w:r>
      <w:r w:rsidRPr="00F10391">
        <w:fldChar w:fldCharType="begin"/>
      </w:r>
      <w:r w:rsidR="00700267">
        <w:instrText xml:space="preserve"> ADDIN EN.CITE &lt;EndNote&gt;&lt;Cite&gt;&lt;Author&gt;Rawlins&lt;/Author&gt;&lt;Year&gt;2010&lt;/Year&gt;&lt;RecNum&gt;117&lt;/RecNum&gt;&lt;DisplayText&gt;[237]&lt;/DisplayText&gt;&lt;record&gt;&lt;rec-number&gt;117&lt;/rec-number&gt;&lt;foreign-keys&gt;&lt;key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Andrew&lt;/author&gt;&lt;/authors&gt;&lt;/contributors&gt;&lt;titles&gt;&lt;title&gt;Pharmacoeconomics: NICE&amp;apos;s appr</w:instrText>
      </w:r>
      <w:r w:rsidR="00700267">
        <w:rPr>
          <w:rFonts w:hint="eastAsia"/>
        </w:rPr>
        <w:instrText>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gt;&lt;/dates&gt;&lt;isbn&gt;1365-2125&lt;/isbn&gt;&lt;urls&gt;&lt;related-urls&gt;&lt;url&gt;ht</w:instrText>
      </w:r>
      <w:r w:rsidR="00700267">
        <w:instrText>tp://www.ncbi.nlm.nih.gov/pmc/articles/PMC2949905/pdf/bcp0070-0346.pdf&lt;/url&gt;&lt;/related-urls&gt;&lt;/urls&gt;&lt;/record&gt;&lt;/Cite&gt;&lt;Cite&gt;&lt;Author&gt;Rawlins&lt;/Author&gt;&lt;Year&gt;2010&lt;/Year&gt;&lt;RecNum&gt;117&lt;/RecNum&gt;&lt;record&gt;&lt;rec-number&gt;117&lt;/rec-number&gt;&lt;foreign-keys&gt;&lt;key app="EN" db-id="sz9092dv2s5fpze9wpgx0zxgv5ar00aezrvf" timestamp="0"&gt;117&lt;/key&gt;&lt;/foreign-keys&gt;&lt;ref-type name="Journal Article"&gt;17&lt;/ref-type&gt;&lt;contributors&gt;&lt;authors&gt;&lt;author&gt;Rawlins, Michael&lt;/author&gt;&lt;author&gt;Barnett, David&lt;/author&gt;&lt;author&gt;Stevens, Andrew&lt;/author&gt;&lt;/authors&gt;&lt;/contr</w:instrText>
      </w:r>
      <w:r w:rsidR="00700267">
        <w:rPr>
          <w:rFonts w:hint="eastAsia"/>
        </w:rPr>
        <w:instrText>ibutors&gt;&lt;titles&gt;&lt;title&gt;Pharmacoeconomics: NICE&amp;apos;s approach to decision</w:instrText>
      </w:r>
      <w:r w:rsidR="00700267">
        <w:rPr>
          <w:rFonts w:hint="eastAsia"/>
        </w:rPr>
        <w:instrText>‐</w:instrText>
      </w:r>
      <w:r w:rsidR="00700267">
        <w:rPr>
          <w:rFonts w:hint="eastAsia"/>
        </w:rPr>
        <w:instrText>making&lt;/title&gt;&lt;secondary-title&gt;British journal of clinical pharmacology&lt;/secondary-title&gt;&lt;/titles&gt;&lt;pages&gt;346-349&lt;/pages&gt;&lt;volume&gt;70&lt;/volume&gt;&lt;number&gt;3&lt;/number&gt;&lt;dates&gt;&lt;year&gt;2010&lt;/year</w:instrText>
      </w:r>
      <w:r w:rsidR="00700267">
        <w:instrText>&gt;&lt;/dates&gt;&lt;isbn&gt;1365-2125&lt;/isbn&gt;&lt;urls&gt;&lt;related-urls&gt;&lt;url&gt;http://www.ncbi.nlm.nih.gov/pmc/articles/PMC2949905/pdf/bcp0070-0346.pdf&lt;/url&gt;&lt;/related-urls&gt;&lt;/urls&gt;&lt;/record&gt;&lt;/Cite&gt;&lt;/EndNote&gt;</w:instrText>
      </w:r>
      <w:r w:rsidRPr="00F10391">
        <w:fldChar w:fldCharType="separate"/>
      </w:r>
      <w:r w:rsidR="00700267">
        <w:rPr>
          <w:noProof/>
        </w:rPr>
        <w:t>[237]</w:t>
      </w:r>
      <w:r w:rsidRPr="00F10391">
        <w:fldChar w:fldCharType="end"/>
      </w:r>
      <w:r w:rsidRPr="00F10391">
        <w:t xml:space="preserve">. Ultimately, any such economic approach involves weighing up the cost and benefits likely to arise if the intervention is provided, compared against the status quo. </w:t>
      </w:r>
    </w:p>
    <w:p w14:paraId="714D8524" w14:textId="77777777" w:rsidR="00D22CE3" w:rsidRPr="00F10391" w:rsidRDefault="00D22CE3">
      <w:r w:rsidRPr="00F10391">
        <w:t xml:space="preserve">Costs do not solely relate to the cost of the drug/intervention itself - but also staff time, rental costs, treatment for side effects, and so on. Public health modelling can also lead to the inclusion of what would otherwise be considered unorthodox consequences, such as decreased tax revenue. The impact upon individuals volunteering to give up their time may be highlighted (PH9 </w:t>
      </w:r>
      <w:r w:rsidRPr="00F10391">
        <w:fldChar w:fldCharType="begin"/>
      </w:r>
      <w:r w:rsidR="00700267">
        <w:instrText xml:space="preserve"> ADDIN EN.CITE &lt;EndNote&gt;&lt;Cite&gt;&lt;Author&gt;NICE&lt;/Author&gt;&lt;Year&gt;2008&lt;/Year&gt;&lt;RecNum&gt;207&lt;/RecNum&gt;&lt;DisplayText&gt;[221]&lt;/DisplayText&gt;&lt;record&gt;&lt;rec-number&gt;207&lt;/rec-number&gt;&lt;foreign-keys&gt;&lt;key app="EN" db-id="sz9092dv2s5fpze9wpgx0zxgv5ar00aezrvf" timestamp="0"&gt;207&lt;/key&gt;&lt;/foreign-keys&gt;&lt;ref-type name="Report"&gt;27&lt;/ref-type&gt;&lt;contributors&gt;&lt;authors&gt;&lt;author&gt;NICE&lt;/author&gt;&lt;/authors&gt;&lt;/contributors&gt;&lt;titles&gt;&lt;title&gt;Community engagement&lt;/title&gt;&lt;secondary-title&gt;PH9&lt;/secondary-title&gt;&lt;/titles&gt;&lt;dates&gt;&lt;year&gt;2008&lt;/year&gt;&lt;/dates&gt;&lt;pub-location&gt;London&lt;/pub-location&gt;&lt;publisher&gt;National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[221]</w:t>
      </w:r>
      <w:r w:rsidRPr="00F10391">
        <w:fldChar w:fldCharType="end"/>
      </w:r>
      <w:r w:rsidRPr="00F10391">
        <w:t>), though this cannot be fully incorporated into CUA as costs to private individuals have in practice been considered outside the scope of NICE’s reference case.</w:t>
      </w:r>
    </w:p>
    <w:p w14:paraId="45F99CBB" w14:textId="77777777" w:rsidR="00D22CE3" w:rsidRPr="00F10391" w:rsidRDefault="00D22CE3">
      <w:r w:rsidRPr="00F10391">
        <w:t xml:space="preserve">The primary criterion for measuring health benefits remains the QALY, the cumulative combination of number of years remaining and quality of life over this time. The QALY impact of seemingly non-health outcomes can be taken into account where such a study has been carried out, such as the reduction in an individual’s QALYs associated </w:t>
      </w:r>
      <w:r w:rsidRPr="00F10391">
        <w:fldChar w:fldCharType="begin"/>
      </w:r>
      <w:r w:rsidR="00D24504">
        <w:instrText xml:space="preserve"> ADDIN EN.CITE &lt;EndNote&gt;&lt;Cite&gt;&lt;Author&gt;Dubourg&lt;/Author&gt;&lt;Year&gt;2005&lt;/Year&gt;&lt;RecNum&gt;368&lt;/RecNum&gt;&lt;DisplayText&gt;[371]&lt;/DisplayText&gt;&lt;record&gt;&lt;rec-number&gt;368&lt;/rec-number&gt;&lt;foreign-keys&gt;&lt;key app="EN" db-id="sz9092dv2s5fpze9wpgx0zxgv5ar00aezrvf" timestamp="1455904711"&gt;368&lt;/key&gt;&lt;/foreign-keys&gt;&lt;ref-type name="Journal Article"&gt;17&lt;/ref-type&gt;&lt;contributors&gt;&lt;authors&gt;&lt;author&gt;Dubourg, Richard&lt;/author&gt;&lt;author&gt;Hamed, Joe&lt;/author&gt;&lt;author&gt;Thorns, Jamie&lt;/author&gt;&lt;/authors&gt;&lt;/contributors&gt;&lt;titles&gt;&lt;title&gt;The economic and social costs of crime against individuals and households 2003/04&lt;/title&gt;&lt;secondary-title&gt;Home Office Online Report&lt;/secondary-title&gt;&lt;/titles&gt;&lt;periodical&gt;&lt;full-title&gt;Home Office Online Report&lt;/full-title&gt;&lt;/periodical&gt;&lt;volume&gt;30&lt;/volume&gt;&lt;number&gt;05&lt;/number&gt;&lt;dates&gt;&lt;year&gt;2005&lt;/year&gt;&lt;/dates&gt;&lt;urls&gt;&lt;/urls&gt;&lt;/record&gt;&lt;/Cite&gt;&lt;/EndNote&gt;</w:instrText>
      </w:r>
      <w:r w:rsidRPr="00F10391">
        <w:fldChar w:fldCharType="separate"/>
      </w:r>
      <w:r w:rsidR="00D24504">
        <w:rPr>
          <w:noProof/>
        </w:rPr>
        <w:t>[371]</w:t>
      </w:r>
      <w:r w:rsidRPr="00F10391">
        <w:fldChar w:fldCharType="end"/>
      </w:r>
      <w:r w:rsidRPr="00F10391">
        <w:t xml:space="preserve"> with a robbery in PH4 </w:t>
      </w:r>
      <w:r w:rsidRPr="00F10391">
        <w:fldChar w:fldCharType="begin"/>
      </w:r>
      <w:r w:rsidR="00700267">
        <w:instrText xml:space="preserve"> ADDIN EN.CITE &lt;EndNote&gt;&lt;Cite&gt;&lt;Author&gt;NICE&lt;/Author&gt;&lt;Year&gt;2007&lt;/Year&gt;&lt;RecNum&gt;202&lt;/RecNum&gt;&lt;DisplayText&gt;[231]&lt;/DisplayText&gt;&lt;record&gt;&lt;rec-number&gt;202&lt;/rec-number&gt;&lt;foreign-keys&gt;&lt;key app="EN" db-id="sz9092dv2s5fpze9wpgx0zxgv5ar00aezrvf" timestamp="0"&gt;202&lt;/key&gt;&lt;/foreign-keys&gt;&lt;ref-type name="Report"&gt;27&lt;/ref-type&gt;&lt;contributors&gt;&lt;authors&gt;&lt;author&gt;NICE&lt;/author&gt;&lt;/authors&gt;&lt;/contributors&gt;&lt;titles&gt;&lt;title&gt;Interventions to reduce substance misuse among vulnerable young people&lt;/title&gt;&lt;secondary-title&gt;PH4&lt;/secondary-title&gt;&lt;/titles&gt;&lt;dates&gt;&lt;year&gt;2007&lt;/year&gt;&lt;/dates&gt;&lt;pub-location&gt;London&lt;/pub-location&gt;&lt;publisher&gt;National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[231]</w:t>
      </w:r>
      <w:r w:rsidRPr="00F10391">
        <w:fldChar w:fldCharType="end"/>
      </w:r>
      <w:r w:rsidRPr="00F10391">
        <w:t xml:space="preserve">. But for many cases such studies do not exist and hence - even if we know that the impact on the victim is almost certainly negative – without an estimation of the magnitude of this impact, such factors are excluded from the model (rather than risking inadvertently double counting them). The exclusion of relevant information on the likely direction of impact in this way may well increase the apparent ICER of the intervention. </w:t>
      </w:r>
    </w:p>
    <w:p w14:paraId="13FE8615" w14:textId="77777777" w:rsidR="00D22CE3" w:rsidRPr="00F10391" w:rsidRDefault="00D22CE3">
      <w:r w:rsidRPr="00F10391">
        <w:t>“Other factors” from outside health are regularly incorporated into the economic modelling process – and hence the broader decision process too. From the 54 guidance topics reviews in Chapter 5, non-health benefits were considered in a large number of these, including:</w:t>
      </w:r>
    </w:p>
    <w:p w14:paraId="266A866F" w14:textId="77777777" w:rsidR="00D22CE3" w:rsidRPr="00F10391" w:rsidRDefault="00D22CE3">
      <w:pPr>
        <w:pStyle w:val="ListParagraph"/>
        <w:numPr>
          <w:ilvl w:val="0"/>
          <w:numId w:val="57"/>
        </w:numPr>
        <w:sectPr w:rsidR="00D22CE3" w:rsidRPr="00F10391" w:rsidSect="00D22CE3">
          <w:footnotePr>
            <w:numFmt w:val="lowerRoman"/>
          </w:footnotePr>
          <w:type w:val="continuous"/>
          <w:pgSz w:w="11906" w:h="16838"/>
          <w:pgMar w:top="1440" w:right="1440" w:bottom="1440" w:left="1440" w:header="708" w:footer="708" w:gutter="0"/>
          <w:cols w:space="720"/>
        </w:sectPr>
      </w:pPr>
    </w:p>
    <w:p w14:paraId="5FB409A5" w14:textId="77777777" w:rsidR="00D22CE3" w:rsidRPr="00F10391" w:rsidRDefault="00D22CE3" w:rsidP="0063065F">
      <w:pPr>
        <w:pStyle w:val="ListParagraph"/>
        <w:numPr>
          <w:ilvl w:val="0"/>
          <w:numId w:val="57"/>
        </w:numPr>
        <w:jc w:val="left"/>
      </w:pPr>
      <w:r w:rsidRPr="00F10391">
        <w:t xml:space="preserve">Productivity (12 times); </w:t>
      </w:r>
    </w:p>
    <w:p w14:paraId="18E2D70F" w14:textId="77777777" w:rsidR="00D22CE3" w:rsidRPr="00F10391" w:rsidRDefault="00D22CE3" w:rsidP="0063065F">
      <w:pPr>
        <w:pStyle w:val="ListParagraph"/>
        <w:numPr>
          <w:ilvl w:val="0"/>
          <w:numId w:val="57"/>
        </w:numPr>
        <w:jc w:val="left"/>
      </w:pPr>
      <w:r w:rsidRPr="00F10391">
        <w:t xml:space="preserve">Criminal justice costs (10); </w:t>
      </w:r>
    </w:p>
    <w:p w14:paraId="5161254D" w14:textId="77777777" w:rsidR="00D22CE3" w:rsidRPr="00F10391" w:rsidRDefault="00D22CE3" w:rsidP="0063065F">
      <w:pPr>
        <w:pStyle w:val="ListParagraph"/>
        <w:numPr>
          <w:ilvl w:val="0"/>
          <w:numId w:val="57"/>
        </w:numPr>
        <w:jc w:val="left"/>
      </w:pPr>
      <w:r w:rsidRPr="00F10391">
        <w:t>Emotional wellbeing (5);</w:t>
      </w:r>
    </w:p>
    <w:p w14:paraId="16E0E66C" w14:textId="77777777" w:rsidR="00D22CE3" w:rsidRPr="00F10391" w:rsidRDefault="00D22CE3" w:rsidP="0063065F">
      <w:pPr>
        <w:pStyle w:val="ListParagraph"/>
        <w:numPr>
          <w:ilvl w:val="0"/>
          <w:numId w:val="57"/>
        </w:numPr>
        <w:jc w:val="left"/>
      </w:pPr>
      <w:r w:rsidRPr="00F10391">
        <w:t xml:space="preserve">Educational attainment (4); and </w:t>
      </w:r>
    </w:p>
    <w:p w14:paraId="4CF482D8" w14:textId="77777777" w:rsidR="00D22CE3" w:rsidRPr="00F10391" w:rsidRDefault="00D22CE3" w:rsidP="0063065F">
      <w:pPr>
        <w:pStyle w:val="ListParagraph"/>
        <w:numPr>
          <w:ilvl w:val="0"/>
          <w:numId w:val="57"/>
        </w:numPr>
        <w:jc w:val="left"/>
      </w:pPr>
      <w:r w:rsidRPr="00F10391">
        <w:t>Other knock-on government savings (twice)</w:t>
      </w:r>
    </w:p>
    <w:p w14:paraId="5B4C687E" w14:textId="77777777" w:rsidR="00D22CE3" w:rsidRPr="00F10391" w:rsidRDefault="00D22CE3">
      <w:pPr>
        <w:sectPr w:rsidR="00D22CE3" w:rsidRPr="00F10391" w:rsidSect="00D22CE3">
          <w:footnotePr>
            <w:numFmt w:val="lowerRoman"/>
          </w:footnotePr>
          <w:type w:val="continuous"/>
          <w:pgSz w:w="11906" w:h="16838"/>
          <w:pgMar w:top="1440" w:right="1440" w:bottom="1440" w:left="1440" w:header="708" w:footer="708" w:gutter="0"/>
          <w:cols w:num="2" w:space="720"/>
        </w:sectPr>
      </w:pPr>
    </w:p>
    <w:p w14:paraId="1D518351" w14:textId="77777777" w:rsidR="00D22CE3" w:rsidRPr="00F10391" w:rsidRDefault="00D22CE3">
      <w:r w:rsidRPr="00F10391">
        <w:t>Equity cannot be considered at this stage during the modelling process (though some qualitative commentary about it is allowed), which seems a pity given that it is the one stage of the decision processes which explicitly considers and publishes such ‘other factors’. Again, without an obvious metric by which to measure the magnitude of equity issues, it may be difficult to incorporate it into modelling for the same reasons as previously described. It may however be possible to use this information in some form (even in terms of a simple likely positive or negative impact) using a performance matrix-style CCA, say, rather than CUA or CBA.</w:t>
      </w:r>
    </w:p>
    <w:p w14:paraId="5B277039" w14:textId="54DE6B25" w:rsidR="00D22CE3" w:rsidRPr="00F10391" w:rsidRDefault="00D22CE3">
      <w:r w:rsidRPr="00F10391">
        <w:t>A variety of perspectives was used in the modelling stage, despite the fact that ‘public sector’ perspective has until recently been the sole perspective recommended in the reference case. This approach was only used in 26% of total valuations. Others include: NHS and PSS (48%); societal (19%); employer (7%); and</w:t>
      </w:r>
      <w:r w:rsidR="00CE299C">
        <w:t>,</w:t>
      </w:r>
      <w:r w:rsidRPr="00F10391">
        <w:t xml:space="preserve"> since the </w:t>
      </w:r>
      <w:r w:rsidR="00CE299C">
        <w:t>2014 methods manual,</w:t>
      </w:r>
      <w:r w:rsidRPr="00F10391">
        <w:t xml:space="preserve"> local government (though no models used this perspective over the time covered in Chapter 5). Since</w:t>
      </w:r>
      <w:r w:rsidR="00DC1C0E">
        <w:t xml:space="preserve"> 2014 too</w:t>
      </w:r>
      <w:r w:rsidRPr="00F10391">
        <w:t>, approaches should be matched with perspective, e.g. if the costs involved largely relate to NHS then an NHS &amp; PSS perspective is an understandable simplifying assumption. But grey areas remain, and there are examples of public sector approaches being used that only take into account healthcare costs anyway. Other studies never explicitly state which perspective has been used at all.</w:t>
      </w:r>
    </w:p>
    <w:p w14:paraId="13092495" w14:textId="77777777" w:rsidR="00D22CE3" w:rsidRPr="00F10391" w:rsidRDefault="00D22CE3">
      <w:r w:rsidRPr="00F10391">
        <w:t>It is also worth noting that there is not a one-to-one relationship between economic modelling and guidance topics. More than one model is regularly used for each piece of guidance – 58 evaluations were carried out across 41 topics (that contained guidance). 13 further topics did use not economic modelling at all. This meant that about three quarters of the topics used economic modelling in their decision-making, and just under three quarters of these used CUA alone. Of the remainder, nearly all used CUA alongside other approaches. One topic used CBA alone (built upon a series of CEAs), and another used an approach which could be described equally as a CUA or a CBA. While some so-called cost-consequence analyses were nothing more than a block of text listing factors that were not included in the analyses, reminiscent of a limitations section, decision-makers do seem to be fully able to consider multiple models simultaneously.  It may therefore be possible to use MCDA approaches alongside CUA (or other) approaches in future, if so desired.</w:t>
      </w:r>
    </w:p>
    <w:p w14:paraId="60CD34DB" w14:textId="77777777" w:rsidR="00D22CE3" w:rsidRPr="00F10391" w:rsidRDefault="00D22CE3">
      <w:r w:rsidRPr="00F10391">
        <w:t xml:space="preserve">As implied by the fact that it is not necessarily clear in all cases which approach has even been used, there is a surprising ambiguity between approaches, particularly where the approach could be found to be cost-saving. </w:t>
      </w:r>
    </w:p>
    <w:p w14:paraId="3B718F66" w14:textId="77777777" w:rsidR="00D22CE3" w:rsidRPr="00F10391" w:rsidRDefault="00D22CE3">
      <w:pPr>
        <w:pStyle w:val="ListParagraph"/>
        <w:numPr>
          <w:ilvl w:val="0"/>
          <w:numId w:val="23"/>
        </w:numPr>
      </w:pPr>
      <w:r w:rsidRPr="00F10391">
        <w:t>CBA can also be linked closely to CEA – and therefore CUA. PH51 used a CBA approach which itself was premised upon the cost per negative outcome avoided on a range of criteria; and hence compared to the total cost of the intervention. Taking it all together, the intervention was therefore found to be cost saving – which will clearly be below any CUA threshold. So CEA results fitted into CBA framework can prove cost-effectiveness even from a CUA perspective. A similar approach was used in PH50. It is not clear however how this would work if an intervention was not found to be cost saving - some threshold would need to be employed and it is not clear how this could be derived.</w:t>
      </w:r>
    </w:p>
    <w:p w14:paraId="0E970DBB" w14:textId="77777777" w:rsidR="00D22CE3" w:rsidRPr="00F10391" w:rsidRDefault="00D22CE3">
      <w:pPr>
        <w:pStyle w:val="ListParagraph"/>
        <w:numPr>
          <w:ilvl w:val="0"/>
          <w:numId w:val="23"/>
        </w:numPr>
      </w:pPr>
      <w:r w:rsidRPr="00F10391">
        <w:t xml:space="preserve">It is conceivable that CCA-derived what-if type analyses could be used where data is limited regarding the magnitude of an effect but where the direction of the effect is relatively clear. This is potentially equivalent to the CBA approach in PH51. This ambiguity is potentially reassuring, in terms of ensuring the consistency of decisions given the variety of approaches being used. But decision-makers will still require careful planning and oversight in doing this. </w:t>
      </w:r>
    </w:p>
    <w:p w14:paraId="53F671F5" w14:textId="77777777" w:rsidR="00D22CE3" w:rsidRPr="00F10391" w:rsidRDefault="00D22CE3">
      <w:pPr>
        <w:pStyle w:val="ListParagraph"/>
        <w:numPr>
          <w:ilvl w:val="0"/>
          <w:numId w:val="23"/>
        </w:numPr>
      </w:pPr>
      <w:r w:rsidRPr="00F10391">
        <w:t xml:space="preserve"> “Net financial benefit” appears for all intents and purposes to be identical to CBA.</w:t>
      </w:r>
    </w:p>
    <w:p w14:paraId="307EB898" w14:textId="77777777" w:rsidR="00D22CE3" w:rsidRPr="00F10391" w:rsidRDefault="00D22CE3">
      <w:r w:rsidRPr="00F10391">
        <w:t xml:space="preserve">There are clearly inconsistencies and differing assumptions used throughout the NICE decision-making process. This is understandable, given the challenges NICE faces in combining evidence with policy. This is particularly true in public health, where few organisations had attempted applying such approaches before. But these inconsistencies are potentially important to subsequent decisions and should perhaps be reconsidered. </w:t>
      </w:r>
    </w:p>
    <w:p w14:paraId="087C6AFA" w14:textId="77777777" w:rsidR="000127DD" w:rsidRPr="00F10391" w:rsidRDefault="000127DD" w:rsidP="0063065F">
      <w:pPr>
        <w:rPr>
          <w:lang w:eastAsia="en-US"/>
        </w:rPr>
      </w:pPr>
      <w:bookmarkStart w:id="850" w:name="_Toc453235486"/>
      <w:bookmarkStart w:id="851" w:name="_Toc453595559"/>
    </w:p>
    <w:p w14:paraId="066AE936" w14:textId="77777777" w:rsidR="00D22CE3" w:rsidRPr="00F10391" w:rsidRDefault="00D22CE3" w:rsidP="0063065F">
      <w:pPr>
        <w:pStyle w:val="Heading3"/>
      </w:pPr>
      <w:bookmarkStart w:id="852" w:name="_Toc476241656"/>
      <w:r w:rsidRPr="00F10391">
        <w:t>8.2.2</w:t>
      </w:r>
      <w:r w:rsidRPr="00F10391">
        <w:tab/>
      </w:r>
      <w:r w:rsidRPr="00F10391">
        <w:tab/>
        <w:t>Intervention development and implementation stage</w:t>
      </w:r>
      <w:bookmarkEnd w:id="850"/>
      <w:bookmarkEnd w:id="851"/>
      <w:bookmarkEnd w:id="852"/>
    </w:p>
    <w:p w14:paraId="4E816AC6" w14:textId="77777777" w:rsidR="00D22CE3" w:rsidRPr="00F10391" w:rsidRDefault="00D22CE3" w:rsidP="00494A9A">
      <w:bookmarkStart w:id="853" w:name="_Toc441581788"/>
      <w:bookmarkStart w:id="854" w:name="_Toc453235487"/>
    </w:p>
    <w:p w14:paraId="55EA0392" w14:textId="77777777" w:rsidR="00D22CE3" w:rsidRPr="00F10391" w:rsidRDefault="00D22CE3" w:rsidP="00490B5D">
      <w:pPr>
        <w:pStyle w:val="Heading4"/>
      </w:pPr>
      <w:bookmarkStart w:id="855" w:name="_Toc453595560"/>
      <w:bookmarkStart w:id="856" w:name="_Toc476241657"/>
      <w:r w:rsidRPr="00F10391">
        <w:t>8.2.2.1</w:t>
      </w:r>
      <w:r w:rsidRPr="00F10391">
        <w:tab/>
      </w:r>
      <w:r w:rsidRPr="00F10391">
        <w:tab/>
      </w:r>
      <w:bookmarkEnd w:id="853"/>
      <w:r w:rsidRPr="00F10391">
        <w:t>Can suitable MCDA techniques be piloted or implemented at decision-maker level?</w:t>
      </w:r>
      <w:bookmarkEnd w:id="854"/>
      <w:bookmarkEnd w:id="855"/>
      <w:bookmarkEnd w:id="856"/>
    </w:p>
    <w:p w14:paraId="0D97E97C" w14:textId="77777777" w:rsidR="00D22CE3" w:rsidRPr="00F10391" w:rsidRDefault="00D22CE3">
      <w:r w:rsidRPr="00F10391">
        <w:t xml:space="preserve">Because of the seeming importance of context in the successful implementation of MCDA approaches in public health, case study approaches were used to test possible approaches to their implementation in English decision-making settings in Chapters 6 and 7. Case studies can generate insights not possible through more abstract thought experiments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and are valuable where broad, complex questions have to be addressed in complex circumstances </w:t>
      </w:r>
      <w:r w:rsidRPr="00F10391">
        <w:fldChar w:fldCharType="begin"/>
      </w:r>
      <w:r w:rsidR="00700267">
        <w:instrText xml:space="preserve"> ADDIN EN.CITE &lt;EndNote&gt;&lt;Cite&gt;&lt;Author&gt;Keen&lt;/Author&gt;&lt;Year&gt;1995&lt;/Year&gt;&lt;RecNum&gt;357&lt;/RecNum&gt;&lt;DisplayText&gt;[20]&lt;/DisplayText&gt;&lt;record&gt;&lt;rec-number&gt;357&lt;/rec-number&gt;&lt;foreign-keys&gt;&lt;key app="EN" db-id="sz9092dv2s5fpze9wpgx0zxgv5ar00aezrvf" timestamp="0"&gt;357&lt;/key&gt;&lt;/foreign-keys&gt;&lt;ref-type name="Journal Article"&gt;17&lt;/ref-type&gt;&lt;contributors&gt;&lt;authors&gt;&lt;author&gt;Keen, Justin&lt;/author&gt;&lt;author&gt;Packwood, Tim&lt;/author&gt;&lt;/authors&gt;&lt;/contributors&gt;&lt;titles&gt;&lt;title&gt;Case study evaluation&lt;/title&gt;&lt;secondary-title&gt;BMJ: British Medical Journal&lt;/secondary-title&gt;&lt;/titles&gt;&lt;pages&gt;444&lt;/pages&gt;&lt;volume&gt;311&lt;/volume&gt;&lt;number&gt;7002&lt;/number&gt;&lt;dates&gt;&lt;year&gt;1995&lt;/year&gt;&lt;/dates&gt;&lt;urls&gt;&lt;related-urls&gt;&lt;url&gt;http://www.ncbi.nlm.nih.gov/pmc/articles/PMC2550500/pdf/bmj00605-0048.pdf&lt;/url&gt;&lt;/related-urls&gt;&lt;/urls&gt;&lt;/record&gt;&lt;/Cite&gt;&lt;/EndNote&gt;</w:instrText>
      </w:r>
      <w:r w:rsidRPr="00F10391">
        <w:fldChar w:fldCharType="separate"/>
      </w:r>
      <w:r w:rsidR="00700267">
        <w:rPr>
          <w:noProof/>
        </w:rPr>
        <w:t>[20]</w:t>
      </w:r>
      <w:r w:rsidRPr="00F10391">
        <w:fldChar w:fldCharType="end"/>
      </w:r>
      <w:r w:rsidRPr="00F10391">
        <w:t xml:space="preserve">. Because they are case studies, they add to the literature, but cannot draw firm, universal conclusions as to the practicality of MCDA approaches in all settings, or so-called “good theory”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xml:space="preserve">. </w:t>
      </w:r>
    </w:p>
    <w:p w14:paraId="17E4EDAD" w14:textId="77777777" w:rsidR="00D22CE3" w:rsidRPr="00F10391" w:rsidRDefault="00D22CE3">
      <w:r w:rsidRPr="00F10391">
        <w:t xml:space="preserve">Chapters 6 and 7 together formed the intervention development and implementation stage according to Lee’s framework </w:t>
      </w:r>
      <w:r w:rsidRPr="00F10391">
        <w:fldChar w:fldCharType="begin"/>
      </w:r>
      <w:r w:rsidR="00700267">
        <w:instrText xml:space="preserve"> ADDIN EN.CITE &lt;EndNote&gt;&lt;Cite&gt;&lt;Author&gt;Lee&lt;/Author&gt;&lt;Year&gt;2013&lt;/Year&gt;&lt;RecNum&gt;302&lt;/RecNum&gt;&lt;DisplayText&gt;[14]&lt;/DisplayText&gt;&lt;record&gt;&lt;rec-number&gt;302&lt;/rec-number&gt;&lt;foreign-keys&gt;&lt;key app="EN" db-id="sz9092dv2s5fpze9wpgx0zxgv5ar00aezrvf" timestamp="0"&gt;302&lt;/key&gt;&lt;/foreign-keys&gt;&lt;ref-type name="Book Section"&gt;5&lt;/ref-type&gt;&lt;contributors&gt;&lt;authors&gt;&lt;author&gt;Lee, Mandy S. &lt;/author&gt;&lt;/authors&gt;&lt;secondary-authors&gt;&lt;author&gt;Byrne, Michael&lt;/author&gt;&lt;/secondary-authors&gt;&lt;/contributors&gt;&lt;titles&gt;&lt;title&gt;How to match research designs to organisational issues in health and social care&lt;/title&gt;&lt;secondary-title&gt;How to Conduct Research for Service Improvement: A Guidebook for Health and Social Care Professionals.&lt;/secondary-title&gt;&lt;/titles&gt;&lt;pages&gt;&lt;style face="bold" font="default" size="100%"&gt;18-33&lt;/style&gt;&lt;/pages&gt;&lt;dates&gt;&lt;year&gt;2013&lt;/year&gt;&lt;/dates&gt;&lt;pub-location&gt;Dublin&lt;/pub-location&gt;&lt;publisher&gt;Health Service Executive&lt;/publisher&gt;&lt;urls&gt;&lt;/urls&gt;&lt;/record&gt;&lt;/Cite&gt;&lt;/EndNote&gt;</w:instrText>
      </w:r>
      <w:r w:rsidRPr="00F10391">
        <w:fldChar w:fldCharType="separate"/>
      </w:r>
      <w:r w:rsidR="00700267">
        <w:rPr>
          <w:noProof/>
        </w:rPr>
        <w:t>[14]</w:t>
      </w:r>
      <w:r w:rsidRPr="00F10391">
        <w:fldChar w:fldCharType="end"/>
      </w:r>
      <w:r w:rsidRPr="00F10391">
        <w:t xml:space="preserve">. Given the knowledge built up over the prior chapters, they related to whether MCDA approaches could be designed and implemented at actual decision-maker level. Both studies were built around a decision conference approach. </w:t>
      </w:r>
    </w:p>
    <w:p w14:paraId="447EBF18" w14:textId="77777777" w:rsidR="00D22CE3" w:rsidRPr="00F10391" w:rsidRDefault="00D22CE3">
      <w:r w:rsidRPr="00F10391">
        <w:t>The piloted decision conference used in Chapter 6 was the only stage of a proposed decision process that was actually tested, and the other stages – such as the choice of initial shortlist to be considered, the production of scoping papers and the subsequent deliberation phase – were described hypothetically. It was based upon the decisions of a select group of (would-be) decision-makers, who would in the proposed approach be ultimately responsible for this process. The decision conference allowed for participants to identify relevant criteria, weight these and score the alternative possible topics at the same meeting (although some of the final scoring of alternatives had to be carried out by correspondence due to time pressures) a range of alternative stakeholders at various stages. An AHP approach was used to make use of numbers more palatable to a group where some members would not necessarily use them regularly.</w:t>
      </w:r>
    </w:p>
    <w:p w14:paraId="4D75CCDE" w14:textId="77777777" w:rsidR="00D22CE3" w:rsidRPr="00F10391" w:rsidRDefault="00D22CE3">
      <w:r w:rsidRPr="00F10391">
        <w:t>The topics under consideration were based upon those that were due to come before the CPH’s topic appraisal committee in the near future, and were therefore beyond the control of the committee as would likely be the case in real life. Unfortunately, the scoping papers – which specify more clearly how the interventions would work in practice - were not available, but the decision was made to use this set of topics rather than basing the pilot upon previously prioritised interventions, which might have introduced bias of its own. The proposed deliberation stage was not to be included at this point as the intention was to investigate if the decision conference element of the decision process could work, but this was in hindsight an oversight. It would have allowed a clearer indication of whether the approach could work as an overall process, and better clarified to potential real-life decision-makers that deliberation really can still have a place when MCDA is used.</w:t>
      </w:r>
    </w:p>
    <w:p w14:paraId="3B412FA0" w14:textId="77777777" w:rsidR="00D22CE3" w:rsidRPr="00F10391" w:rsidRDefault="00D22CE3">
      <w:r w:rsidRPr="00F10391">
        <w:t xml:space="preserve">It did fulfil its primary aim of indicating that such an approach could be feasible and useful in such settings and allowed for greater experience and nuance than would likely otherwise have been possible and highlighted potential pitfalls with using such an approach </w:t>
      </w:r>
      <w:r w:rsidRPr="00F10391">
        <w:fldChar w:fldCharType="begin"/>
      </w:r>
      <w:r w:rsidR="00D24504">
        <w:instrText xml:space="preserve"> ADDIN EN.CITE &lt;EndNote&gt;&lt;Cite&gt;&lt;Author&gt;Sanders&lt;/Author&gt;&lt;Year&gt;1983&lt;/Year&gt;&lt;RecNum&gt;128&lt;/RecNum&gt;&lt;DisplayText&gt;[344]&lt;/DisplayText&gt;&lt;record&gt;&lt;rec-number&gt;128&lt;/rec-number&gt;&lt;foreign-keys&gt;&lt;key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Cite&gt;&lt;Author&gt;Sanders&lt;/Author&gt;&lt;Year&gt;1983&lt;/Year&gt;&lt;RecNum&gt;128&lt;/RecNum&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Cite&gt;&lt;Author&gt;Sanders&lt;/Author&gt;&lt;Year&gt;1983&lt;/Year&gt;&lt;RecNum&gt;128&lt;/RecNum&gt;&lt;record&gt;&lt;rec-number&gt;128&lt;/rec-number&gt;&lt;foreign-keys&gt;&lt;key app="EN" db-id="sz9092dv2s5fpze9wpgx0zxgv5ar00aezrvf" timestamp="0"&gt;128&lt;/key&gt;&lt;/foreign-keys&gt;&lt;ref-type name="Book"&gt;6&lt;/ref-type&gt;&lt;contributors&gt;&lt;authors&gt;&lt;author&gt;Sanders, William B&lt;/author&gt;&lt;author&gt;Pinhey, Thomas K&lt;/author&gt;&lt;/authors&gt;&lt;/contributors&gt;&lt;titles&gt;&lt;title&gt;The conduct of social research&lt;/title&gt;&lt;/titles&gt;&lt;dates&gt;&lt;year&gt;1983&lt;/year&gt;&lt;/dates&gt;&lt;publisher&gt;Holt, Rinehart and Winston New York&lt;/publisher&gt;&lt;isbn&gt;0030589533&lt;/isbn&gt;&lt;urls&gt;&lt;/urls&gt;&lt;/record&gt;&lt;/Cite&gt;&lt;/EndNote&gt;</w:instrText>
      </w:r>
      <w:r w:rsidRPr="00F10391">
        <w:fldChar w:fldCharType="separate"/>
      </w:r>
      <w:r w:rsidR="00D24504">
        <w:rPr>
          <w:noProof/>
        </w:rPr>
        <w:t>[344]</w:t>
      </w:r>
      <w:r w:rsidRPr="00F10391">
        <w:fldChar w:fldCharType="end"/>
      </w:r>
      <w:r w:rsidRPr="00F10391">
        <w:t xml:space="preserve">. In this case, it included trying to cram too much into a single morning’s conference and in terms of ensuring that all necessary decision phases are tested as far as reasonably possible, such as failing to incorporate a deliberation phase to the pilot. </w:t>
      </w:r>
    </w:p>
    <w:p w14:paraId="4ECCD1D5" w14:textId="77777777" w:rsidR="00D22CE3" w:rsidRPr="00F10391" w:rsidRDefault="00D22CE3">
      <w:r w:rsidRPr="00F10391">
        <w:t>I learned from this process for the project described in Chapter 7 which, while it had its own challenges, took a slower-paced view that allowed the decision to be built up based upon all relevant phases of the MCDA process and beyond. The decision conference was therefore only one stage of a broader decision-making programme. The three broader phases used were:</w:t>
      </w:r>
    </w:p>
    <w:p w14:paraId="229AC7E0" w14:textId="77777777" w:rsidR="00D22CE3" w:rsidRPr="00F10391" w:rsidRDefault="00D22CE3">
      <w:pPr>
        <w:pStyle w:val="ListParagraph"/>
        <w:numPr>
          <w:ilvl w:val="0"/>
          <w:numId w:val="35"/>
        </w:numPr>
      </w:pPr>
      <w:r w:rsidRPr="00F10391">
        <w:t>Setting the scene/problem structuring.</w:t>
      </w:r>
    </w:p>
    <w:p w14:paraId="26F29AA4" w14:textId="77777777" w:rsidR="00D22CE3" w:rsidRPr="00F10391" w:rsidRDefault="00D22CE3">
      <w:pPr>
        <w:pStyle w:val="ListParagraph"/>
        <w:numPr>
          <w:ilvl w:val="0"/>
          <w:numId w:val="35"/>
        </w:numPr>
      </w:pPr>
      <w:r w:rsidRPr="00F10391">
        <w:t>Conducting the MCDA scoring technique.</w:t>
      </w:r>
    </w:p>
    <w:p w14:paraId="44235D3F" w14:textId="77777777" w:rsidR="00D22CE3" w:rsidRPr="00F10391" w:rsidRDefault="00D22CE3">
      <w:pPr>
        <w:pStyle w:val="ListParagraph"/>
        <w:numPr>
          <w:ilvl w:val="0"/>
          <w:numId w:val="35"/>
        </w:numPr>
      </w:pPr>
      <w:r w:rsidRPr="00F10391">
        <w:t xml:space="preserve">Utilising these scores to influence decision-making at local government level. </w:t>
      </w:r>
    </w:p>
    <w:p w14:paraId="1BBD014C" w14:textId="77777777" w:rsidR="00D22CE3" w:rsidRPr="00F10391" w:rsidRDefault="00D22CE3">
      <w:r w:rsidRPr="00F10391">
        <w:t>This broader structure was also necessary, for three main reasons: to ensure that all bases were covered, given that this project would actually be implemented rather than a piloted experiment; because of the sheer number of participants that it was felt necessary to include (and the logistical unlikelihood getting the entire expert stakeholder group together for any longer than half a day); and because the final decision did not rest with the stakeholder group but with each borough’s Director of Public Health, who would have to take additional criteria into account regardless.</w:t>
      </w:r>
    </w:p>
    <w:p w14:paraId="3CE7780F" w14:textId="77777777" w:rsidR="00D22CE3" w:rsidRPr="00F10391" w:rsidRDefault="00D22CE3">
      <w:r w:rsidRPr="00F10391">
        <w:t xml:space="preserve">At various stages the public, an expert group of stakeholders, the tobacco control commissioners and the lead researcher were involved in the process in order to construct meaningful rankings of a broad range of 15 potential interventions. There were potentially many more possible interventions (or levels of investment in these interventions) but not all could be included in the decision conference or other stages. Ultimately the decision was not to be made by the rankings, but to show to the DsPH the general areas that were likely to work (who could then prioritise as they saw fit). </w:t>
      </w:r>
    </w:p>
    <w:p w14:paraId="16F59AD0" w14:textId="77777777" w:rsidR="00D22CE3" w:rsidRPr="00F10391" w:rsidRDefault="00D22CE3">
      <w:r w:rsidRPr="00F10391">
        <w:t xml:space="preserve">The project design allowed for different groups to feed into appropriate stages of the problem structuring process. Hence the initial criteria were chosen by public, while weighting was carried out by correspondence with stakeholders. Unlike Chapter 6, only the scoring stage was actually carried out at the decision conference, which involved a wide range of expert stakeholders. A swing weighted linear additive approach was used at the decision conference phase in order to streamline the process, given the large number of stakeholders involved. Care was taken to ensure all stakeholders would have the opportunity to present their views, that consensus-based scores could be arrived at and that sensitivity analyses could be used to investigate where such consensus was more difficult to achieve. </w:t>
      </w:r>
    </w:p>
    <w:p w14:paraId="6740DC5A" w14:textId="77777777" w:rsidR="00D22CE3" w:rsidRPr="00F10391" w:rsidRDefault="00D22CE3">
      <w:r w:rsidRPr="00F10391">
        <w:t xml:space="preserve">This chapter therefore described a much more thorough approach than Chapter 6, and its increased engagement with stakeholders and with the practical problems of it conceivably led to its increased success in terms of impact and implementation. Whereas a pilot allows for increased understanding of the nuances of a problem compared to a thought experiment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such an action research project (and the compromises that comes with this) may lead to even further understanding, as some parts may remain untested with a pilot. Nonetheless, the fact that there is no wholly objective or obvious comparator in either case study makes definitive evaluation difficult. </w:t>
      </w:r>
    </w:p>
    <w:p w14:paraId="3E524AC7" w14:textId="77777777" w:rsidR="00D22CE3" w:rsidRPr="00F10391" w:rsidRDefault="00D22CE3">
      <w:r w:rsidRPr="00F10391">
        <w:t>In Chapter 6, no attempt was made to include a comparator, as the aim of the project was to test if such an approach was feasible at all. On the one side, the resources required to implement this approach to topic appraisal appear to be comparable to the status quo, with a number of possible benefits arising from its use. However, the results from the actual TAWs seemed to differ from the results of the AHP exercise. These were carried out in bigger batches and not necessarily at the same time, so they are not directly comparable. Differences could also be due to the incorporation of other relevant factors or be down to poor decision-making at the pilot or the TAW itself; it is impossible to tell because of opaqueness of the current deliberation process. However, in hindsight there were aspects of the study that I would design differently were I to revisit it: no debriefing session was possible on the day due to running over and no mock deliberation process was carried out to investigate decisions on a more like-for-like basis with the proposed approach. It may have proven possible to draw more firm conclusions had this not been the case.</w:t>
      </w:r>
    </w:p>
    <w:p w14:paraId="760B8536" w14:textId="77777777" w:rsidR="00D22CE3" w:rsidRPr="00F10391" w:rsidRDefault="00D22CE3">
      <w:r w:rsidRPr="00F10391">
        <w:t xml:space="preserve">This thesis has used the concepts of accessibility and acceptability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xml:space="preserve"> to describe a project’s success. </w:t>
      </w:r>
    </w:p>
    <w:p w14:paraId="33026F6A" w14:textId="77777777" w:rsidR="00D22CE3" w:rsidRPr="00F10391" w:rsidRDefault="00D22CE3">
      <w:pPr>
        <w:pStyle w:val="ListParagraph"/>
        <w:numPr>
          <w:ilvl w:val="0"/>
          <w:numId w:val="58"/>
        </w:numPr>
      </w:pPr>
      <w:r w:rsidRPr="00F10391">
        <w:t>Accessibility relates to the availability of relevant findings in a timely manner, the clarity of its presentation and the extent to which it can be understood.</w:t>
      </w:r>
    </w:p>
    <w:p w14:paraId="7F7906A7" w14:textId="77777777" w:rsidR="00D22CE3" w:rsidRPr="00F10391" w:rsidRDefault="00D22CE3">
      <w:pPr>
        <w:pStyle w:val="ListParagraph"/>
        <w:numPr>
          <w:ilvl w:val="0"/>
          <w:numId w:val="58"/>
        </w:numPr>
      </w:pPr>
      <w:r w:rsidRPr="00F10391">
        <w:t>Acceptability, in this context, means that all barriers that arise after the model’s findings have been accessed and understood.</w:t>
      </w:r>
    </w:p>
    <w:p w14:paraId="61012A01" w14:textId="1F7E24AF" w:rsidR="00D22CE3" w:rsidRPr="00F10391" w:rsidRDefault="00D22CE3">
      <w:r w:rsidRPr="00F10391">
        <w:t xml:space="preserve">The approach used in Chapter 6 showed that such a technique was technically feasible to those taking part, and therefore accessible. Whether or not it can be considered acceptable is less clear, due to the fact that it was a pilot and therefore had no direct route to implementation. Nonetheless the fact that such an approach has not been incorporated since highlights the fact that perhaps more could have been done on my own part to smooth the process of change. </w:t>
      </w:r>
    </w:p>
    <w:p w14:paraId="04B55397" w14:textId="77777777" w:rsidR="00D22CE3" w:rsidRPr="00F10391" w:rsidRDefault="00D22CE3">
      <w:r w:rsidRPr="00F10391">
        <w:t xml:space="preserve">Attempting to evaluate some of the lessons from Chapter 7 is also complex, especially given every step along the process was chosen based upon the particular project’s exact context. This, as previously stated, seems to be characteristic of trying to implement MCDA in public health. The tobacco services had been stuck in the paradoxical situation of focussing on an evidence-based approach which was not working, but which – due to lack of available evidence elsewhere – they could not leave. The likely future was more of the same, or worse – prior to the commencement of the project, there was genuine concern amongst the TCCs that the anti-tobacco budget could be repurposed to an area with better success at hitting its targets. This approach did not just prove that such an approach was feasible, but the services offered have changed radically from prior practice. Tobacco prevalence has reduced noticeably in the time since – but this is more difficult to directly attribute, especially given the growing market for e-cigarettes in the time since the approach took place. Due to the incremental design used, it was possible to tailor the approach more carefully to the problem’s context. This allowed technical and institutional factors to be addressed more practically, helping to ensure its implementation. In this sense it proved to be both accessible and acceptable to decision-makers </w:t>
      </w:r>
      <w:r w:rsidRPr="00F10391">
        <w:fldChar w:fldCharType="begin"/>
      </w:r>
      <w:r w:rsidRPr="00F10391">
        <w:instrText xml:space="preserve"> ADDIN EN.CITE &lt;EndNote&gt;&lt;Cite&gt;&lt;Author&gt;Williams&lt;/Author&gt;&lt;Year&gt;2007&lt;/Year&gt;&lt;RecNum&gt;158&lt;/RecNum&gt;&lt;DisplayText&gt;[1]&lt;/DisplayText&gt;&lt;record&gt;&lt;rec-number&gt;158&lt;/rec-number&gt;&lt;foreign-keys&gt;&lt;key app="EN" db-id="sz9092dv2s5fpze9wpgx0zxgv5ar00aezrvf" timestamp="0"&gt;158&lt;/key&gt;&lt;/foreign-keys&gt;&lt;ref-type name="Journal Article"&gt;17&lt;/ref-type&gt;&lt;contributors&gt;&lt;authors&gt;&lt;author&gt;Williams, Iestyn&lt;/author&gt;&lt;author&gt;Bryan, Stirling&lt;/author&gt;&lt;/authors&gt;&lt;/contributors&gt;&lt;titles&gt;&lt;title&gt;Understanding the limited impact of economic evaluation in health care resource allocation: a conceptual framework&lt;/title&gt;&lt;secondary-title&gt;Health Policy&lt;/secondary-title&gt;&lt;/titles&gt;&lt;periodical&gt;&lt;full-title&gt;Health Policy&lt;/full-title&gt;&lt;/periodical&gt;&lt;pages&gt;135-143&lt;/pages&gt;&lt;volume&gt;80&lt;/volume&gt;&lt;number&gt;1&lt;/number&gt;&lt;dates&gt;&lt;year&gt;2007&lt;/year&gt;&lt;/dates&gt;&lt;isbn&gt;0168-8510&lt;/isbn&gt;&lt;urls&gt;&lt;related-urls&gt;&lt;url&gt;http://www.healthpolicyjrnl.com/article/S0168-8510(06)00058-3/abstract&lt;/url&gt;&lt;url&gt;http://ac.els-cdn.com/S0168851006000583/1-s2.0-S0168851006000583-main.pdf?_tid=5861dae8-9359-11e4-8996-00000aab0f6c&amp;amp;acdnat=1420297447_87b9c9dcb56b9732647e78693c2f164c&lt;/url&gt;&lt;/related-urls&gt;&lt;/urls&gt;&lt;/record&gt;&lt;/Cite&gt;&lt;/EndNote&gt;</w:instrText>
      </w:r>
      <w:r w:rsidRPr="00F10391">
        <w:fldChar w:fldCharType="separate"/>
      </w:r>
      <w:r w:rsidRPr="00F10391">
        <w:t>[1]</w:t>
      </w:r>
      <w:r w:rsidRPr="00F10391">
        <w:fldChar w:fldCharType="end"/>
      </w:r>
      <w:r w:rsidRPr="00F10391">
        <w:t>. Clearly however there could have been some merit in further evaluating the approach more formally, such as identifying and shadowing (without intervening) some control borough that was facing similar issues at the same time.</w:t>
      </w:r>
    </w:p>
    <w:p w14:paraId="3B54788F" w14:textId="77777777" w:rsidR="00D22CE3" w:rsidRPr="00F10391" w:rsidRDefault="00D22CE3">
      <w:r w:rsidRPr="00F10391">
        <w:t xml:space="preserve">With careful design, this approach went from having no evidence to having a list of rankings using the preferences of the public and of stakeholders and the expectations of the effectiveness of such approaches. It is worth reiterating that it carefully avoided the conflating of benefits and costs – costs are simply ignored in the rankings, and weighing up such issues in choosing the optimal portfolio of such investments was left to the relevant DPH. This was possible given the structure of the decision-making process in this setting. It would not have been advisable to choose the individual approaches that caused the most benefit until the money ran out without considering their cost - instead cost-effectiveness (considering the benefits preferred by the decision-makers) should still be the ultimate metric as it remained in the STAR study </w:t>
      </w:r>
      <w:r w:rsidRPr="00F10391">
        <w:fldChar w:fldCharType="begin"/>
      </w:r>
      <w:r w:rsidR="00700267">
        <w:instrText xml:space="preserve"> ADDIN EN.CITE &lt;EndNote&gt;&lt;Cite&gt;&lt;Author&gt;Airoldi&lt;/Author&gt;&lt;Year&gt;2014&lt;/Year&gt;&lt;RecNum&gt;319&lt;/RecNum&gt;&lt;DisplayText&gt;[326]&lt;/DisplayText&gt;&lt;record&gt;&lt;rec-number&gt;319&lt;/rec-number&gt;&lt;foreign-keys&gt;&lt;key app="EN" db-id="sz9092dv2s5fpze9wpgx0zxgv5ar00aezrvf" timestamp="0"&gt;319&lt;/key&gt;&lt;/foreign-keys&gt;&lt;ref-type name="Journal Article"&gt;17&lt;/ref-type&gt;&lt;contributors&gt;&lt;authors&gt;&lt;author&gt;Airoldi, Mara&lt;/author&gt;&lt;author&gt;Morton, Alec&lt;/author&gt;&lt;author&gt;Smith, Jenifer AE&lt;/author&gt;&lt;author&gt;Bevan, Gwyn&lt;/author&gt;&lt;/authors&gt;&lt;/contributors&gt;&lt;titles&gt;&lt;title&gt;STAR—People-Powered Prioritization A 21st-Century Solution to Allocation Headaches&lt;/title&gt;&lt;secondary-title&gt;Medical Decision Making&lt;/secondary-title&gt;&lt;/titles&gt;&lt;periodical&gt;&lt;full-title&gt;Medical Decision Making&lt;/full-title&gt;&lt;/periodical&gt;&lt;pages&gt;965-975&lt;/pages&gt;&lt;volume&gt;34&lt;/volume&gt;&lt;number&gt;8&lt;/number&gt;&lt;dates&gt;&lt;year&gt;2014&lt;/year&gt;&lt;/dates&gt;&lt;isbn&gt;0272-989X&lt;/isbn&gt;&lt;urls&gt;&lt;related-urls&gt;&lt;url&gt;http://mdm.sagepub.com/content/34/8/965.full.pdf&lt;/url&gt;&lt;/related-urls&gt;&lt;/urls&gt;&lt;/record&gt;&lt;/Cite&gt;&lt;/EndNote&gt;</w:instrText>
      </w:r>
      <w:r w:rsidRPr="00F10391">
        <w:fldChar w:fldCharType="separate"/>
      </w:r>
      <w:r w:rsidR="00700267">
        <w:rPr>
          <w:noProof/>
        </w:rPr>
        <w:t>[326]</w:t>
      </w:r>
      <w:r w:rsidRPr="00F10391">
        <w:fldChar w:fldCharType="end"/>
      </w:r>
      <w:r w:rsidRPr="00F10391">
        <w:t>. The costs associated with the programmes were therefore ultimately to be considered by the DPH.</w:t>
      </w:r>
    </w:p>
    <w:p w14:paraId="32A1E256" w14:textId="77777777" w:rsidR="00D22CE3" w:rsidRPr="00F10391" w:rsidRDefault="00D22CE3">
      <w:r w:rsidRPr="00F10391">
        <w:t xml:space="preserve">Going into the intervention development and implementation </w:t>
      </w:r>
      <w:r w:rsidR="00F10391" w:rsidRPr="00F10391">
        <w:t>stage, the</w:t>
      </w:r>
      <w:r w:rsidRPr="00F10391">
        <w:t xml:space="preserve"> problem specification state made clear that context was vital and that decision-making processes should be designed carefully to sit into the relevant paradigm. Issues such as which MCDA approach to use and which stakeholders to include flow from this. From these case studies it appears that it is also worth reflecting on the full list of 8 stages of any MCDA approach described earlier in Section 8.2.1.1. These stages can if necessary be carried out by different actors to ensure that as broad a range of stakeholders as necessary can contribute, where this is considered important to get a project over the line. The entire list of stages should be actively considered in the design of such a decision-making process, and perhaps beyond this list – such as explicitly considering their implementation and evaluation. Before attempting to implement them myself, I frankly had the naïve assumption that the decision conference/model building stage alone was ‘the hard part’.</w:t>
      </w:r>
    </w:p>
    <w:p w14:paraId="0774D5A9" w14:textId="77777777" w:rsidR="00D22CE3" w:rsidRPr="00F10391" w:rsidRDefault="00D22CE3">
      <w:r w:rsidRPr="00F10391">
        <w:t>Broader MCDA approaches need not fall into the trap of being overly prescriptive and can be used to improve current processes rather than replace them. While the decision conference part was fundamental to both approaches outlined, in neither case was it intended that it should or could replace the deliberative stage before final decision-making takes place.</w:t>
      </w:r>
    </w:p>
    <w:p w14:paraId="283574C2" w14:textId="77777777" w:rsidR="00D22CE3" w:rsidRPr="00F10391" w:rsidRDefault="00D22CE3">
      <w:r w:rsidRPr="00F10391">
        <w:t>MCDA approaches can be used to harness the expertise of stakeholders in a collaborative way, helping to take potential distrust out of decision-making and generating what can on some level be thought of as quantifiable evidence that would not have existed prior to the commencement of the process. While expert evidence of this type is always at risk of subjectivity, the quantification of these assumptions allows them to tested for robustness with sensi</w:t>
      </w:r>
      <w:bookmarkStart w:id="857" w:name="_Toc441581789"/>
      <w:r w:rsidRPr="00F10391">
        <w:t>tivity analyses, which may not be possible with the implicit incorporation of expert evidence into deliberations currently.</w:t>
      </w:r>
    </w:p>
    <w:p w14:paraId="25CD1171" w14:textId="77777777" w:rsidR="00D22CE3" w:rsidRPr="00F10391" w:rsidRDefault="00D22CE3"/>
    <w:p w14:paraId="4722E328" w14:textId="77777777" w:rsidR="00D22CE3" w:rsidRPr="00F10391" w:rsidRDefault="00D22CE3">
      <w:pPr>
        <w:pStyle w:val="Heading3"/>
        <w:rPr>
          <w:rStyle w:val="Heading3Char"/>
          <w:b/>
          <w:bCs/>
          <w:lang w:eastAsia="zh-CN"/>
        </w:rPr>
      </w:pPr>
      <w:bookmarkStart w:id="858" w:name="_Toc453235488"/>
      <w:bookmarkStart w:id="859" w:name="_Toc453595561"/>
      <w:bookmarkStart w:id="860" w:name="_Toc476241658"/>
      <w:r w:rsidRPr="00F10391">
        <w:rPr>
          <w:rStyle w:val="Heading3Char"/>
          <w:b/>
          <w:bCs/>
        </w:rPr>
        <w:t>8.2.3</w:t>
      </w:r>
      <w:r w:rsidRPr="00F10391">
        <w:rPr>
          <w:rStyle w:val="Heading3Char"/>
          <w:b/>
          <w:bCs/>
        </w:rPr>
        <w:tab/>
      </w:r>
      <w:r w:rsidRPr="00F10391">
        <w:rPr>
          <w:rStyle w:val="Heading3Char"/>
          <w:b/>
          <w:bCs/>
        </w:rPr>
        <w:tab/>
        <w:t>Recommendations from findings</w:t>
      </w:r>
      <w:bookmarkEnd w:id="858"/>
      <w:bookmarkEnd w:id="859"/>
      <w:bookmarkEnd w:id="860"/>
    </w:p>
    <w:p w14:paraId="20715DD5" w14:textId="77777777" w:rsidR="00D22CE3" w:rsidRPr="00F10391" w:rsidRDefault="00D22CE3">
      <w:pPr>
        <w:rPr>
          <w:rStyle w:val="Heading3Char"/>
          <w:b w:val="0"/>
          <w:bCs w:val="0"/>
          <w:lang w:eastAsia="en-US"/>
        </w:rPr>
      </w:pPr>
      <w:bookmarkStart w:id="861" w:name="_Toc453235489"/>
    </w:p>
    <w:p w14:paraId="38298839" w14:textId="77777777" w:rsidR="00D22CE3" w:rsidRPr="00F10391" w:rsidRDefault="00D22CE3">
      <w:pPr>
        <w:pStyle w:val="Heading4"/>
      </w:pPr>
      <w:bookmarkStart w:id="862" w:name="_Toc453595562"/>
      <w:bookmarkStart w:id="863" w:name="_Toc476241659"/>
      <w:r w:rsidRPr="00F10391">
        <w:rPr>
          <w:rStyle w:val="Heading3Char"/>
          <w:b w:val="0"/>
        </w:rPr>
        <w:t>8.2.3.1</w:t>
      </w:r>
      <w:r w:rsidRPr="00F10391">
        <w:rPr>
          <w:rStyle w:val="Heading3Char"/>
          <w:b w:val="0"/>
        </w:rPr>
        <w:tab/>
      </w:r>
      <w:r w:rsidRPr="00F10391">
        <w:tab/>
        <w:t>What recommendations can be drawn?</w:t>
      </w:r>
      <w:bookmarkEnd w:id="857"/>
      <w:bookmarkEnd w:id="861"/>
      <w:bookmarkEnd w:id="862"/>
      <w:bookmarkEnd w:id="863"/>
      <w:r w:rsidRPr="00F10391">
        <w:t xml:space="preserve"> </w:t>
      </w:r>
    </w:p>
    <w:p w14:paraId="2C5BD65D" w14:textId="77777777" w:rsidR="00D22CE3" w:rsidRPr="00F10391" w:rsidRDefault="00D22CE3">
      <w:r w:rsidRPr="00F10391">
        <w:t xml:space="preserve">Given the conclusions of the prior research questions, it appears that formal MCDA techniques could be suitable for implementation at decision-maker level in public health in England, seemingly within both within NICE and local government. There are obviously advantages and disadvantages to doing so, although the experiences reported in this thesis are largely positive. The literature review showed no prior evidence of such approaches being tested in NICE and the only related approach found in local government related to the STAR study in Isle of Wight and Sheffield </w:t>
      </w:r>
      <w:r w:rsidRPr="00F10391">
        <w:fldChar w:fldCharType="begin">
          <w:fldData xml:space="preserve">PEVuZE5vdGU+PENpdGU+PEF1dGhvcj5BaXJvbGRpPC9BdXRob3I+PFllYXI+MjAxMTwvWWVhcj48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</w:fldData>
        </w:fldChar>
      </w:r>
      <w:r w:rsidR="00700267">
        <w:instrText xml:space="preserve"> ADDIN EN.CITE </w:instrText>
      </w:r>
      <w:r w:rsidR="00700267">
        <w:fldChar w:fldCharType="begin">
          <w:fldData xml:space="preserve">PEVuZE5vdGU+PENpdGU+PEF1dGhvcj5BaXJvbGRpPC9BdXRob3I+PFllYXI+MjAxMTwvWWVhcj48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</w:fldData>
        </w:fldChar>
      </w:r>
      <w:r w:rsidR="00700267">
        <w:instrText xml:space="preserve"> ADDIN EN.CITE.DATA </w:instrText>
      </w:r>
      <w:r w:rsidR="00700267">
        <w:fldChar w:fldCharType="end"/>
      </w:r>
      <w:r w:rsidRPr="00F10391">
        <w:fldChar w:fldCharType="separate"/>
      </w:r>
      <w:r w:rsidR="00700267">
        <w:rPr>
          <w:noProof/>
        </w:rPr>
        <w:t>[68, 326, 372]</w:t>
      </w:r>
      <w:r w:rsidRPr="00F10391">
        <w:fldChar w:fldCharType="end"/>
      </w:r>
      <w:r w:rsidRPr="00F10391">
        <w:t>.</w:t>
      </w:r>
    </w:p>
    <w:p w14:paraId="5A3B7797" w14:textId="77777777" w:rsidR="00D22CE3" w:rsidRPr="00F10391" w:rsidRDefault="00D22CE3">
      <w:r w:rsidRPr="00F10391">
        <w:t xml:space="preserve">As an approach derived from operational research, it is important to reiterate that a technically perfect approach that is not implemented is not necessarily a successful one (echoing the accessibility/accessibility split). It is wise to ensure the method by which techniques can be implemented is mapped out explicitly – and it may be wise to ensure that they can be easily slotted into the broader decision-making paradigm. As part of this, understanding local context is absolutely vital. </w:t>
      </w:r>
    </w:p>
    <w:p w14:paraId="3667B279" w14:textId="77777777" w:rsidR="00D22CE3" w:rsidRPr="00F10391" w:rsidRDefault="00D22CE3">
      <w:r w:rsidRPr="00F10391">
        <w:t>One change that occurred over the course of this thesis is that more and more explicit MCDA techniques have been described and advocated in the public health literature, seemingly at the expense of more deliberative processes such as PBMA. If this trend continues, MCDA techniques will continue to grow and may start to feed into decision-making processes at the decision-maker level.</w:t>
      </w:r>
    </w:p>
    <w:p w14:paraId="2260D656" w14:textId="45521308" w:rsidR="00F51F18" w:rsidRPr="00F10391" w:rsidRDefault="00D22CE3">
      <w:r w:rsidRPr="00F10391">
        <w:t xml:space="preserve">Another change appears to be a move away from the conflation of costs and benefits. Baltussen and Niessen’s paper from 2006 </w:t>
      </w:r>
      <w:r w:rsidRPr="00F10391">
        <w:fldChar w:fldCharType="begin"/>
      </w:r>
      <w:r w:rsidRPr="00F10391">
        <w:instrText xml:space="preserve"> ADDIN EN.CITE &lt;EndNote&gt;&lt;Cite&gt;&lt;Author&gt;Baltussen&lt;/Author&gt;&lt;Year&gt;2006&lt;/Year&gt;&lt;RecNum&gt;7&lt;/RecNum&gt;&lt;DisplayText&gt;[6]&lt;/DisplayText&gt;&lt;record&gt;&lt;rec-number&gt;7&lt;/rec-number&gt;&lt;foreign-keys&gt;&lt;key app="EN" db-id="sz9092dv2s5fpze9wpgx0zxgv5ar00aezrvf" timestamp="0"&gt;7&lt;/key&gt;&lt;/foreign-keys&gt;&lt;ref-type name="Journal Article"&gt;17&lt;/ref-type&gt;&lt;contributors&gt;&lt;authors&gt;&lt;author&gt;Baltussen, Rob&lt;/author&gt;&lt;author&gt;Niessen, Louis&lt;/author&gt;&lt;/authors&gt;&lt;/contributors&gt;&lt;titles&gt;&lt;title&gt;Priority setting of health interventions: the need for multi-criteria decision analysis&lt;/title&gt;&lt;secondary-title&gt;Cost Effectiveness and Resource Allocation&lt;/secondary-title&gt;&lt;/titles&gt;&lt;periodical&gt;&lt;full-title&gt;Cost effectiveness and resource allocation&lt;/full-title&gt;&lt;/periodical&gt;&lt;pages&gt;14&lt;/pages&gt;&lt;volume&gt;4&lt;/volume&gt;&lt;number&gt;1&lt;/number&gt;&lt;dates&gt;&lt;year&gt;2006&lt;/year&gt;&lt;/dates&gt;&lt;isbn&gt;1478-7547&lt;/isbn&gt;&lt;urls&gt;&lt;related-urls&gt;&lt;url&gt;http://www.resource-allocation.com/content/pdf/1478-7547-4-14.pdf&lt;/url&gt;&lt;url&gt;http://download.springer.com/static/pdf/515/art%253A10.1186%252F1478-7547-4-14.pdf?originUrl=http%3A%2F%2Fhttp%3A%2F%2Fresource-allocation.biomedcentral.com%2Farticle%2F10.1186%2F1478-7547-4-14&amp;amp;token2=exp=1457713633~acl=%2Fstatic%2Fpdf%2F515%2Fart%25253A10.1186%25252F1478-7547-4-14.pdf*~hmac=9fd84bfefe8098e43c941507b4fed14ebb6112cce149459b1c51613dd20d2651&lt;/url&gt;&lt;/related-urls&gt;&lt;/urls&gt;&lt;/record&gt;&lt;/Cite&gt;&lt;/EndNote&gt;</w:instrText>
      </w:r>
      <w:r w:rsidRPr="00F10391">
        <w:fldChar w:fldCharType="separate"/>
      </w:r>
      <w:r w:rsidRPr="00F10391">
        <w:t>[6]</w:t>
      </w:r>
      <w:r w:rsidRPr="00F10391">
        <w:fldChar w:fldCharType="end"/>
      </w:r>
      <w:r w:rsidRPr="00F10391">
        <w:t xml:space="preserve">, as a prominent example, nonetheless included cost-effectiveness as a criterion (like any other). This is hard to justify in hindsight, and Baltussen himself has repudiated this position </w:t>
      </w:r>
      <w:r w:rsidRPr="00F10391">
        <w:fldChar w:fldCharType="begin"/>
      </w:r>
      <w:r w:rsidR="00700267">
        <w:instrText xml:space="preserve"> ADDIN EN.CITE &lt;EndNote&gt;&lt;Cite&gt;&lt;Author&gt;Caro JJ&lt;/Author&gt;&lt;Year&gt;2013&lt;/Year&gt;&lt;RecNum&gt;363&lt;/RecNum&gt;&lt;DisplayText&gt;[185]&lt;/DisplayText&gt;&lt;record&gt;&lt;rec-number&gt;363&lt;/rec-number&gt;&lt;foreign-keys&gt;&lt;key app="EN" db-id="sz9092dv2s5fpze9wpgx0zxgv5ar00aezrvf" timestamp="1454687475"&gt;363&lt;/key&gt;&lt;/foreign-keys&gt;&lt;ref-type name="Conference Proceedings"&gt;10&lt;/ref-type&gt;&lt;contributors&gt;&lt;authors&gt;&lt;author&gt;Caro JJ, Baltussen R, Claxton K, Thomson A. &lt;/author&gt;&lt;/authors&gt;&lt;/contributors&gt;&lt;titles&gt;&lt;title&gt;Should multi-criteria decision analysis (MCDA) replace cost-effectiveness analysis (CEA) for evaluation of health care coverage decisions? [Plenary session] &lt;/title&gt;&lt;secondary-title&gt;International Society for Pharmacoeconomics and Outcomes Research (ISPOR) Annual European Congress &lt;/secondary-title&gt;&lt;/titles&gt;&lt;dates&gt;&lt;year&gt;2013&lt;/year&gt;&lt;/dates&gt;&lt;pub-location&gt;Dublin, Ireland&lt;/pub-location&gt;&lt;urls&gt;&lt;/urls&gt;&lt;/record&gt;&lt;/Cite&gt;&lt;/EndNote&gt;</w:instrText>
      </w:r>
      <w:r w:rsidRPr="00F10391">
        <w:fldChar w:fldCharType="separate"/>
      </w:r>
      <w:r w:rsidR="00700267">
        <w:rPr>
          <w:noProof/>
        </w:rPr>
        <w:t>[185]</w:t>
      </w:r>
      <w:r w:rsidRPr="00F10391">
        <w:fldChar w:fldCharType="end"/>
      </w:r>
      <w:r w:rsidRPr="00F10391">
        <w:t xml:space="preserve">, as have other authors </w:t>
      </w:r>
      <w:r w:rsidRPr="00F10391">
        <w:fldChar w:fldCharType="begin"/>
      </w:r>
      <w:r w:rsidR="00700267">
        <w:instrText xml:space="preserve"> ADDIN EN.CITE &lt;EndNote&gt;&lt;Cite&gt;&lt;Author&gt;Wahlster&lt;/Author&gt;&lt;Year&gt;2015&lt;/Year&gt;&lt;RecNum&gt;432&lt;/RecNum&gt;&lt;DisplayText&gt;[156]&lt;/DisplayText&gt;&lt;record&gt;&lt;rec-number&gt;432&lt;/rec-number&gt;&lt;foreign-keys&gt;&lt;key app="EN" db-id="sz9092dv2s5fpze9wpgx0zxgv5ar00aezrvf" timestamp="1461510949"&gt;432&lt;/key&gt;&lt;/foreign-keys&gt;&lt;ref-type name="Journal Article"&gt;17&lt;/ref-type&gt;&lt;contributors&gt;&lt;authors&gt;&lt;author&gt;Wahlster, Philip&lt;/author&gt;&lt;author&gt;Goetghebeur, Mireille&lt;/author&gt;&lt;author&gt;Kriza, Christine&lt;/author&gt;&lt;author&gt;Niederländer, Charlotte&lt;/author&gt;&lt;author&gt;Kolominsky-Rabas, Peter&lt;/author&gt;&lt;/authors&gt;&lt;/contributors&gt;&lt;titles&gt;&lt;title&gt;Balancing costs and benefits at different stages of medical innovation: a systematic review of Multi-criteria decision analysis (MCDA)&lt;/title&gt;&lt;secondary-title&gt;BMC health services research&lt;/secondary-title&gt;&lt;/titles&gt;&lt;periodical&gt;&lt;full-title&gt;BMC health services research&lt;/full-title&gt;&lt;/periodical&gt;&lt;pages&gt;1&lt;/pages&gt;&lt;volume&gt;15&lt;/volume&gt;&lt;number&gt;1&lt;/number&gt;&lt;dates&gt;&lt;year&gt;2015&lt;/year&gt;&lt;/dates&gt;&lt;isbn&gt;1472-6963&lt;/isbn&gt;&lt;urls&gt;&lt;/urls&gt;&lt;/record&gt;&lt;/Cite&gt;&lt;/EndNote&gt;</w:instrText>
      </w:r>
      <w:r w:rsidRPr="00F10391">
        <w:fldChar w:fldCharType="separate"/>
      </w:r>
      <w:r w:rsidR="00700267">
        <w:rPr>
          <w:noProof/>
        </w:rPr>
        <w:t>[156]</w:t>
      </w:r>
      <w:r w:rsidRPr="00F10391">
        <w:fldChar w:fldCharType="end"/>
      </w:r>
      <w:r w:rsidRPr="00F10391">
        <w:t xml:space="preserve">. In the later chapters, we therefore were careful to avoid explicit weighing up of costs and benefits using an MCDA approach; chapter 6 avoids health economic questions and Chapter 7 ranks the interventions only in terms of perceived benefit, with questions of weighing up the respective costs and benefits being left to the </w:t>
      </w:r>
      <w:r w:rsidR="001B7ADD">
        <w:t>judgment</w:t>
      </w:r>
      <w:r w:rsidRPr="00F10391">
        <w:t>s of DsPH</w:t>
      </w:r>
      <w:r w:rsidR="00AA0B34">
        <w:t xml:space="preserve"> and councillors</w:t>
      </w:r>
      <w:r w:rsidRPr="00F10391">
        <w:t>.</w:t>
      </w:r>
      <w:r w:rsidR="00F51F18">
        <w:t xml:space="preserve"> </w:t>
      </w:r>
    </w:p>
    <w:p w14:paraId="780B5F5B" w14:textId="77777777" w:rsidR="00D22CE3" w:rsidRPr="00F10391" w:rsidRDefault="00D22CE3">
      <w:r w:rsidRPr="00F10391">
        <w:t>The thesis has a number of specific recommendations for future research and for policy arising from these results.</w:t>
      </w:r>
    </w:p>
    <w:p w14:paraId="67561626" w14:textId="77777777" w:rsidR="00D22CE3" w:rsidRPr="00F10391" w:rsidRDefault="00D22CE3">
      <w:bookmarkStart w:id="864" w:name="_Toc441581790"/>
    </w:p>
    <w:p w14:paraId="6C9CA5D0" w14:textId="77777777" w:rsidR="00D22CE3" w:rsidRPr="00F10391" w:rsidRDefault="00D22CE3">
      <w:pPr>
        <w:pStyle w:val="Heading5"/>
      </w:pPr>
      <w:bookmarkStart w:id="865" w:name="_Toc453235490"/>
      <w:bookmarkStart w:id="866" w:name="_Toc453595563"/>
      <w:bookmarkStart w:id="867" w:name="_Toc476241660"/>
      <w:r w:rsidRPr="00F10391">
        <w:t>8.2.3.1.1</w:t>
      </w:r>
      <w:r w:rsidRPr="00F10391">
        <w:tab/>
        <w:t>Recommendations for future research</w:t>
      </w:r>
      <w:bookmarkEnd w:id="865"/>
      <w:bookmarkEnd w:id="866"/>
      <w:bookmarkEnd w:id="867"/>
    </w:p>
    <w:p w14:paraId="50921FFC" w14:textId="77777777" w:rsidR="00D22CE3" w:rsidRPr="00F10391" w:rsidRDefault="00D22CE3">
      <w:r w:rsidRPr="00F10391">
        <w:t>There are a number of potentially important issues arising from this research project that were out of scope for the thesis but which appear worth investigating in future.</w:t>
      </w:r>
    </w:p>
    <w:p w14:paraId="10E1F778" w14:textId="77777777" w:rsidR="00D22CE3" w:rsidRPr="00F10391" w:rsidRDefault="00D22CE3">
      <w:r w:rsidRPr="00F10391">
        <w:t xml:space="preserve">At present, decision analysts advising on a health project must use experience and intuition to select a suitable MCDA approach. It is clear that some decision analysts (indeed, certain research teams and geographical regions) appear to have preferences for using given techniques. There is no clear framework in place to match an appropriate technique with a given problem, and different approaches may lead to different decisions. Devising a reliable and easy to use framework to clarify where certain approaches would be most suited would be an important step forward if it were possible. </w:t>
      </w:r>
    </w:p>
    <w:p w14:paraId="47DF5FCE" w14:textId="77777777" w:rsidR="00D22CE3" w:rsidRPr="00F10391" w:rsidRDefault="00D22CE3">
      <w:r w:rsidRPr="00F10391">
        <w:t>This thesis provides only two examples of novel applications of MCDA techniques in UK settings. Further examples will continue to be required to better evaluate what works in more general terms. There are inevitably improvements possible in retrospect on the studies reported, and it would be prudent for future researchers to consider the study design thoroughly prior to the implementation of the technique, to more systematically test strengths and weaknesses, and ensure that the technique’s effects can be formally evaluated.</w:t>
      </w:r>
    </w:p>
    <w:p w14:paraId="5F6B37ED" w14:textId="77777777" w:rsidR="00D22CE3" w:rsidRPr="00F10391" w:rsidRDefault="00D22CE3">
      <w:r w:rsidRPr="00F10391">
        <w:t xml:space="preserve">While public health settings can vary considerably from one decision to the next, it may be worthwhile to investigate if certain areas are better suited to MCDA than others. How to do so however is not immediately obvious, other than building upon previous successes and allowing similar approaches to be implemented in similar contexts. It may therefore be worthwhile for experts to ‘get out there’ and work with real world decision problems to expand the horizons upon which MCDA has been shown to work in further case studies. This will generate learning </w:t>
      </w:r>
      <w:r w:rsidRPr="00F10391">
        <w:fldChar w:fldCharType="begin"/>
      </w:r>
      <w:r w:rsidR="00700267">
        <w:instrText xml:space="preserve"> ADDIN EN.CITE &lt;EndNote&gt;&lt;Cite&gt;&lt;Author&gt;Flyvbjerg&lt;/Author&gt;&lt;Year&gt;2006&lt;/Year&gt;&lt;RecNum&gt;358&lt;/RecNum&gt;&lt;DisplayText&gt;[19]&lt;/DisplayText&gt;&lt;record&gt;&lt;rec-number&gt;358&lt;/rec-number&gt;&lt;foreign-keys&gt;&lt;key app="EN" db-id="sz9092dv2s5fpze9wpgx0zxgv5ar00aezrvf" timestamp="0"&gt;358&lt;/key&gt;&lt;/foreign-keys&gt;&lt;ref-type name="Journal Article"&gt;17&lt;/ref-type&gt;&lt;contributors&gt;&lt;authors&gt;&lt;author&gt;Flyvbjerg, Bent&lt;/author&gt;&lt;/authors&gt;&lt;/contributors&gt;&lt;titles&gt;&lt;title&gt;Five misunderstandings about case-study research&lt;/title&gt;&lt;secondary-title&gt;Qualitative inquiry&lt;/secondary-title&gt;&lt;/titles&gt;&lt;pages&gt;219-245&lt;/pages&gt;&lt;volume&gt;12&lt;/volume&gt;&lt;number&gt;2&lt;/number&gt;&lt;dates&gt;&lt;year&gt;2006&lt;/year&gt;&lt;/dates&gt;&lt;isbn&gt;1077-8004&lt;/isbn&gt;&lt;urls&gt;&lt;/urls&gt;&lt;/record&gt;&lt;/Cite&gt;&lt;/EndNote&gt;</w:instrText>
      </w:r>
      <w:r w:rsidRPr="00F10391">
        <w:fldChar w:fldCharType="separate"/>
      </w:r>
      <w:r w:rsidR="00700267">
        <w:rPr>
          <w:noProof/>
        </w:rPr>
        <w:t>[19]</w:t>
      </w:r>
      <w:r w:rsidRPr="00F10391">
        <w:fldChar w:fldCharType="end"/>
      </w:r>
      <w:r w:rsidRPr="00F10391">
        <w:t xml:space="preserve"> and create exemplar studies </w:t>
      </w:r>
      <w:r w:rsidRPr="00F10391">
        <w:fldChar w:fldCharType="begin"/>
      </w:r>
      <w:r w:rsidR="00700267">
        <w:instrText xml:space="preserve"> ADDIN EN.CITE &lt;EndNote&gt;&lt;Cite&gt;&lt;Author&gt;Kuhn&lt;/Author&gt;&lt;Year&gt;1982&lt;/Year&gt;&lt;RecNum&gt;360&lt;/RecNum&gt;&lt;DisplayText&gt;[21]&lt;/DisplayText&gt;&lt;record&gt;&lt;rec-number&gt;360&lt;/rec-number&gt;&lt;foreign-keys&gt;&lt;key app="EN" db-id="sz9092dv2s5fpze9wpgx0zxgv5ar00aezrvf" timestamp="0"&gt;360&lt;/key&gt;&lt;/foreign-keys&gt;&lt;ref-type name="Book"&gt;6&lt;/ref-type&gt;&lt;contributors&gt;&lt;authors&gt;&lt;author&gt;Kuhn, Thomas S&lt;/author&gt;&lt;/authors&gt;&lt;/contributors&gt;&lt;titles&gt;&lt;title&gt;What are Scientific Revolutions?&lt;/title&gt;&lt;/titles&gt;&lt;dates&gt;&lt;year&gt;1982&lt;/year&gt;&lt;/dates&gt;&lt;publisher&gt;Centre for Cognitive Science, Massachusetts Institute of Technology&lt;/publisher&gt;&lt;urls&gt;&lt;/urls&gt;&lt;/record&gt;&lt;/Cite&gt;&lt;/EndNote&gt;</w:instrText>
      </w:r>
      <w:r w:rsidRPr="00F10391">
        <w:fldChar w:fldCharType="separate"/>
      </w:r>
      <w:r w:rsidR="00700267">
        <w:rPr>
          <w:noProof/>
        </w:rPr>
        <w:t>[21]</w:t>
      </w:r>
      <w:r w:rsidRPr="00F10391">
        <w:fldChar w:fldCharType="end"/>
      </w:r>
      <w:r w:rsidRPr="00F10391">
        <w:t xml:space="preserve">, ultimately generating new theories </w:t>
      </w:r>
      <w:r w:rsidRPr="00F10391">
        <w:fldChar w:fldCharType="begin"/>
      </w:r>
      <w:r w:rsidR="00700267">
        <w:instrText xml:space="preserve"> ADDIN EN.CITE &lt;EndNote&gt;&lt;Cite&gt;&lt;Author&gt;Eisenhardt&lt;/Author&gt;&lt;Year&gt;1989&lt;/Year&gt;&lt;RecNum&gt;361&lt;/RecNum&gt;&lt;DisplayText&gt;[22]&lt;/DisplayText&gt;&lt;record&gt;&lt;rec-number&gt;361&lt;/rec-number&gt;&lt;foreign-keys&gt;&lt;key app="EN" db-id="sz9092dv2s5fpze9wpgx0zxgv5ar00aezrvf" timestamp="0"&gt;361&lt;/key&gt;&lt;/foreign-keys&gt;&lt;ref-type name="Journal Article"&gt;17&lt;/ref-type&gt;&lt;contributors&gt;&lt;authors&gt;&lt;author&gt;Eisenhardt, Kathleen M&lt;/author&gt;&lt;/authors&gt;&lt;/contributors&gt;&lt;titles&gt;&lt;title&gt;Building theories from case study research&lt;/title&gt;&lt;secondary-title&gt;Academy of management review&lt;/secondary-title&gt;&lt;/titles&gt;&lt;pages&gt;532-550&lt;/pages&gt;&lt;volume&gt;14&lt;/volume&gt;&lt;number&gt;4&lt;/number&gt;&lt;dates&gt;&lt;year&gt;1989&lt;/year&gt;&lt;/dates&gt;&lt;isbn&gt;0363-7425&lt;/isbn&gt;&lt;urls&gt;&lt;/urls&gt;&lt;/record&gt;&lt;/Cite&gt;&lt;/EndNote&gt;</w:instrText>
      </w:r>
      <w:r w:rsidRPr="00F10391">
        <w:fldChar w:fldCharType="separate"/>
      </w:r>
      <w:r w:rsidR="00700267">
        <w:rPr>
          <w:noProof/>
        </w:rPr>
        <w:t>[22]</w:t>
      </w:r>
      <w:r w:rsidRPr="00F10391">
        <w:fldChar w:fldCharType="end"/>
      </w:r>
      <w:r w:rsidRPr="00F10391">
        <w:t xml:space="preserve">. At present, “applications of MCDA require as much art to be exercised as science”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0051187B">
        <w:t xml:space="preserve"> (p.109)</w:t>
      </w:r>
      <w:r w:rsidRPr="00F10391">
        <w:t xml:space="preserve">, and further case studies are a prerequisite to being able to better articulate and predict what makes one project ‘work’ better than another. </w:t>
      </w:r>
    </w:p>
    <w:p w14:paraId="2F4D73FD" w14:textId="603127C9" w:rsidR="00D22CE3" w:rsidRPr="00F10391" w:rsidRDefault="00D22CE3">
      <w:r w:rsidRPr="00F10391">
        <w:t xml:space="preserve">The reference case within the CPH has changed gradually since its foundation (described in Chapter 4), and the </w:t>
      </w:r>
      <w:r w:rsidR="00DC1C0E">
        <w:t>2014</w:t>
      </w:r>
      <w:r w:rsidRPr="00F10391">
        <w:t xml:space="preserve"> methods manual  </w:t>
      </w:r>
      <w:r w:rsidRPr="00F10391">
        <w:fldChar w:fldCharType="begin"/>
      </w:r>
      <w:r w:rsidR="00700267">
        <w:instrText xml:space="preserve"> ADDIN EN.CITE &lt;EndNote&gt;&lt;Cite&gt;&lt;Author&gt;NICE&lt;/Author&gt;&lt;Year&gt;2014&lt;/Year&gt;&lt;RecNum&gt;189&lt;/RecNum&gt;&lt;DisplayText&gt;[225]&lt;/DisplayText&gt;&lt;record&gt;&lt;rec-number&gt;189&lt;/rec-number&gt;&lt;foreign-keys&gt;&lt;key app="EN" db-id="sz9092dv2s5fpze9wpgx0zxgv5ar00aezrvf" timestamp="0"&gt;189&lt;/key&gt;&lt;/foreign-keys&gt;&lt;ref-type name="Report"&gt;27&lt;/ref-type&gt;&lt;contributors&gt;&lt;authors&gt;&lt;author&gt;NICE&lt;/author&gt;&lt;/authors&gt;&lt;/contributors&gt;&lt;titles&gt;&lt;title&gt;Developing NICE guidelines: the manual.&lt;/title&gt;&lt;/titles&gt;&lt;dates&gt;&lt;year&gt;2014&lt;/year&gt;&lt;/dates&gt;&lt;pub-location&gt;London&lt;/pub-location&gt;&lt;publisher&gt;National Institute for Health and Care Excellence&lt;/publisher&gt;&lt;urls&gt;&lt;/urls&gt;&lt;/record&gt;&lt;/Cite&gt;&lt;/EndNote&gt;</w:instrText>
      </w:r>
      <w:r w:rsidRPr="00F10391">
        <w:fldChar w:fldCharType="separate"/>
      </w:r>
      <w:r w:rsidR="00700267">
        <w:rPr>
          <w:noProof/>
        </w:rPr>
        <w:t>[225]</w:t>
      </w:r>
      <w:r w:rsidRPr="00F10391">
        <w:fldChar w:fldCharType="end"/>
      </w:r>
      <w:r w:rsidRPr="00F10391">
        <w:t xml:space="preserve"> g</w:t>
      </w:r>
      <w:r w:rsidR="00DC1C0E">
        <w:t>ave</w:t>
      </w:r>
      <w:r w:rsidRPr="00F10391">
        <w:t xml:space="preserve"> an increased role to alternative economic evaluation techniques in place of cost-utility analysis. Cost-consequence analysis, for example, allows the expected effects of an intervention to be listed under a number of headings in natural units, rather than translated into the single metric of QALYs gained or lost. These headings may be considered analogous to criteria in certain circumstances, and it would be interesting to apply an MCDA methodology to such an approach. Even without weighting, some alternatives may dominate others (or do so well on criteria considered more important that they are for all intents and purposes dominant). It may be worthwhile to take them further and use actual weighting techniques, initially at a pilot level. This potential approach was developed further in Chapter 5. </w:t>
      </w:r>
    </w:p>
    <w:p w14:paraId="6498917C" w14:textId="256FAF82" w:rsidR="008F47A7" w:rsidRDefault="008F47A7">
      <w:r>
        <w:t xml:space="preserve">This thesis </w:t>
      </w:r>
      <w:r w:rsidR="00EC5702">
        <w:t xml:space="preserve">has identified </w:t>
      </w:r>
      <w:r>
        <w:t>a large number of ‘other factors’ taken into consideration</w:t>
      </w:r>
      <w:r w:rsidR="005E74B0">
        <w:t xml:space="preserve"> in some form </w:t>
      </w:r>
      <w:r>
        <w:t>by NICE</w:t>
      </w:r>
      <w:r w:rsidR="005E74B0">
        <w:t xml:space="preserve"> committees</w:t>
      </w:r>
      <w:r>
        <w:t xml:space="preserve"> as part of their </w:t>
      </w:r>
      <w:r w:rsidR="00AA0B34">
        <w:t>decision-mak</w:t>
      </w:r>
      <w:r>
        <w:t xml:space="preserve">ing process. These could </w:t>
      </w:r>
      <w:r w:rsidR="00130F84">
        <w:t xml:space="preserve">serve as the basis </w:t>
      </w:r>
      <w:r w:rsidR="00DF4185">
        <w:t>for a</w:t>
      </w:r>
      <w:r>
        <w:t xml:space="preserve"> </w:t>
      </w:r>
      <w:r w:rsidR="00183289">
        <w:t>‘</w:t>
      </w:r>
      <w:r>
        <w:t>quick and dirty</w:t>
      </w:r>
      <w:r w:rsidR="00183289">
        <w:t>’</w:t>
      </w:r>
      <w:r>
        <w:t xml:space="preserve"> checklist </w:t>
      </w:r>
      <w:r w:rsidR="00130F84">
        <w:t xml:space="preserve">that </w:t>
      </w:r>
      <w:r w:rsidR="00183289">
        <w:t xml:space="preserve">such </w:t>
      </w:r>
      <w:r>
        <w:t xml:space="preserve">committees could </w:t>
      </w:r>
      <w:r w:rsidR="00130F84">
        <w:t xml:space="preserve">use to record which factors had been taken into account for each piece of guidance. This checklist could be updated going forward to ensure that </w:t>
      </w:r>
      <w:r w:rsidR="00F51F18">
        <w:t>all</w:t>
      </w:r>
      <w:r w:rsidR="00130F84">
        <w:t xml:space="preserve"> relevant criteria are included (as previously stated I did not attempt to be s</w:t>
      </w:r>
      <w:r w:rsidR="00EC5702">
        <w:t xml:space="preserve">ystematic in ensuring that all possible </w:t>
      </w:r>
      <w:r w:rsidR="00130F84">
        <w:t>c</w:t>
      </w:r>
      <w:r w:rsidR="00183289">
        <w:t>riteria were listed). Over time</w:t>
      </w:r>
      <w:r w:rsidR="00130F84">
        <w:t xml:space="preserve">, the </w:t>
      </w:r>
      <w:r w:rsidR="005E74B0">
        <w:t xml:space="preserve">use of such a list could allow decisions to </w:t>
      </w:r>
      <w:r w:rsidR="00130F84">
        <w:t>be analysed using an approach similar to Schmitz et al.</w:t>
      </w:r>
      <w:r w:rsidR="00883193">
        <w:t xml:space="preserve"> </w:t>
      </w:r>
      <w:r w:rsidR="00883193">
        <w:fldChar w:fldCharType="begin"/>
      </w:r>
      <w:r w:rsidR="00700267">
        <w:instrText xml:space="preserve"> ADDIN EN.CITE &lt;EndNote&gt;&lt;Cite&gt;&lt;Author&gt;Schmitz&lt;/Author&gt;&lt;Year&gt;2016&lt;/Year&gt;&lt;RecNum&gt;415&lt;/RecNum&gt;&lt;DisplayText&gt;[323]&lt;/DisplayText&gt;&lt;record&gt;&lt;rec-number&gt;415&lt;/rec-number&gt;&lt;foreign-keys&gt;&lt;key app="EN" db-id="sz9092dv2s5fpze9wpgx0zxgv5ar00aezrvf" timestamp="1460400266"&gt;415&lt;/key&gt;&lt;/foreign-keys&gt;&lt;ref-type name="Journal Article"&gt;17&lt;/ref-type&gt;&lt;contributors&gt;&lt;authors&gt;&lt;author&gt;Schmitz, Susanne&lt;/author&gt;&lt;author&gt;McCullagh, Laura&lt;/author&gt;&lt;author&gt;Adams, Roisin&lt;/author&gt;&lt;author&gt;Barry, Michael&lt;/author&gt;&lt;author&gt;Walsh, Cathal&lt;/author&gt;&lt;/authors&gt;&lt;/contributors&gt;&lt;titles&gt;&lt;title&gt;Identifying and Revealing the Importance of Decision-Making Criteria for Health Technology Assessment: A Retrospective Analysis of Reimbursement Recommendations in Ireland&lt;/title&gt;&lt;secondary-title&gt;PharmacoEconomics&lt;/secondary-title&gt;&lt;/titles&gt;&lt;periodical&gt;&lt;full-title&gt;Pharmacoeconomics&lt;/full-title&gt;&lt;/periodical&gt;&lt;pages&gt;1-13&lt;/pages&gt;&lt;dates&gt;&lt;year&gt;2016&lt;/year&gt;&lt;/dates&gt;&lt;isbn&gt;1170-7690&lt;/isbn&gt;&lt;urls&gt;&lt;/urls&gt;&lt;/record&gt;&lt;/Cite&gt;&lt;/EndNote&gt;</w:instrText>
      </w:r>
      <w:r w:rsidR="00883193">
        <w:fldChar w:fldCharType="separate"/>
      </w:r>
      <w:r w:rsidR="00700267">
        <w:rPr>
          <w:noProof/>
        </w:rPr>
        <w:t>[323]</w:t>
      </w:r>
      <w:r w:rsidR="00883193">
        <w:fldChar w:fldCharType="end"/>
      </w:r>
      <w:r w:rsidR="00130F84">
        <w:t xml:space="preserve"> to test the impact of such factors. This could give insights into NICE decisions regarding issues su</w:t>
      </w:r>
      <w:r w:rsidR="00EC5702">
        <w:t>ch as equity-efficiency trade-</w:t>
      </w:r>
      <w:r w:rsidR="00130F84">
        <w:t>offs.</w:t>
      </w:r>
      <w:r w:rsidR="00DF4185">
        <w:t xml:space="preserve"> </w:t>
      </w:r>
      <w:r w:rsidR="005E74B0">
        <w:t>Such an approach</w:t>
      </w:r>
      <w:r w:rsidR="00DF4185">
        <w:t xml:space="preserve"> would go some way to allay potential criticisms over a lack of transparency and </w:t>
      </w:r>
      <w:r w:rsidR="005E74B0">
        <w:t xml:space="preserve">potentially </w:t>
      </w:r>
      <w:r w:rsidR="00183289">
        <w:t>better ensure</w:t>
      </w:r>
      <w:r w:rsidR="00EC5702">
        <w:t xml:space="preserve"> consistent decisions are taken, including identifying where breaching the threshold is deemed appropriate.</w:t>
      </w:r>
    </w:p>
    <w:p w14:paraId="709BE46A" w14:textId="77777777" w:rsidR="00DF4185" w:rsidRDefault="00130F84">
      <w:r>
        <w:t xml:space="preserve">Equity factors should </w:t>
      </w:r>
      <w:r w:rsidR="00183289">
        <w:t xml:space="preserve">perhaps </w:t>
      </w:r>
      <w:r>
        <w:t>also be considered more explicitly in the</w:t>
      </w:r>
      <w:r w:rsidR="00183289">
        <w:t xml:space="preserve"> economic</w:t>
      </w:r>
      <w:r>
        <w:t xml:space="preserve"> modelling </w:t>
      </w:r>
      <w:r w:rsidR="00183289">
        <w:t>stage</w:t>
      </w:r>
      <w:r>
        <w:t xml:space="preserve">, the one stage of the </w:t>
      </w:r>
      <w:r w:rsidR="00AA0B34">
        <w:t>decision-mak</w:t>
      </w:r>
      <w:r>
        <w:t xml:space="preserve">ing process which is wholly </w:t>
      </w:r>
      <w:r w:rsidR="00CB2E60">
        <w:t>quantitative</w:t>
      </w:r>
      <w:r>
        <w:t xml:space="preserve">. As Sheill argued, </w:t>
      </w:r>
      <w:r w:rsidRPr="00F10391">
        <w:t xml:space="preserve">those issues that are not </w:t>
      </w:r>
      <w:r>
        <w:t>incorporated into the model may be ignored as a result</w:t>
      </w:r>
      <w:r w:rsidR="00883193">
        <w:t xml:space="preserve"> </w:t>
      </w:r>
      <w:r w:rsidR="00883193">
        <w:fldChar w:fldCharType="begin"/>
      </w:r>
      <w:r w:rsidR="00700267">
        <w:instrText xml:space="preserve"> ADDIN EN.CITE &lt;EndNote&gt;&lt;Cite&gt;&lt;Author&gt;Shiell&lt;/Author&gt;&lt;Year&gt;2007&lt;/Year&gt;&lt;RecNum&gt;426&lt;/RecNum&gt;&lt;DisplayText&gt;[317]&lt;/DisplayText&gt;&lt;record&gt;&lt;rec-number&gt;426&lt;/rec-number&gt;&lt;foreign-keys&gt;&lt;key app="EN" db-id="sz9092dv2s5fpze9wpgx0zxgv5ar00aezrvf" timestamp="1461079821"&gt;426&lt;/key&gt;&lt;/foreign-keys&gt;&lt;ref-type name="Journal Article"&gt;17&lt;/ref-type&gt;&lt;contributors&gt;&lt;authors&gt;&lt;author&gt;Shiell, Alan&lt;/author&gt;&lt;/authors&gt;&lt;/contributors&gt;&lt;titles&gt;&lt;title&gt;In search of social value&lt;/title&gt;&lt;secondary-title&gt;International journal of public health&lt;/secondary-title&gt;&lt;/titles&gt;&lt;periodical&gt;&lt;full-title&gt;International journal of public health&lt;/full-title&gt;&lt;/periodical&gt;&lt;pages&gt;333-334&lt;/pages&gt;&lt;volume&gt;52&lt;/volume&gt;&lt;number&gt;6&lt;/number&gt;&lt;dates&gt;&lt;year&gt;2007&lt;/year&gt;&lt;/dates&gt;&lt;isbn&gt;1661-8556&lt;/isbn&gt;&lt;urls&gt;&lt;/urls&gt;&lt;/record&gt;&lt;/Cite&gt;&lt;/EndNote&gt;</w:instrText>
      </w:r>
      <w:r w:rsidR="00883193">
        <w:fldChar w:fldCharType="separate"/>
      </w:r>
      <w:r w:rsidR="00700267">
        <w:rPr>
          <w:noProof/>
        </w:rPr>
        <w:t>[317]</w:t>
      </w:r>
      <w:r w:rsidR="00883193">
        <w:fldChar w:fldCharType="end"/>
      </w:r>
      <w:r w:rsidR="00DF4185">
        <w:t>.</w:t>
      </w:r>
      <w:r w:rsidR="00183289">
        <w:t xml:space="preserve"> An explicit ‘equity weighting’</w:t>
      </w:r>
      <w:r w:rsidR="005E74B0">
        <w:t xml:space="preserve"> may not be required and </w:t>
      </w:r>
      <w:r w:rsidR="00DF4185">
        <w:t>analyses</w:t>
      </w:r>
      <w:r>
        <w:t xml:space="preserve"> could take the form of what-if analyses, or be informed by insights of the </w:t>
      </w:r>
      <w:r w:rsidR="00EC5702">
        <w:t xml:space="preserve">above </w:t>
      </w:r>
      <w:r>
        <w:t xml:space="preserve">checklist </w:t>
      </w:r>
      <w:r w:rsidR="005E74B0">
        <w:t>analysis</w:t>
      </w:r>
      <w:r>
        <w:t xml:space="preserve">. </w:t>
      </w:r>
      <w:r w:rsidR="00DF4185">
        <w:t>The approach could as a result better highlight the importance of equity in subsequent deliberations than the status quo.</w:t>
      </w:r>
    </w:p>
    <w:p w14:paraId="2796AF72" w14:textId="64202FE2" w:rsidR="00D22CE3" w:rsidRPr="00F10391" w:rsidRDefault="00DF4185">
      <w:r>
        <w:t xml:space="preserve">If it is felt that more direct approaches are required, </w:t>
      </w:r>
      <w:r w:rsidR="00183289">
        <w:t xml:space="preserve">including </w:t>
      </w:r>
      <w:r>
        <w:t xml:space="preserve">explicitly weighting the equity impacts of guidance, other approaches may be </w:t>
      </w:r>
      <w:r w:rsidR="00A06A06">
        <w:t>possible</w:t>
      </w:r>
      <w:r>
        <w:t xml:space="preserve">. </w:t>
      </w:r>
      <w:r w:rsidR="00D22CE3" w:rsidRPr="00F10391">
        <w:t xml:space="preserve">Stakeholders may be uncomfortable trading off cost-effectiveness vs. equity directly, effectively ruling out value measurement approaches, which are the most common such approaches in health </w:t>
      </w:r>
      <w:r w:rsidR="00D22CE3" w:rsidRPr="00F10391">
        <w:fldChar w:fldCharType="begin"/>
      </w:r>
      <w:r w:rsidR="00700267">
        <w:instrText xml:space="preserve"> ADDIN EN.CITE &lt;EndNote&gt;&lt;Cite&gt;&lt;Author&gt;Marsh&lt;/Author&gt;&lt;Year&gt;2014&lt;/Year&gt;&lt;RecNum&gt;322&lt;/RecNum&gt;&lt;DisplayText&gt;[128]&lt;/DisplayText&gt;&lt;record&gt;&lt;rec-number&gt;322&lt;/rec-number&gt;&lt;foreign-keys&gt;&lt;key app="EN" db-id="sz9092dv2s5fpze9wpgx0zxgv5ar00aezrvf" timestamp="0"&gt;322&lt;/key&gt;&lt;/foreign-keys&gt;&lt;ref-type name="Journal Article"&gt;17&lt;/ref-type&gt;&lt;contributors&gt;&lt;authors&gt;&lt;author&gt;Marsh, Kevin&lt;/author&gt;&lt;author&gt;Lanitis, Tereza&lt;/author&gt;&lt;author&gt;Neasham, David&lt;/author&gt;&lt;author&gt;Orfanos, Panagiotis&lt;/author&gt;&lt;author&gt;Caro, Jaime&lt;/author&gt;&lt;/authors&gt;&lt;/contributors&gt;&lt;titles&gt;&lt;title&gt;Assessing the value of healthcare interventions using multi-criteria decision analysis: a review of the literature&lt;/title&gt;&lt;secondary-title&gt;Pharmacoeconomics&lt;/secondary-title&gt;&lt;/titles&gt;&lt;periodical&gt;&lt;full-title&gt;Pharmacoeconomics&lt;/full-title&gt;&lt;/periodical&gt;&lt;pages&gt;345-365&lt;/pages&gt;&lt;volume&gt;32&lt;/volume&gt;&lt;number&gt;4&lt;/number&gt;&lt;dates&gt;&lt;year&gt;2014&lt;/year&gt;&lt;/dates&gt;&lt;isbn&gt;1170-7690&lt;/isbn&gt;&lt;urls&gt;&lt;related-urls&gt;&lt;url&gt;http://link.springer.com/article/10.1007%2Fs40273-014-0135-0&lt;/url&gt;&lt;/related-urls&gt;&lt;/urls&gt;&lt;/record&gt;&lt;/Cite&gt;&lt;/EndNote&gt;</w:instrText>
      </w:r>
      <w:r w:rsidR="00D22CE3" w:rsidRPr="00F10391">
        <w:fldChar w:fldCharType="separate"/>
      </w:r>
      <w:r w:rsidR="00700267">
        <w:rPr>
          <w:noProof/>
        </w:rPr>
        <w:t>[128]</w:t>
      </w:r>
      <w:r w:rsidR="00D22CE3" w:rsidRPr="00F10391">
        <w:fldChar w:fldCharType="end"/>
      </w:r>
      <w:r w:rsidR="00D22CE3" w:rsidRPr="00F10391">
        <w:t xml:space="preserve">. So it may be better to consider using approaches that satisfice - i.e. recommend alternatives </w:t>
      </w:r>
      <w:r w:rsidR="00183289">
        <w:t>‘</w:t>
      </w:r>
      <w:r w:rsidR="00D22CE3" w:rsidRPr="00F10391">
        <w:t>good enough</w:t>
      </w:r>
      <w:r w:rsidR="00183289">
        <w:t>’</w:t>
      </w:r>
      <w:r w:rsidR="00EC5702">
        <w:t>,</w:t>
      </w:r>
      <w:r w:rsidR="00D22CE3" w:rsidRPr="00F10391">
        <w:t xml:space="preserve"> especially in key criteria. The most obvious key criterion</w:t>
      </w:r>
      <w:r>
        <w:t xml:space="preserve"> would</w:t>
      </w:r>
      <w:r w:rsidR="00D22CE3" w:rsidRPr="00F10391">
        <w:t xml:space="preserve"> </w:t>
      </w:r>
      <w:r w:rsidR="00183289">
        <w:t xml:space="preserve">likely </w:t>
      </w:r>
      <w:r w:rsidR="00D22CE3" w:rsidRPr="00F10391">
        <w:t>remain the ICER</w:t>
      </w:r>
      <w:r w:rsidR="00183289">
        <w:t>,</w:t>
      </w:r>
      <w:r w:rsidR="00D22CE3" w:rsidRPr="00F10391">
        <w:t xml:space="preserve"> the starting point for current deliberations</w:t>
      </w:r>
      <w:r w:rsidR="00EC5702">
        <w:t xml:space="preserve"> - i</w:t>
      </w:r>
      <w:r w:rsidR="00D22CE3" w:rsidRPr="00F10391">
        <w:t>t is difficult to imagine situations where</w:t>
      </w:r>
      <w:r w:rsidR="00EC5702">
        <w:t xml:space="preserve"> an</w:t>
      </w:r>
      <w:r w:rsidR="00D22CE3" w:rsidRPr="00F10391">
        <w:t xml:space="preserve"> extreme</w:t>
      </w:r>
      <w:r w:rsidR="00EC5702">
        <w:t>ly</w:t>
      </w:r>
      <w:r w:rsidR="00D22CE3" w:rsidRPr="00F10391">
        <w:t xml:space="preserve"> cost-ineffective intervention should be adopted regardless of its performance on other criteria. Outranking approaches </w:t>
      </w:r>
      <w:r w:rsidR="005E74B0">
        <w:t>therefore appear to strongly merit</w:t>
      </w:r>
      <w:r w:rsidR="00D22CE3" w:rsidRPr="00F10391">
        <w:t xml:space="preserve"> further investigations in this regard, which could still be followed by deliberation. </w:t>
      </w:r>
      <w:r>
        <w:t>On the other hand, g</w:t>
      </w:r>
      <w:r w:rsidR="00D22CE3" w:rsidRPr="00F10391">
        <w:t>oal programming methods – while also satisficing – may be too “hard” in an OR sense, potentially undermining further deliberation, by blinding non-experts with scientific</w:t>
      </w:r>
      <w:r w:rsidR="00183289">
        <w:t>-</w:t>
      </w:r>
      <w:r w:rsidR="00D22CE3" w:rsidRPr="00F10391">
        <w:t>looking answers which would be harder to disentangle and understand than other, more accessible approaches.</w:t>
      </w:r>
    </w:p>
    <w:p w14:paraId="5AD5627B" w14:textId="77777777" w:rsidR="00D22CE3" w:rsidRDefault="00D22CE3"/>
    <w:p w14:paraId="4730001F" w14:textId="77777777" w:rsidR="00582388" w:rsidRPr="00F10391" w:rsidRDefault="00582388"/>
    <w:p w14:paraId="17816D45" w14:textId="77777777" w:rsidR="00D22CE3" w:rsidRPr="00F10391" w:rsidRDefault="00D22CE3">
      <w:pPr>
        <w:pStyle w:val="Heading5"/>
      </w:pPr>
      <w:bookmarkStart w:id="868" w:name="_Toc441508913"/>
      <w:bookmarkStart w:id="869" w:name="_Toc313187816"/>
      <w:bookmarkStart w:id="870" w:name="_Toc453235491"/>
      <w:bookmarkStart w:id="871" w:name="_Toc453595564"/>
      <w:bookmarkStart w:id="872" w:name="_Toc476241661"/>
      <w:r w:rsidRPr="00F10391">
        <w:t>8.2.3.1.2</w:t>
      </w:r>
      <w:r w:rsidRPr="00F10391">
        <w:tab/>
        <w:t>Recommendations for policy</w:t>
      </w:r>
      <w:bookmarkEnd w:id="868"/>
      <w:bookmarkEnd w:id="869"/>
      <w:bookmarkEnd w:id="870"/>
      <w:bookmarkEnd w:id="871"/>
      <w:bookmarkEnd w:id="872"/>
    </w:p>
    <w:p w14:paraId="5B49B8E5" w14:textId="77777777" w:rsidR="00D22CE3" w:rsidRPr="00F10391" w:rsidRDefault="00D22CE3">
      <w:r w:rsidRPr="00F10391">
        <w:t xml:space="preserve">The case studies facilitated the bringing together of expert knowledge in a formal, quantifiable manner which can provide more accurate descriptions of reality where limited hard data was available. NICE already utilise expert testimony where such evidence is not accessible, but the use of MCDA may offer another possible way to structure and quantify the evidence generated. While the rankings derived in such circumstances are based upon assumptions (and potentially values) rather than objective facts, these assumptions, including the weightings assigned to criteria and scores assigned to the alternatives, can ultimately be tested explicitly. </w:t>
      </w:r>
    </w:p>
    <w:p w14:paraId="36471850" w14:textId="77777777" w:rsidR="00D22CE3" w:rsidRPr="00F10391" w:rsidRDefault="00D22CE3">
      <w:r w:rsidRPr="00F10391">
        <w:t xml:space="preserve">Such accountability is not as easily accessible with more qualitative or deliberative approaches, which weight and score such approaches implicitly and in camera. As described in Chapter 5, it may even be possible to use an approach that combines the advantages of a CCA with decision analytic techniques in order to draw conclusions as to where the expert consensus is that an intervention is effective, but where no studies are available to estimate this magnitude. </w:t>
      </w:r>
    </w:p>
    <w:p w14:paraId="607C76D9" w14:textId="77777777" w:rsidR="00D22CE3" w:rsidRPr="00F10391" w:rsidRDefault="00D22CE3">
      <w:r w:rsidRPr="00F10391">
        <w:t xml:space="preserve">Allowing openness will better ensure accountability and potentially fairer decisions </w:t>
      </w:r>
      <w:r w:rsidRPr="00F10391">
        <w:fldChar w:fldCharType="begin"/>
      </w:r>
      <w:r w:rsidR="00700267">
        <w:instrText xml:space="preserve"> ADDIN EN.CITE &lt;EndNote&gt;&lt;Cite&gt;&lt;Author&gt;Daniels&lt;/Author&gt;&lt;Year&gt;1998&lt;/Year&gt;&lt;RecNum&gt;31&lt;/RecNum&gt;&lt;DisplayText&gt;[62]&lt;/DisplayText&gt;&lt;record&gt;&lt;rec-number&gt;31&lt;/rec-number&gt;&lt;foreign-keys&gt;&lt;key app="EN" db-id="sz9092dv2s5fpze9wpgx0zxgv5ar00aezrvf" timestamp="0"&gt;31&lt;/key&gt;&lt;/foreign-keys&gt;&lt;ref-type name="Journal Article"&gt;17&lt;/ref-type&gt;&lt;contributors&gt;&lt;authors&gt;&lt;author&gt;Daniels, Norman&lt;/author&gt;&lt;author&gt;Sabin, James&lt;/author&gt;&lt;/authors&gt;&lt;/contributors&gt;&lt;titles&gt;&lt;title&gt;The ethics of accountability in managed care reform&lt;/title&gt;&lt;secondary-title&gt;Health affairs&lt;/secondary-title&gt;&lt;/titles&gt;&lt;pages&gt;50-64&lt;/pages&gt;&lt;volume&gt;17&lt;/volume&gt;&lt;number&gt;5&lt;/number&gt;&lt;dates&gt;&lt;year&gt;1998&lt;/year&gt;&lt;/dates&gt;&lt;isbn&gt;0278-2715&lt;/isbn&gt;&lt;urls&gt;&lt;related-urls&gt;&lt;url&gt;http://content.healthaffairs.org/content/17/5/50.full.pdf&lt;/url&gt;&lt;/related-urls&gt;&lt;/urls&gt;&lt;/record&gt;&lt;/Cite&gt;&lt;/EndNote&gt;</w:instrText>
      </w:r>
      <w:r w:rsidRPr="00F10391">
        <w:fldChar w:fldCharType="separate"/>
      </w:r>
      <w:r w:rsidR="00700267">
        <w:rPr>
          <w:noProof/>
        </w:rPr>
        <w:t>[62]</w:t>
      </w:r>
      <w:r w:rsidRPr="00F10391">
        <w:fldChar w:fldCharType="end"/>
      </w:r>
      <w:r w:rsidRPr="00F10391">
        <w:t>. There is a strong case to – at the very least – start trialling MCDA approaches for decision problems were no such conflict is possible, such as the example of topic appraisal, which contained very limited, if any, health economic component. From there, techniques can start to be embedded into appropriate NICE and local government decision-making processes. As further research becomes available for how best to manage issues regarding trade-offs between equity and efficiency – and decision-makers gain trust in and experience with MCDA approaches – further expansion of MCDA techniques may be possible in future, if so desired.</w:t>
      </w:r>
    </w:p>
    <w:p w14:paraId="21E84F1B" w14:textId="77777777" w:rsidR="00D22CE3" w:rsidRPr="00F10391" w:rsidRDefault="00D22CE3">
      <w:r w:rsidRPr="00F10391">
        <w:t xml:space="preserve">Local governments are likely to have less resources available for detailed analysis, but possess increased knowledge of the local ‘lay of the land’ such as needs and local institutional strengths and weaknesses. NICE may also be able to use its influence to encourage local authorities to use simple, standardised MCDA-derived approaches to probe the possible effects of their decisions. These could be used to better structure local governmental decisions using a standardised framework. Such a framework - using the same generic set of criteria tailored (for example) to each set of guidance - could provide accountability to ensure local governments consider appropriate and consistent factors in their own deliberations, or whether their own special circumstances really do merit taking actions that do not correspond to national guidance. MCDA approaches are very robust </w:t>
      </w:r>
      <w:r w:rsidRPr="00F10391">
        <w:fldChar w:fldCharType="begin"/>
      </w:r>
      <w:r w:rsidR="00700267">
        <w:instrText xml:space="preserve"> ADDIN EN.CITE &lt;EndNote&gt;&lt;Cite&gt;&lt;Author&gt;Von Winterfeldt&lt;/Author&gt;&lt;Year&gt;1986&lt;/Year&gt;&lt;RecNum&gt;149&lt;/RecNum&gt;&lt;DisplayText&gt;[146]&lt;/DisplayText&gt;&lt;record&gt;&lt;rec-number&gt;149&lt;/rec-number&gt;&lt;foreign-keys&gt;&lt;key app="EN" db-id="sz9092dv2s5fpze9wpgx0zxgv5ar00aezrvf" timestamp="0"&gt;149&lt;/key&gt;&lt;/foreign-keys&gt;&lt;ref-type name="Book"&gt;6&lt;/ref-type&gt;&lt;contributors&gt;&lt;authors&gt;&lt;author&gt;Von Winterfeldt, Detlof&lt;/author&gt;&lt;author&gt;Edwards, Ward&lt;/author&gt;&lt;/authors&gt;&lt;/contributors&gt;&lt;titles&gt;&lt;title&gt;Decision analysis and behavioral research&lt;/title&gt;&lt;/titles&gt;&lt;volume&gt;604&lt;/volume&gt;&lt;dates&gt;&lt;year&gt;1986&lt;/year&gt;&lt;/dates&gt;&lt;publisher&gt;Cambridge University Press Cambridge&lt;/publisher&gt;&lt;urls&gt;&lt;/urls&gt;&lt;/record&gt;&lt;/Cite&gt;&lt;/EndNote&gt;</w:instrText>
      </w:r>
      <w:r w:rsidRPr="00F10391">
        <w:fldChar w:fldCharType="separate"/>
      </w:r>
      <w:r w:rsidR="00700267">
        <w:rPr>
          <w:noProof/>
        </w:rPr>
        <w:t>[146]</w:t>
      </w:r>
      <w:r w:rsidRPr="00F10391">
        <w:fldChar w:fldCharType="end"/>
      </w:r>
      <w:r w:rsidRPr="00F10391">
        <w:t xml:space="preserve">, so it may become clear quickly if such deviations are unwarranted. This process would need to be supported to ensure the appropriate implementation of such a technique, at least for a time, though NICE have begun engaging with local governments in a number of ways </w:t>
      </w:r>
      <w:r w:rsidRPr="00F10391">
        <w:fldChar w:fldCharType="begin"/>
      </w:r>
      <w:r w:rsidR="00700267">
        <w:instrText xml:space="preserve"> ADDIN EN.CITE &lt;EndNote&gt;&lt;Cite&gt;&lt;Author&gt;NICE&lt;/Author&gt;&lt;Year&gt;2015&lt;/Year&gt;&lt;RecNum&gt;363&lt;/RecNum&gt;&lt;DisplayText&gt;[241-243]&lt;/DisplayText&gt;&lt;record&gt;&lt;rec-number&gt;363&lt;/rec-number&gt;&lt;foreign-keys&gt;&lt;key app="EN" db-id="septax0fnz0ppweaftoxwaf8dwt952vtx2we" timestamp="1451745803"&gt;363&lt;/key&gt;&lt;/foreign-keys&gt;&lt;ref-type name="Web Page"&gt;12&lt;/ref-type&gt;&lt;contributors&gt;&lt;authors&gt;&lt;author&gt;NICE&lt;/author&gt;&lt;/authors&gt;&lt;/contributors&gt;&lt;titles&gt;&lt;title&gt;Physical activity return on investment tool&lt;/title&gt;&lt;/titles&gt;&lt;volume&gt;2016&lt;/volume&gt;&lt;number&gt;Jan 1&lt;/number&gt;&lt;dates&gt;&lt;year&gt;2015&lt;/year&gt;&lt;/dates&gt;&lt;urls&gt;&lt;related-urls&gt;&lt;url&gt;http://www.nice.org.uk/About/What-we-do/Into-practice/Return-on-investment-tools/Physical-activity-return-on-investment-tool&lt;/url&gt;&lt;/related-urls&gt;&lt;/urls&gt;&lt;/record&gt;&lt;/Cite&gt;&lt;Cite&gt;&lt;Author&gt;NICE&lt;/Author&gt;&lt;Year&gt;2015&lt;/Year&gt;&lt;RecNum&gt;364&lt;/RecNum&gt;&lt;record&gt;&lt;rec-number&gt;364&lt;/rec-number&gt;&lt;foreign-keys&gt;&lt;key app="EN" db-id="septax0fnz0ppweaftoxwaf8dwt952vtx2we" timestamp="1451745884"&gt;364&lt;/key&gt;&lt;/foreign-keys&gt;&lt;ref-type name="Web Page"&gt;12&lt;/ref-type&gt;&lt;contributors&gt;&lt;authors&gt;&lt;author&gt;NICE&lt;/author&gt;&lt;/authors&gt;&lt;/contributors&gt;&lt;titles&gt;&lt;title&gt;Tobacco return on investment tool&lt;/title&gt;&lt;/titles&gt;&lt;volume&gt;2016&lt;/volume&gt;&lt;number&gt;Jan 1&lt;/number&gt;&lt;dates&gt;&lt;year&gt;2015&lt;/year&gt;&lt;/dates&gt;&lt;urls&gt;&lt;related-urls&gt;&lt;url&gt;http://www.nice.org.uk/About/What-we-do/Into-practice/Return-on-investment-tools/Tobacco-Return-on-Investment-tool&lt;/url&gt;&lt;/related-urls&gt;&lt;/urls&gt;&lt;/record&gt;&lt;/Cite&gt;&lt;Cite&gt;&lt;Author&gt;NICE&lt;/Author&gt;&lt;Year&gt;2015&lt;/Year&gt;&lt;RecNum&gt;365&lt;/RecNum&gt;&lt;record&gt;&lt;rec-number&gt;365&lt;/rec-number&gt;&lt;foreign-keys&gt;&lt;key app="EN" db-id="septax0fnz0ppweaftoxwaf8dwt952vtx2we" timestamp="1451745939"&gt;365&lt;/key&gt;&lt;/foreign-keys&gt;&lt;ref-type name="Web Page"&gt;12&lt;/ref-type&gt;&lt;contributors&gt;&lt;authors&gt;&lt;author&gt;NICE&lt;/author&gt;&lt;/authors&gt;&lt;/contributors&gt;&lt;titles&gt;&lt;title&gt;Alcohol return on investment tool&lt;/title&gt;&lt;/titles&gt;&lt;volume&gt;2016&lt;/volume&gt;&lt;number&gt;Jan 1&lt;/number&gt;&lt;dates&gt;&lt;year&gt;2015&lt;/year&gt;&lt;/dates&gt;&lt;urls&gt;&lt;related-urls&gt;&lt;url&gt;http://www.nice.org.uk/About/What-we-do/Into-practice/Return-on-investment-tools/Alcohol-return-on-investment-tool&lt;/url&gt;&lt;/related-urls&gt;&lt;/urls&gt;&lt;/record&gt;&lt;/Cite&gt;&lt;/EndNote&gt;</w:instrText>
      </w:r>
      <w:r w:rsidRPr="00F10391">
        <w:fldChar w:fldCharType="separate"/>
      </w:r>
      <w:r w:rsidR="00700267">
        <w:rPr>
          <w:noProof/>
        </w:rPr>
        <w:t>[241-243]</w:t>
      </w:r>
      <w:r w:rsidRPr="00F10391">
        <w:fldChar w:fldCharType="end"/>
      </w:r>
      <w:r w:rsidRPr="00F10391">
        <w:t xml:space="preserve">. </w:t>
      </w:r>
    </w:p>
    <w:p w14:paraId="682F8457" w14:textId="77777777" w:rsidR="00D22CE3" w:rsidRPr="00F10391" w:rsidRDefault="00D22CE3">
      <w:r w:rsidRPr="00F10391">
        <w:t xml:space="preserve">In both local government and in NICE, MCDA may allow for increased communication of the justification of decisions to the public. This is good for many reasons, including in and of itself. It may also better highlight the opportunity cost of choosing interventions for the sake of societal equity and other factors. </w:t>
      </w:r>
    </w:p>
    <w:p w14:paraId="01F4ED07" w14:textId="77777777" w:rsidR="00D22CE3" w:rsidRPr="00F10391" w:rsidRDefault="00D22CE3">
      <w:r w:rsidRPr="00F10391">
        <w:t xml:space="preserve">This could be done retrospectively if the CPH were to begin articulating which equity aspects have been taken into account in guidance topics from now on. It could also be done prospectively (even without weights) by identifying what weight </w:t>
      </w:r>
      <w:r w:rsidRPr="00F10391">
        <w:rPr>
          <w:i/>
        </w:rPr>
        <w:t>would</w:t>
      </w:r>
      <w:r w:rsidRPr="00F10391">
        <w:t xml:space="preserve"> need to be placed on equity to justify choosing a particular course of action and considering whether this was justifiable. Both approaches may seem radical, but such decisions are already made - though in secret and without any such model to guide it. The use of such approaches may therefore allow for more accountable and consistent decisions in future.</w:t>
      </w:r>
    </w:p>
    <w:p w14:paraId="2C35DCD7" w14:textId="77777777" w:rsidR="00D22CE3" w:rsidRPr="00F10391" w:rsidRDefault="00D22CE3">
      <w:r w:rsidRPr="00F10391">
        <w:t>The incorporation of equity factors into economic modelling is another possible improvement on the status quo. Given that CCA is not yet widely adopted, and modelling is the only stage of the decision process that explicitly describes outcomes explicitly and quantitatively, it seems a pity that these cannot be compared explicitly at the time, to better inform the deliberations (or subsequently for the public or researchers).</w:t>
      </w:r>
    </w:p>
    <w:p w14:paraId="2965FFE6" w14:textId="77777777" w:rsidR="00D22CE3" w:rsidRPr="00F10391" w:rsidRDefault="00D22CE3">
      <w:r w:rsidRPr="00F10391">
        <w:t>Given that a large number of criteria other than cost-effectiveness and equity are also taken into account in decisions, it would be useful to create a checklist specifying which of these has also been taken into account in deliberations, in order to facilitate retroactive analyses of their impact. Again, while this may seem to validate the inclusion of such factors in decisions, these are (assumedly) already taken into account, and without such analyses we have no way of knowing the magnitude of their impact and of debating whether these impacts are appropriate.</w:t>
      </w:r>
    </w:p>
    <w:p w14:paraId="4916D23A" w14:textId="77777777" w:rsidR="00D22CE3" w:rsidRPr="00F10391" w:rsidRDefault="00D22CE3">
      <w:r w:rsidRPr="00F10391">
        <w:t>MCDA has been under consideration in some form in NICE for some years, as described in Chapter 5, though they seem unclear where to go next with them. It is important to reiterate that the use of MCDA approaches need not replace the current “HTA plus deliberation” process used in NICE committees. It is probably neither possible nor necessary to undertake a start-to-finish super-QALY technique to better distribute “welfare” or some other objective function, rather than health. But MCDA can likely help in multiple smaller ways, which could cumulatively add up to meaningful improvements on the current processes nonetheless.</w:t>
      </w:r>
    </w:p>
    <w:p w14:paraId="0B8BD357" w14:textId="77777777" w:rsidR="00D22CE3" w:rsidRPr="00F10391" w:rsidRDefault="00D22CE3">
      <w:r w:rsidRPr="00F10391">
        <w:t xml:space="preserve">Because of the dangers of conflating costs and benefits in an MCDA process, it seems ill-advised to attempt trade off cost-effectiveness against other factors at this time (even if this arguably mirrors the current process whereby ICERs are considered and then, if necessary, other factors in deliberations). In practice, regardless of other factors, if an intervention is deemed to be extremely cost-ineffective it is unlikely to be recommended. Outranking approaches, which punish poor performances on key criteria, may be better suited to modelling the current human decision-making process in future. But this does not mean that human decisions should be replaced by an overly prescriptive algorithm. Deliberation should remain before the final decision is made – and there is good reasons why nowhere is a solely algorithmic approach being followed at in approving a drug </w:t>
      </w:r>
      <w:r w:rsidRPr="00F10391">
        <w:fldChar w:fldCharType="begin"/>
      </w:r>
      <w:r w:rsidR="00700267">
        <w:instrText xml:space="preserve"> ADDIN EN.CITE &lt;EndNote&gt;&lt;Cite&gt;&lt;Author&gt;Phillips&lt;/Author&gt;&lt;Year&gt;2011&lt;/Year&gt;&lt;RecNum&gt;111&lt;/RecNum&gt;&lt;DisplayText&gt;[92]&lt;/DisplayText&gt;&lt;record&gt;&lt;rec-number&gt;111&lt;/rec-number&gt;&lt;foreign-keys&gt;&lt;key app="EN" db-id="sz9092dv2s5fpze9wpgx0zxgv5ar00aezrvf" timestamp="0"&gt;111&lt;/key&gt;&lt;/foreign-keys&gt;&lt;ref-type name="Journal Article"&gt;17&lt;/ref-type&gt;&lt;contributors&gt;&lt;authors&gt;&lt;author&gt;Phillips, Lawrence D&lt;/author&gt;&lt;author&gt;Fasolo, Barbara&lt;/author&gt;&lt;author&gt;Zafiropoulos, Nikolaos&lt;/author&gt;&lt;author&gt;Beyer, Andrea&lt;/author&gt;&lt;/authors&gt;&lt;/contributors&gt;&lt;titles&gt;&lt;title&gt;Is quantitative benefit–risk modelling of drugs desirable or possible?&lt;/title&gt;&lt;secondary-title&gt;Drug discovery today: technologies&lt;/secondary-title&gt;&lt;/titles&gt;&lt;pages&gt;e3-e10&lt;/pages&gt;&lt;volume&gt;8&lt;/volume&gt;&lt;number&gt;1&lt;/number&gt;&lt;dates&gt;&lt;year&gt;2011&lt;/year&gt;&lt;/dates&gt;&lt;isbn&gt;1740-6749&lt;/isbn&gt;&lt;urls&gt;&lt;/urls&gt;&lt;/record&gt;&lt;/Cite&gt;&lt;/EndNote&gt;</w:instrText>
      </w:r>
      <w:r w:rsidRPr="00F10391">
        <w:fldChar w:fldCharType="separate"/>
      </w:r>
      <w:r w:rsidR="00700267">
        <w:rPr>
          <w:noProof/>
        </w:rPr>
        <w:t>[92]</w:t>
      </w:r>
      <w:r w:rsidRPr="00F10391">
        <w:fldChar w:fldCharType="end"/>
      </w:r>
      <w:r w:rsidRPr="00F10391">
        <w:t>.</w:t>
      </w:r>
    </w:p>
    <w:p w14:paraId="0E376309" w14:textId="77777777" w:rsidR="00D22CE3" w:rsidRPr="00F10391" w:rsidRDefault="00D22CE3">
      <w:r w:rsidRPr="00F10391">
        <w:t>The use of MCDA remains possible alongside, rather than in conflict with, current health economics approaches. Chapter 6 showed that it could be used at sub-stages to structure decision-making in situations that do not relate to the cost-effectiveness threshold. It could in theory be used to structure deliberations in complex cases, in much the same way as how CCA is occasionally used across a number of criteria. It could be used in such a scenario to check possible interventions for dominance, or similarly as part of a what-if analysis that investigated if the weights required to arrive at a given outcome were plausible. Identifying such approaches quantitatively again may serve as a vehicle for further deliberations to focus discussion on disagreements of actual consequence. Rankings could even, if desired, be derived using explicit weights (as implied as a possibility in the methods manual) and thereafter communicate the different impacts of interventions more clearly to decision-makers (and subsequently to the public). This would avoid having to generate an overarching ‘welfare threshold’, while adding an extra layer of mathematical and logical justification to CCA decision process. All such approaches could be used subsequent to the HTA process and prior to deliberations – and would therefore not appear to pose any threat to the coherence of the current process.</w:t>
      </w:r>
    </w:p>
    <w:p w14:paraId="7DDF0D1C" w14:textId="77777777" w:rsidR="00D22CE3" w:rsidRPr="00F10391" w:rsidRDefault="00D22CE3"/>
    <w:p w14:paraId="7106D7E4" w14:textId="77777777" w:rsidR="00D22CE3" w:rsidRPr="00F10391" w:rsidRDefault="00D22CE3">
      <w:pPr>
        <w:pStyle w:val="Numberedheading2"/>
        <w:rPr>
          <w:sz w:val="18"/>
          <w:szCs w:val="18"/>
        </w:rPr>
      </w:pPr>
      <w:bookmarkStart w:id="873" w:name="_Toc453235492"/>
      <w:bookmarkStart w:id="874" w:name="_Toc453595565"/>
      <w:bookmarkStart w:id="875" w:name="_Toc476241662"/>
      <w:r w:rsidRPr="00F10391">
        <w:rPr>
          <w:rFonts w:eastAsia="SimSun"/>
        </w:rPr>
        <w:t>8.3</w:t>
      </w:r>
      <w:r w:rsidRPr="00F10391">
        <w:rPr>
          <w:rFonts w:eastAsia="SimSun"/>
        </w:rPr>
        <w:tab/>
      </w:r>
      <w:r w:rsidRPr="00F10391">
        <w:rPr>
          <w:rFonts w:eastAsia="SimSun"/>
        </w:rPr>
        <w:tab/>
      </w:r>
      <w:r w:rsidRPr="00F10391">
        <w:t>Strengths and weaknesses of the thesis</w:t>
      </w:r>
      <w:bookmarkEnd w:id="864"/>
      <w:bookmarkEnd w:id="873"/>
      <w:bookmarkEnd w:id="874"/>
      <w:bookmarkEnd w:id="875"/>
    </w:p>
    <w:p w14:paraId="2E95353F" w14:textId="77777777" w:rsidR="00D22CE3" w:rsidRPr="00F10391" w:rsidRDefault="00D22CE3"/>
    <w:p w14:paraId="2D288FA0" w14:textId="77777777" w:rsidR="00D22CE3" w:rsidRPr="00F10391" w:rsidRDefault="00D22CE3">
      <w:r w:rsidRPr="00F10391">
        <w:t xml:space="preserve">I tried from the early days of the thesis to ensure that it reflected a pragmatic approach – and had no interest in spending years studying an abstract topic that would not have a meaningful practical impact. To me the thesis’ greatest strength is the impact that it did have – particularly in South Yorkshire and NICE and in the general success I had at dissemination with papers, chapters and presentations arising from the research generated. </w:t>
      </w:r>
    </w:p>
    <w:p w14:paraId="081AA985" w14:textId="77777777" w:rsidR="00D22CE3" w:rsidRPr="00F10391" w:rsidRDefault="00D22CE3">
      <w:r w:rsidRPr="00F10391">
        <w:t>On the other hand, this drive for pragmatism, was in hindsight perhaps also a hindrance. At times I probably dived headlong into studies too quickly, rather than better understanding all possible methodological approaches. Most obviously, the secondment that fed into Chapter 4 seemed at the time so self-evidently a good idea that, as a result, I did not spend enough time in advance specifying exactly what my aims were for my time there, other than to learn about NICE processes through some sort of unspecified osmosis. This resulted in a long chapter that tries to achieve a lot, and touches on many aspects of NICE decision-making, but which could probably have been better designed.</w:t>
      </w:r>
    </w:p>
    <w:p w14:paraId="01E6163B" w14:textId="77777777" w:rsidR="00D22CE3" w:rsidRPr="00F10391" w:rsidRDefault="00D22CE3">
      <w:r w:rsidRPr="00F10391">
        <w:t>Neither case study found a way to incorporate meaningful, pre-specified comparators – and there may have been, with a more thorough design, some better way to attempt to capture these than was the case. Chapters 6 to 7 missed the opportunity to incorporate some kind of robust case study methodology from the start, and arguably could have used more formal approaches the than flexible soft OR-style perspective, making results more powerful and less open to criticism.</w:t>
      </w:r>
    </w:p>
    <w:p w14:paraId="72EF90C6" w14:textId="77777777" w:rsidR="00D22CE3" w:rsidRPr="00F10391" w:rsidRDefault="00D22CE3">
      <w:r w:rsidRPr="00F10391">
        <w:t>However, no study is perfect and methodological blind spots generally, by their nature, only appear in hindsight. Attempting to design a process that covers all possible eventualities may make it difficult to ever arrive at the point of actually carrying out research. Highlighting such weaknesses in the limitations or ‘strengths and weaknesses’ sections are a fair price to be paid for this. Hopefully I can learn from such issues going forward.</w:t>
      </w:r>
    </w:p>
    <w:p w14:paraId="6B91F6BD" w14:textId="77777777" w:rsidR="00D22CE3" w:rsidRPr="00F10391" w:rsidRDefault="00D22CE3">
      <w:r w:rsidRPr="00F10391">
        <w:t xml:space="preserve">Apart from these broader themes, each chapter in hindsight had smaller limitations of its own, which are listed throughout. </w:t>
      </w:r>
    </w:p>
    <w:p w14:paraId="59B39656" w14:textId="7C354450" w:rsidR="00D22CE3" w:rsidRDefault="00D22CE3">
      <w:r w:rsidRPr="00F10391">
        <w:t xml:space="preserve">The thesis was a learning process by its nature and I tried to improve upon prior mistakes as I went through it. For example, the tobacco project described in Chapter 7 was wholly more thorough as a start-to-finish decision process than the pilot decision conference described in the prior chapter. This likely influenced the fact that this project has so far had greater impact in practice. The recently published second ISPOR taskforce report on MCDA </w:t>
      </w:r>
      <w:r w:rsidRPr="00F10391">
        <w:fldChar w:fldCharType="begin"/>
      </w:r>
      <w:r w:rsidR="00D24504">
        <w:instrText xml:space="preserve"> ADDIN EN.CITE &lt;EndNote&gt;&lt;Cite&gt;&lt;Author&gt;Thokala&lt;/Author&gt;&lt;Year&gt;2016&lt;/Year&gt;&lt;RecNum&gt;367&lt;/RecNum&gt;&lt;DisplayText&gt;[335]&lt;/DisplayText&gt;&lt;record&gt;&lt;rec-number&gt;367&lt;/rec-number&gt;&lt;foreign-keys&gt;&lt;key app="EN" db-id="sz9092dv2s5fpze9wpgx0zxgv5ar00aezrvf" timestamp="1455902762"&gt;367&lt;/key&gt;&lt;/foreign-keys&gt;&lt;ref-type name="Journal Article"&gt;17&lt;/ref-type&gt;&lt;contributors&gt;&lt;authors&gt;&lt;author&gt;Marsh K; IJzerman M; Thokala P; Baltussen R; Boysen, M;  Kaló, Z; Lönngren, T; Mussen, F; Peacock, S; Watkins, J; Devlin N&lt;/author&gt;&lt;/authors&gt;&lt;/contributors&gt;&lt;titles&gt;&lt;title&gt;MCDA for Health Care Decisions - Emerging Good Practices: Report 2 of the ISPOR MCDA Task Force &lt;/title&gt;&lt;secondary-title&gt;Value in Health&lt;/secondary-title&gt;&lt;/titles&gt;&lt;periodical&gt;&lt;full-title&gt;Value in Health&lt;/full-title&gt;&lt;/periodical&gt;&lt;pages&gt;125-137&lt;/pages&gt;&lt;volume&gt;19&lt;/volume&gt;&lt;dates&gt;&lt;year&gt;2016&lt;/year&gt;&lt;/dates&gt;&lt;urls&gt;&lt;/urls&gt;&lt;/record&gt;&lt;/Cite&gt;&lt;/EndNote&gt;</w:instrText>
      </w:r>
      <w:r w:rsidRPr="00F10391">
        <w:fldChar w:fldCharType="separate"/>
      </w:r>
      <w:r w:rsidR="00D24504">
        <w:rPr>
          <w:noProof/>
        </w:rPr>
        <w:t>[335]</w:t>
      </w:r>
      <w:r w:rsidRPr="00F10391">
        <w:fldChar w:fldCharType="end"/>
      </w:r>
      <w:r w:rsidRPr="00F10391">
        <w:t xml:space="preserve"> </w:t>
      </w:r>
      <w:r w:rsidR="00010343">
        <w:t xml:space="preserve">(p.127) </w:t>
      </w:r>
      <w:r w:rsidRPr="00F10391">
        <w:t xml:space="preserve">states that the reporting of case studies should specify:  </w:t>
      </w:r>
    </w:p>
    <w:p w14:paraId="228AA67A" w14:textId="77777777" w:rsidR="00CE299C" w:rsidRPr="00F10391" w:rsidRDefault="00CE299C"/>
    <w:p w14:paraId="599B4DD0" w14:textId="77777777" w:rsidR="00D22CE3" w:rsidRPr="00F10391" w:rsidRDefault="00D22CE3">
      <w:pPr>
        <w:pStyle w:val="ListParagraph"/>
        <w:numPr>
          <w:ilvl w:val="0"/>
          <w:numId w:val="60"/>
        </w:numPr>
      </w:pPr>
      <w:r w:rsidRPr="00F10391">
        <w:t xml:space="preserve">Defining the decision problem </w:t>
      </w:r>
    </w:p>
    <w:p w14:paraId="360505F8" w14:textId="77777777" w:rsidR="00D22CE3" w:rsidRPr="00F10391" w:rsidRDefault="00D22CE3">
      <w:pPr>
        <w:pStyle w:val="ListParagraph"/>
        <w:numPr>
          <w:ilvl w:val="1"/>
          <w:numId w:val="60"/>
        </w:numPr>
      </w:pPr>
      <w:r w:rsidRPr="00F10391">
        <w:t xml:space="preserve">Develop a clear description of the decision problem </w:t>
      </w:r>
    </w:p>
    <w:p w14:paraId="79C2DA06" w14:textId="77777777" w:rsidR="00D22CE3" w:rsidRPr="00F10391" w:rsidRDefault="00D22CE3">
      <w:pPr>
        <w:pStyle w:val="ListParagraph"/>
        <w:numPr>
          <w:ilvl w:val="1"/>
          <w:numId w:val="60"/>
        </w:numPr>
      </w:pPr>
      <w:r w:rsidRPr="00F10391">
        <w:t xml:space="preserve">Validate and report the decision problem </w:t>
      </w:r>
    </w:p>
    <w:p w14:paraId="43331DB4" w14:textId="77777777" w:rsidR="00D22CE3" w:rsidRPr="00F10391" w:rsidRDefault="00D22CE3">
      <w:pPr>
        <w:pStyle w:val="ListParagraph"/>
        <w:numPr>
          <w:ilvl w:val="0"/>
          <w:numId w:val="60"/>
        </w:numPr>
      </w:pPr>
      <w:r w:rsidRPr="00F10391">
        <w:t xml:space="preserve">Selecting and structuring criteria </w:t>
      </w:r>
    </w:p>
    <w:p w14:paraId="1B07503E" w14:textId="77777777" w:rsidR="00D22CE3" w:rsidRPr="00F10391" w:rsidRDefault="00D22CE3">
      <w:pPr>
        <w:pStyle w:val="ListParagraph"/>
        <w:numPr>
          <w:ilvl w:val="1"/>
          <w:numId w:val="60"/>
        </w:numPr>
      </w:pPr>
      <w:r w:rsidRPr="00F10391">
        <w:t xml:space="preserve">Report and justify the methods used to identify criteria </w:t>
      </w:r>
    </w:p>
    <w:p w14:paraId="029E29CD" w14:textId="77777777" w:rsidR="00D22CE3" w:rsidRPr="00F10391" w:rsidRDefault="00D22CE3">
      <w:pPr>
        <w:pStyle w:val="ListParagraph"/>
        <w:numPr>
          <w:ilvl w:val="1"/>
          <w:numId w:val="60"/>
        </w:numPr>
      </w:pPr>
      <w:r w:rsidRPr="00F10391">
        <w:t xml:space="preserve">Report and justify the criteria definitions </w:t>
      </w:r>
    </w:p>
    <w:p w14:paraId="08B657B2" w14:textId="77777777" w:rsidR="00D22CE3" w:rsidRPr="00F10391" w:rsidRDefault="00D22CE3">
      <w:pPr>
        <w:pStyle w:val="ListParagraph"/>
        <w:numPr>
          <w:ilvl w:val="1"/>
          <w:numId w:val="60"/>
        </w:numPr>
      </w:pPr>
      <w:r w:rsidRPr="00F10391">
        <w:t xml:space="preserve">Validate and report the criteria and the value tree </w:t>
      </w:r>
    </w:p>
    <w:p w14:paraId="564F0050" w14:textId="77777777" w:rsidR="00D22CE3" w:rsidRPr="00F10391" w:rsidRDefault="00D22CE3">
      <w:pPr>
        <w:pStyle w:val="ListParagraph"/>
        <w:numPr>
          <w:ilvl w:val="0"/>
          <w:numId w:val="60"/>
        </w:numPr>
      </w:pPr>
      <w:r w:rsidRPr="00F10391">
        <w:t xml:space="preserve">Measuring performance </w:t>
      </w:r>
    </w:p>
    <w:p w14:paraId="2FCBD3D2" w14:textId="77777777" w:rsidR="00D22CE3" w:rsidRPr="00F10391" w:rsidRDefault="00D22CE3">
      <w:pPr>
        <w:pStyle w:val="ListParagraph"/>
        <w:numPr>
          <w:ilvl w:val="1"/>
          <w:numId w:val="60"/>
        </w:numPr>
      </w:pPr>
      <w:r w:rsidRPr="00F10391">
        <w:t xml:space="preserve">Report and justify the sources used to measure performance </w:t>
      </w:r>
    </w:p>
    <w:p w14:paraId="3989F6E2" w14:textId="77777777" w:rsidR="00D22CE3" w:rsidRPr="00F10391" w:rsidRDefault="00D22CE3">
      <w:pPr>
        <w:pStyle w:val="ListParagraph"/>
        <w:numPr>
          <w:ilvl w:val="1"/>
          <w:numId w:val="60"/>
        </w:numPr>
      </w:pPr>
      <w:r w:rsidRPr="00F10391">
        <w:t xml:space="preserve">Validate and report the performance matrix </w:t>
      </w:r>
    </w:p>
    <w:p w14:paraId="7CD0FC89" w14:textId="77777777" w:rsidR="00D22CE3" w:rsidRPr="00F10391" w:rsidRDefault="00D22CE3">
      <w:pPr>
        <w:pStyle w:val="ListParagraph"/>
        <w:numPr>
          <w:ilvl w:val="0"/>
          <w:numId w:val="60"/>
        </w:numPr>
      </w:pPr>
      <w:r w:rsidRPr="00F10391">
        <w:t xml:space="preserve">Scoring alternatives </w:t>
      </w:r>
    </w:p>
    <w:p w14:paraId="78751C10" w14:textId="77777777" w:rsidR="00D22CE3" w:rsidRPr="00F10391" w:rsidRDefault="00D22CE3">
      <w:pPr>
        <w:pStyle w:val="ListParagraph"/>
        <w:numPr>
          <w:ilvl w:val="1"/>
          <w:numId w:val="60"/>
        </w:numPr>
      </w:pPr>
      <w:r w:rsidRPr="00F10391">
        <w:t>Report and justify the methods used for scoring</w:t>
      </w:r>
    </w:p>
    <w:p w14:paraId="3FC27B3D" w14:textId="77777777" w:rsidR="00D22CE3" w:rsidRPr="00F10391" w:rsidRDefault="00D22CE3">
      <w:pPr>
        <w:pStyle w:val="ListParagraph"/>
        <w:numPr>
          <w:ilvl w:val="1"/>
          <w:numId w:val="60"/>
        </w:numPr>
      </w:pPr>
      <w:r w:rsidRPr="00F10391">
        <w:t xml:space="preserve">Validate and report scores </w:t>
      </w:r>
    </w:p>
    <w:p w14:paraId="22FE9C84" w14:textId="77777777" w:rsidR="00D22CE3" w:rsidRPr="00F10391" w:rsidRDefault="00D22CE3">
      <w:pPr>
        <w:pStyle w:val="ListParagraph"/>
        <w:numPr>
          <w:ilvl w:val="0"/>
          <w:numId w:val="60"/>
        </w:numPr>
      </w:pPr>
      <w:r w:rsidRPr="00F10391">
        <w:t xml:space="preserve">Weighting criteria </w:t>
      </w:r>
    </w:p>
    <w:p w14:paraId="1CC74720" w14:textId="77777777" w:rsidR="00D22CE3" w:rsidRPr="00F10391" w:rsidRDefault="00D22CE3">
      <w:pPr>
        <w:pStyle w:val="ListParagraph"/>
        <w:numPr>
          <w:ilvl w:val="1"/>
          <w:numId w:val="60"/>
        </w:numPr>
      </w:pPr>
      <w:r w:rsidRPr="00F10391">
        <w:t xml:space="preserve">Report and justify the methods used for weighting </w:t>
      </w:r>
    </w:p>
    <w:p w14:paraId="240061EE" w14:textId="77777777" w:rsidR="00D22CE3" w:rsidRPr="00F10391" w:rsidRDefault="00D22CE3">
      <w:pPr>
        <w:pStyle w:val="ListParagraph"/>
        <w:numPr>
          <w:ilvl w:val="1"/>
          <w:numId w:val="60"/>
        </w:numPr>
      </w:pPr>
      <w:r w:rsidRPr="00F10391">
        <w:t xml:space="preserve">Validate and report weights </w:t>
      </w:r>
    </w:p>
    <w:p w14:paraId="3DB9AFFE" w14:textId="77777777" w:rsidR="00D22CE3" w:rsidRPr="00F10391" w:rsidRDefault="00D22CE3">
      <w:pPr>
        <w:pStyle w:val="ListParagraph"/>
        <w:numPr>
          <w:ilvl w:val="0"/>
          <w:numId w:val="60"/>
        </w:numPr>
      </w:pPr>
      <w:r w:rsidRPr="00F10391">
        <w:t>Calculating aggregate scores</w:t>
      </w:r>
    </w:p>
    <w:p w14:paraId="17A17686" w14:textId="77777777" w:rsidR="00D22CE3" w:rsidRPr="00F10391" w:rsidRDefault="00D22CE3">
      <w:pPr>
        <w:pStyle w:val="ListParagraph"/>
        <w:numPr>
          <w:ilvl w:val="1"/>
          <w:numId w:val="60"/>
        </w:numPr>
      </w:pPr>
      <w:r w:rsidRPr="00F10391">
        <w:t xml:space="preserve">Report and justify the aggregation function used </w:t>
      </w:r>
    </w:p>
    <w:p w14:paraId="284C9E97" w14:textId="77777777" w:rsidR="00D22CE3" w:rsidRPr="00F10391" w:rsidRDefault="00D22CE3">
      <w:pPr>
        <w:pStyle w:val="ListParagraph"/>
        <w:numPr>
          <w:ilvl w:val="1"/>
          <w:numId w:val="60"/>
        </w:numPr>
      </w:pPr>
      <w:r w:rsidRPr="00F10391">
        <w:t xml:space="preserve">Validate and report results of the aggregation </w:t>
      </w:r>
    </w:p>
    <w:p w14:paraId="1E6CCB44" w14:textId="77777777" w:rsidR="00D22CE3" w:rsidRPr="00F10391" w:rsidRDefault="00D22CE3">
      <w:pPr>
        <w:pStyle w:val="ListParagraph"/>
        <w:numPr>
          <w:ilvl w:val="0"/>
          <w:numId w:val="60"/>
        </w:numPr>
      </w:pPr>
      <w:r w:rsidRPr="00F10391">
        <w:t xml:space="preserve">Dealing with uncertainty </w:t>
      </w:r>
    </w:p>
    <w:p w14:paraId="4EBEC353" w14:textId="77777777" w:rsidR="00D22CE3" w:rsidRPr="00F10391" w:rsidRDefault="00D22CE3">
      <w:pPr>
        <w:pStyle w:val="ListParagraph"/>
        <w:numPr>
          <w:ilvl w:val="1"/>
          <w:numId w:val="60"/>
        </w:numPr>
      </w:pPr>
      <w:r w:rsidRPr="00F10391">
        <w:t xml:space="preserve">Report sources of uncertainty </w:t>
      </w:r>
    </w:p>
    <w:p w14:paraId="075815E8" w14:textId="77777777" w:rsidR="00D22CE3" w:rsidRPr="00F10391" w:rsidRDefault="00D22CE3">
      <w:pPr>
        <w:pStyle w:val="ListParagraph"/>
        <w:numPr>
          <w:ilvl w:val="1"/>
          <w:numId w:val="60"/>
        </w:numPr>
      </w:pPr>
      <w:r w:rsidRPr="00F10391">
        <w:t xml:space="preserve">Report and justify the uncertainty analysis </w:t>
      </w:r>
    </w:p>
    <w:p w14:paraId="594D1516" w14:textId="77777777" w:rsidR="00D22CE3" w:rsidRPr="00F10391" w:rsidRDefault="00D22CE3">
      <w:pPr>
        <w:pStyle w:val="ListParagraph"/>
        <w:numPr>
          <w:ilvl w:val="0"/>
          <w:numId w:val="60"/>
        </w:numPr>
      </w:pPr>
      <w:r w:rsidRPr="00F10391">
        <w:t xml:space="preserve">Reporting and examining of findings </w:t>
      </w:r>
    </w:p>
    <w:p w14:paraId="7D2EC27B" w14:textId="77777777" w:rsidR="00D22CE3" w:rsidRPr="00F10391" w:rsidRDefault="00D22CE3">
      <w:pPr>
        <w:pStyle w:val="ListParagraph"/>
        <w:numPr>
          <w:ilvl w:val="1"/>
          <w:numId w:val="60"/>
        </w:numPr>
      </w:pPr>
      <w:r w:rsidRPr="00F10391">
        <w:t xml:space="preserve">Report the MCDA method and findings </w:t>
      </w:r>
    </w:p>
    <w:p w14:paraId="05E7F28E" w14:textId="77777777" w:rsidR="00D22CE3" w:rsidRPr="00F10391" w:rsidRDefault="00D22CE3">
      <w:pPr>
        <w:pStyle w:val="ListParagraph"/>
        <w:numPr>
          <w:ilvl w:val="1"/>
          <w:numId w:val="60"/>
        </w:numPr>
      </w:pPr>
      <w:r w:rsidRPr="00F10391">
        <w:t>Examine the MCDA finding</w:t>
      </w:r>
    </w:p>
    <w:p w14:paraId="2E50ED74" w14:textId="77777777" w:rsidR="00D22CE3" w:rsidRPr="00F10391" w:rsidRDefault="00D22CE3">
      <w:r w:rsidRPr="00F10391">
        <w:t xml:space="preserve">Though published after these approaches were written, both chapters in the intervention development and implementation stage seem to be reported in line with these requirements. The 8 steps above correspond closely to the steps listed by Dodgson et al. </w:t>
      </w:r>
      <w:r w:rsidRPr="00F10391">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Pr="00F10391">
        <w:fldChar w:fldCharType="separate"/>
      </w:r>
      <w:r w:rsidR="00700267">
        <w:rPr>
          <w:noProof/>
        </w:rPr>
        <w:t>[125]</w:t>
      </w:r>
      <w:r w:rsidRPr="00F10391">
        <w:fldChar w:fldCharType="end"/>
      </w:r>
      <w:r w:rsidRPr="00F10391">
        <w:t xml:space="preserve"> that were used as a basis to structure the methods section of both chapters. However, the focus in the ISPOR report on ensuring validation at every stage of the process is a timely and useful addition, which may refocus the facilitator’s attention on ensuring results are acceptable to and owned by the decision-makers. Here, as elsewhere in the thesis, incorporating such context and human values into the model are likely vital if it is to have the maximum possible impact. Overly complex mathematical-looking models may disfranchise decision-makers rather than inform them </w:t>
      </w:r>
      <w:r w:rsidRPr="00F10391">
        <w:fldChar w:fldCharType="begin"/>
      </w:r>
      <w:r w:rsidR="00700267">
        <w:instrText xml:space="preserve"> ADDIN EN.CITE &lt;EndNote&gt;&lt;Cite&gt;&lt;Author&gt;Wilson&lt;/Author&gt;&lt;Year&gt;2009&lt;/Year&gt;&lt;RecNum&gt;159&lt;/RecNum&gt;&lt;DisplayText&gt;[126]&lt;/DisplayText&gt;&lt;record&gt;&lt;rec-number&gt;159&lt;/rec-number&gt;&lt;foreign-keys&gt;&lt;key app="EN" db-id="sz9092dv2s5fpze9wpgx0zxgv5ar00aezrvf" timestamp="0"&gt;159&lt;/key&gt;&lt;/foreign-keys&gt;&lt;ref-type name="Journal Article"&gt;17&lt;/ref-type&gt;&lt;contributors&gt;&lt;authors&gt;&lt;author&gt;Wilson, Edward CF&lt;/author&gt;&lt;author&gt;Peacock, Stuart J&lt;/author&gt;&lt;author&gt;Ruta, Danny&lt;/author&gt;&lt;/authors&gt;&lt;/contributors&gt;&lt;titles&gt;&lt;title&gt;Priority setting in practice: what is the best way to compare costs and benefits?&lt;/title&gt;&lt;secondary-title&gt;Health economics&lt;/secondary-title&gt;&lt;/titles&gt;&lt;periodical&gt;&lt;full-title&gt;Health economics&lt;/full-title&gt;&lt;/periodical&gt;&lt;pages&gt;467-478&lt;/pages&gt;&lt;volume&gt;18&lt;/volume&gt;&lt;number&gt;4&lt;/number&gt;&lt;dates&gt;&lt;year&gt;2009&lt;/year&gt;&lt;/dates&gt;&lt;isbn&gt;1099-1050&lt;/isbn&gt;&lt;urls&gt;&lt;related-urls&gt;&lt;url&gt;http://onlinelibrary.wiley.com/doi/10.1002/hec.1380/abstract&lt;/url&gt;&lt;url&gt;http://onlinelibrary.wiley.com/store/10.1002/hec.1380/asset/1380_ftp.pdf?v=1&amp;amp;t=i4h4bns0&amp;amp;s=f380b9e68299d05ab82f77446a6d10ad82f3fd8e&lt;/url&gt;&lt;url&gt;http://onlinelibrary.wiley.com/doi/10.1002/hec.1380/abstract?systemMessage=Wiley+Online+Library+will+be+unavailable+for+up+to+3+hours+on+Saturday+19th+March+2016+from++11%3A00-14%3A00+GMT+%2F+07%3A00-10%3A00+EDT+%2F+19%3A00-22%3A00+SGT+for+essential+maintenance.++Apologies+for+the+inconvenience.&lt;/url&gt;&lt;/related-urls&gt;&lt;/urls&gt;&lt;/record&gt;&lt;/Cite&gt;&lt;/EndNote&gt;</w:instrText>
      </w:r>
      <w:r w:rsidRPr="00F10391">
        <w:fldChar w:fldCharType="separate"/>
      </w:r>
      <w:r w:rsidR="00700267">
        <w:rPr>
          <w:noProof/>
        </w:rPr>
        <w:t>[126]</w:t>
      </w:r>
      <w:r w:rsidRPr="00F10391">
        <w:fldChar w:fldCharType="end"/>
      </w:r>
      <w:r w:rsidRPr="00F10391">
        <w:t xml:space="preserve">, undermining the chances of taking relevant factors not included in the model into consideration. Aside from this, I would argue that the two further steps reported in Chapters 6 and 7, those of implementation and evaluation, should perhaps also be actively considered and engaged with throughout the process, </w:t>
      </w:r>
      <w:r w:rsidR="00801B4C">
        <w:t>and could be useful additions to any revisions of this list in future.</w:t>
      </w:r>
    </w:p>
    <w:p w14:paraId="71B259FF" w14:textId="77777777" w:rsidR="00D22CE3" w:rsidRPr="00F10391" w:rsidRDefault="00D22CE3">
      <w:pPr>
        <w:rPr>
          <w:sz w:val="21"/>
          <w:szCs w:val="21"/>
        </w:rPr>
      </w:pPr>
      <w:r w:rsidRPr="00F10391">
        <w:t>The thesis only adds so much and it clearly does not solve all the possible applications of MCDA in all possible public health settings. Compromises from gold standard of research are as inevitable as the compromises from th</w:t>
      </w:r>
      <w:r w:rsidR="00801B4C">
        <w:t>e ideal MCDA approaches in real-</w:t>
      </w:r>
      <w:r w:rsidRPr="00F10391">
        <w:t>world problems. It is ironic that in a thesis that compares and contrasts a seemingly more prescriptive model against a (surprisingly) flexible NICE approach, that the major change I would make in hindsight is the use of a more formal structuring of certain parts of the process. Academic settings require rigour and I should continue to learn from this.  But I am proud that it has had some impact, and hopefully it can continue to influence decision-making in its own modest way in the future.</w:t>
      </w:r>
    </w:p>
    <w:p w14:paraId="62338A30" w14:textId="77777777" w:rsidR="00D22CE3" w:rsidRPr="00F10391" w:rsidRDefault="00D22CE3"/>
    <w:p w14:paraId="6E494BB2" w14:textId="77777777" w:rsidR="00D22CE3" w:rsidRPr="00F10391" w:rsidRDefault="00D22CE3">
      <w:pPr>
        <w:pStyle w:val="Numberedheading2"/>
        <w:rPr>
          <w:sz w:val="21"/>
          <w:szCs w:val="21"/>
        </w:rPr>
      </w:pPr>
      <w:bookmarkStart w:id="876" w:name="_Toc453235493"/>
      <w:bookmarkStart w:id="877" w:name="_Toc453595566"/>
      <w:bookmarkStart w:id="878" w:name="_Toc476241663"/>
      <w:r w:rsidRPr="00F10391">
        <w:t>8.4</w:t>
      </w:r>
      <w:r w:rsidRPr="00F10391">
        <w:tab/>
      </w:r>
      <w:r w:rsidRPr="00F10391">
        <w:tab/>
        <w:t>Final comments</w:t>
      </w:r>
      <w:bookmarkEnd w:id="876"/>
      <w:bookmarkEnd w:id="877"/>
      <w:bookmarkEnd w:id="878"/>
    </w:p>
    <w:p w14:paraId="0CE9D9F6" w14:textId="77777777" w:rsidR="00D22CE3" w:rsidRPr="00F10391" w:rsidRDefault="00D22CE3"/>
    <w:p w14:paraId="025B743C" w14:textId="77777777" w:rsidR="00AF417E" w:rsidRDefault="00D22CE3">
      <w:r w:rsidRPr="00F10391">
        <w:t xml:space="preserve">This thesis highlights the sheer multitude of criteria already used within NICE </w:t>
      </w:r>
      <w:r w:rsidRPr="00F10391">
        <w:fldChar w:fldCharType="begin">
          <w:fldData xml:space="preserve">PEVuZE5vdGU+PENpdGU+PEF1dGhvcj5Hb2xhbjwvQXV0aG9yPjxZZWFyPjIwMTE8L1llYXI+PFJl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</w:fldData>
        </w:fldChar>
      </w:r>
      <w:r w:rsidR="00700267">
        <w:instrText xml:space="preserve"> ADDIN EN.CITE </w:instrText>
      </w:r>
      <w:r w:rsidR="00700267">
        <w:fldChar w:fldCharType="begin">
          <w:fldData xml:space="preserve">PEVuZE5vdGU+PENpdGU+PEF1dGhvcj5Hb2xhbjwvQXV0aG9yPjxZZWFyPjIwMTE8L1llYXI+PFJl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</w:fldData>
        </w:fldChar>
      </w:r>
      <w:r w:rsidR="00700267">
        <w:instrText xml:space="preserve"> ADDIN EN.CITE.DATA </w:instrText>
      </w:r>
      <w:r w:rsidR="00700267">
        <w:fldChar w:fldCharType="end"/>
      </w:r>
      <w:r w:rsidRPr="00F10391">
        <w:fldChar w:fldCharType="separate"/>
      </w:r>
      <w:r w:rsidR="00700267">
        <w:rPr>
          <w:noProof/>
        </w:rPr>
        <w:t>[120, 235, 237]</w:t>
      </w:r>
      <w:r w:rsidRPr="00F10391">
        <w:fldChar w:fldCharType="end"/>
      </w:r>
      <w:r w:rsidRPr="00F10391">
        <w:t>, as part of the deliberative stage in decision-making processes. It is evident that these are complex and important decisions – but by whether accident or design, MCDA approaches have not yet been incorporated into their decision-making processes. Such approaches have a number of potential advantages in such settings</w:t>
      </w:r>
      <w:r w:rsidR="00903EC3">
        <w:t xml:space="preserve"> </w:t>
      </w:r>
      <w:r w:rsidR="00C3050D">
        <w:fldChar w:fldCharType="begin">
          <w:fldData xml:space="preserve">PEVuZE5vdGU+PENpdGU+PEF1dGhvcj5SYWlmZmE8L0F1dGhvcj48WWVhcj4xOTY4PC9ZZWFyPjxS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=
</w:fldData>
        </w:fldChar>
      </w:r>
      <w:r w:rsidR="00700267">
        <w:instrText xml:space="preserve"> ADDIN EN.CITE </w:instrText>
      </w:r>
      <w:r w:rsidR="00700267">
        <w:fldChar w:fldCharType="begin">
          <w:fldData xml:space="preserve">PEVuZE5vdGU+PENpdGU+PEF1dGhvcj5SYWlmZmE8L0F1dGhvcj48WWVhcj4xOTY4PC9ZZWFyPjxS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=
</w:fldData>
        </w:fldChar>
      </w:r>
      <w:r w:rsidR="00700267">
        <w:instrText xml:space="preserve"> ADDIN EN.CITE.DATA </w:instrText>
      </w:r>
      <w:r w:rsidR="00700267">
        <w:fldChar w:fldCharType="end"/>
      </w:r>
      <w:r w:rsidR="00C3050D">
        <w:fldChar w:fldCharType="separate"/>
      </w:r>
      <w:r w:rsidR="00700267">
        <w:rPr>
          <w:noProof/>
        </w:rPr>
        <w:t>[6, 76, 110, 112]</w:t>
      </w:r>
      <w:r w:rsidR="00C3050D">
        <w:fldChar w:fldCharType="end"/>
      </w:r>
      <w:r w:rsidRPr="00F10391">
        <w:t>.</w:t>
      </w:r>
      <w:r w:rsidR="003817B6">
        <w:t xml:space="preserve"> The broader MCDA family forms a spectrum, with some </w:t>
      </w:r>
      <w:r w:rsidR="006A23F7">
        <w:t xml:space="preserve">approaches </w:t>
      </w:r>
      <w:r w:rsidR="003817B6">
        <w:t>being</w:t>
      </w:r>
      <w:r w:rsidR="006A23F7">
        <w:t xml:space="preserve"> very </w:t>
      </w:r>
      <w:r w:rsidR="00EB0F11">
        <w:t>‘</w:t>
      </w:r>
      <w:r w:rsidR="006A23F7">
        <w:t>soft</w:t>
      </w:r>
      <w:r w:rsidR="00EB0F11">
        <w:t xml:space="preserve">’ (some, such as PBMA, are arguably not MCDA </w:t>
      </w:r>
      <w:r w:rsidR="006A23F7">
        <w:t xml:space="preserve">at all), while others are very hard, though </w:t>
      </w:r>
      <w:r w:rsidR="00C3050D">
        <w:t xml:space="preserve">the systematic review in Chapter 3 found </w:t>
      </w:r>
      <w:r w:rsidR="003817B6">
        <w:t>goal programming (perhaps the hardest of these) has never</w:t>
      </w:r>
      <w:r w:rsidR="006A23F7">
        <w:t xml:space="preserve"> been </w:t>
      </w:r>
      <w:r w:rsidR="003817B6">
        <w:t>reporte</w:t>
      </w:r>
      <w:r w:rsidR="006A23F7">
        <w:t>d in public health settings.</w:t>
      </w:r>
      <w:r w:rsidR="00C3050D">
        <w:t xml:space="preserve"> It is </w:t>
      </w:r>
      <w:r w:rsidR="003817B6">
        <w:t xml:space="preserve">also </w:t>
      </w:r>
      <w:r w:rsidR="00C3050D">
        <w:t>possible</w:t>
      </w:r>
      <w:r w:rsidR="006A23F7">
        <w:t xml:space="preserve"> to combine both, in “socio-technical”</w:t>
      </w:r>
      <w:r w:rsidR="00EB0F11">
        <w:t xml:space="preserve"> style</w:t>
      </w:r>
      <w:r w:rsidRPr="00F10391">
        <w:t xml:space="preserve"> </w:t>
      </w:r>
      <w:r w:rsidR="006A23F7">
        <w:t>processes</w:t>
      </w:r>
      <w:r w:rsidR="00C3050D">
        <w:t xml:space="preserve"> </w:t>
      </w:r>
      <w:r w:rsidR="00C3050D">
        <w:fldChar w:fldCharType="begin">
          <w:fldData xml:space="preserve">PEVuZE5vdGU+PENpdGU+PEF1dGhvcj5BaXJvbGRpPC9BdXRob3I+PFllYXI+MjAxMTwvWWVhcj48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</w:fldData>
        </w:fldChar>
      </w:r>
      <w:r w:rsidR="00700267">
        <w:instrText xml:space="preserve"> ADDIN EN.CITE </w:instrText>
      </w:r>
      <w:r w:rsidR="00700267">
        <w:fldChar w:fldCharType="begin">
          <w:fldData xml:space="preserve">PEVuZE5vdGU+PENpdGU+PEF1dGhvcj5BaXJvbGRpPC9BdXRob3I+PFllYXI+MjAxMTwvWWVhcj48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</w:fldData>
        </w:fldChar>
      </w:r>
      <w:r w:rsidR="00700267">
        <w:instrText xml:space="preserve"> ADDIN EN.CITE.DATA </w:instrText>
      </w:r>
      <w:r w:rsidR="00700267">
        <w:fldChar w:fldCharType="end"/>
      </w:r>
      <w:r w:rsidR="00C3050D">
        <w:fldChar w:fldCharType="separate"/>
      </w:r>
      <w:r w:rsidR="00700267">
        <w:rPr>
          <w:noProof/>
        </w:rPr>
        <w:t>[68, 326, 372]</w:t>
      </w:r>
      <w:r w:rsidR="00C3050D">
        <w:fldChar w:fldCharType="end"/>
      </w:r>
      <w:r w:rsidR="006A23F7">
        <w:t>. These</w:t>
      </w:r>
      <w:r w:rsidR="00336D7B" w:rsidRPr="00336D7B">
        <w:rPr>
          <w:rFonts w:eastAsia="Times New Roman" w:cs="Times New Roman"/>
          <w:color w:val="000000"/>
          <w:lang w:eastAsia="es-CO"/>
        </w:rPr>
        <w:t xml:space="preserve"> </w:t>
      </w:r>
      <w:r w:rsidR="00336D7B" w:rsidRPr="00F10391">
        <w:rPr>
          <w:rFonts w:eastAsia="Times New Roman" w:cs="Times New Roman"/>
          <w:color w:val="000000"/>
          <w:lang w:eastAsia="es-CO"/>
        </w:rPr>
        <w:t xml:space="preserve">providing structure to messy problems </w:t>
      </w:r>
      <w:r w:rsidR="00336D7B" w:rsidRPr="00F10391">
        <w:rPr>
          <w:rFonts w:eastAsia="Times New Roman" w:cs="Times New Roman"/>
          <w:color w:val="000000"/>
          <w:lang w:eastAsia="es-CO"/>
        </w:rPr>
        <w:fldChar w:fldCharType="begin"/>
      </w:r>
      <w:r w:rsidR="00700267">
        <w:rPr>
          <w:rFonts w:eastAsia="Times New Roman" w:cs="Times New Roman"/>
          <w:color w:val="000000"/>
          <w:lang w:eastAsia="es-CO"/>
        </w:rPr>
        <w:instrText xml:space="preserve"> ADDIN EN.CITE &lt;EndNote&gt;&lt;Cite&gt;&lt;Author&gt;Mingers&lt;/Author&gt;&lt;Year&gt;1992&lt;/Year&gt;&lt;RecNum&gt;407&lt;/RecNum&gt;&lt;DisplayText&gt;[197, 199]&lt;/DisplayText&gt;&lt;record&gt;&lt;rec-number&gt;407&lt;/rec-number&gt;&lt;foreign-keys&gt;&lt;key app="EN" db-id="sz9092dv2s5fpze9wpgx0zxgv5ar00aezrvf" timestamp="1459433311"&gt;407&lt;/key&gt;&lt;/foreign-keys&gt;&lt;ref-type name="Journal Article"&gt;17&lt;/ref-type&gt;&lt;contributors&gt;&lt;authors&gt;&lt;author&gt;Mingers, John&lt;/author&gt;&lt;author&gt;Taylor, Sarah&lt;/author&gt;&lt;/authors&gt;&lt;/contributors&gt;&lt;titles&gt;&lt;title&gt;The use of soft systems methodology in practice&lt;/title&gt;&lt;secondary-title&gt;Journal of the Operational Research Society&lt;/secondary-title&gt;&lt;/titles&gt;&lt;periodical&gt;&lt;full-title&gt;Journal of the Operational Research Society&lt;/full-title&gt;&lt;/periodical&gt;&lt;pages&gt;321-332&lt;/pages&gt;&lt;dates&gt;&lt;year&gt;1992&lt;/year&gt;&lt;/dates&gt;&lt;isbn&gt;0160-5682&lt;/isbn&gt;&lt;urls&gt;&lt;/urls&gt;&lt;/record&gt;&lt;/Cite&gt;&lt;Cite&gt;&lt;Author&gt;Mingers&lt;/Author&gt;&lt;Year&gt;2000&lt;/Year&gt;&lt;RecNum&gt;409&lt;/RecNum&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00336D7B" w:rsidRPr="00F10391">
        <w:rPr>
          <w:rFonts w:eastAsia="Times New Roman" w:cs="Times New Roman"/>
          <w:color w:val="000000"/>
          <w:lang w:eastAsia="es-CO"/>
        </w:rPr>
        <w:fldChar w:fldCharType="separate"/>
      </w:r>
      <w:r w:rsidR="00700267">
        <w:rPr>
          <w:rFonts w:eastAsia="Times New Roman" w:cs="Times New Roman"/>
          <w:noProof/>
          <w:color w:val="000000"/>
          <w:lang w:eastAsia="es-CO"/>
        </w:rPr>
        <w:t>[197, 199]</w:t>
      </w:r>
      <w:r w:rsidR="00336D7B" w:rsidRPr="00F10391">
        <w:rPr>
          <w:rFonts w:eastAsia="Times New Roman" w:cs="Times New Roman"/>
          <w:color w:val="000000"/>
          <w:lang w:eastAsia="es-CO"/>
        </w:rPr>
        <w:fldChar w:fldCharType="end"/>
      </w:r>
      <w:r w:rsidR="00336D7B" w:rsidRPr="00F10391">
        <w:rPr>
          <w:rFonts w:eastAsia="Times New Roman" w:cs="Times New Roman"/>
          <w:color w:val="000000"/>
          <w:lang w:eastAsia="es-CO"/>
        </w:rPr>
        <w:t xml:space="preserve">, </w:t>
      </w:r>
      <w:r w:rsidR="006A23F7">
        <w:t xml:space="preserve"> allow</w:t>
      </w:r>
      <w:r w:rsidR="00336D7B">
        <w:t>ing</w:t>
      </w:r>
      <w:r w:rsidR="006A23F7">
        <w:t xml:space="preserve"> for the </w:t>
      </w:r>
      <w:r w:rsidR="00336D7B">
        <w:t xml:space="preserve">sensitivity analyses to subsequent test of assumptions. But they also allow </w:t>
      </w:r>
      <w:r w:rsidR="006A23F7">
        <w:t xml:space="preserve">for </w:t>
      </w:r>
      <w:r w:rsidR="00EB0F11">
        <w:t>important</w:t>
      </w:r>
      <w:r w:rsidR="006A23F7">
        <w:t xml:space="preserve"> </w:t>
      </w:r>
      <w:r w:rsidR="00EB0F11">
        <w:t>human</w:t>
      </w:r>
      <w:r w:rsidR="006A23F7">
        <w:t xml:space="preserve"> </w:t>
      </w:r>
      <w:r w:rsidR="00EB0F11">
        <w:t>factors into the decision</w:t>
      </w:r>
      <w:r w:rsidR="00336D7B">
        <w:t>-</w:t>
      </w:r>
      <w:r w:rsidR="00EB0F11">
        <w:t>making process</w:t>
      </w:r>
      <w:r w:rsidR="00336D7B">
        <w:t xml:space="preserve"> </w:t>
      </w:r>
      <w:r w:rsidR="00336D7B" w:rsidRPr="00F10391">
        <w:rPr>
          <w:rFonts w:eastAsia="Times New Roman" w:cs="Times New Roman"/>
          <w:color w:val="000000"/>
          <w:lang w:eastAsia="es-CO"/>
        </w:rPr>
        <w:fldChar w:fldCharType="begin"/>
      </w:r>
      <w:r w:rsidR="00700267">
        <w:rPr>
          <w:rFonts w:eastAsia="Times New Roman" w:cs="Times New Roman"/>
          <w:color w:val="000000"/>
          <w:lang w:eastAsia="es-CO"/>
        </w:rPr>
        <w:instrText xml:space="preserve"> ADDIN EN.CITE &lt;EndNote&gt;&lt;Cite&gt;&lt;Author&gt;Phillips&lt;/Author&gt;&lt;Year&gt;2007&lt;/Year&gt;&lt;RecNum&gt;110&lt;/RecNum&gt;&lt;DisplayText&gt;[127, 200]&lt;/DisplayText&gt;&lt;record&gt;&lt;rec-number&gt;110&lt;/rec-number&gt;&lt;foreign-keys&gt;&lt;key app="EN" db-id="sz9092dv2s5fpze9wpgx0zxgv5ar00aezrvf" timestamp="0"&gt;110&lt;/key&gt;&lt;/foreign-keys&gt;&lt;ref-type name="Journal Article"&gt;17&lt;/ref-type&gt;&lt;contributors&gt;&lt;authors&gt;&lt;author&gt;Phillips, Lawrence D&lt;/author&gt;&lt;author&gt;Bana e Costa, Carlos A&lt;/author&gt;&lt;/authors&gt;&lt;/contributors&gt;&lt;titles&gt;&lt;title&gt;Transparent prioritisation, budgeting and resource allocation with multi-criteria decision analysis and decision conferencing&lt;/title&gt;&lt;secondary-title&gt;Annals of Operations Research&lt;/secondary-title&gt;&lt;/titles&gt;&lt;periodical&gt;&lt;full-title&gt;Annals of Operations Research&lt;/full-title&gt;&lt;/periodical&gt;&lt;pages&gt;51-68&lt;/pages&gt;&lt;volume&gt;154&lt;/volume&gt;&lt;number&gt;1&lt;/number&gt;&lt;dates&gt;&lt;year&gt;2007&lt;/year&gt;&lt;/dates&gt;&lt;isbn&gt;0254-5330&lt;/isbn&gt;&lt;urls&gt;&lt;/urls&gt;&lt;/record&gt;&lt;/Cite&gt;&lt;Cite&gt;&lt;Author&gt;Sharpe&lt;/Author&gt;&lt;Year&gt;1997&lt;/Year&gt;&lt;RecNum&gt;410&lt;/RecNum&gt;&lt;record&gt;&lt;rec-number&gt;410&lt;/rec-number&gt;&lt;foreign-keys&gt;&lt;key app="EN" db-id="sz9092dv2s5fpze9wpgx0zxgv5ar00aezrvf" timestamp="1459433391"&gt;410&lt;/key&gt;&lt;/foreign-keys&gt;&lt;ref-type name="Journal Article"&gt;17&lt;/ref-type&gt;&lt;contributors&gt;&lt;authors&gt;&lt;author&gt;Sharpe, Paul&lt;/author&gt;&lt;author&gt;Keelin, Tom&lt;/author&gt;&lt;/authors&gt;&lt;/contributors&gt;&lt;titles&gt;&lt;title&gt;How SmithKline Beecham makes better resource-allocation decisions&lt;/title&gt;&lt;secondary-title&gt;Harvard Business Review&lt;/secondary-title&gt;&lt;/titles&gt;&lt;periodical&gt;&lt;full-title&gt;Harvard Business Review&lt;/full-title&gt;&lt;/periodical&gt;&lt;pages&gt;45-6, 48, 50 passim&lt;/pages&gt;&lt;volume&gt;76&lt;/volume&gt;&lt;number&gt;2&lt;/number&gt;&lt;dates&gt;&lt;year&gt;1997&lt;/year&gt;&lt;/dates&gt;&lt;isbn&gt;0017-8012&lt;/isbn&gt;&lt;urls&gt;&lt;/urls&gt;&lt;/record&gt;&lt;/Cite&gt;&lt;/EndNote&gt;</w:instrText>
      </w:r>
      <w:r w:rsidR="00336D7B" w:rsidRPr="00F10391">
        <w:rPr>
          <w:rFonts w:eastAsia="Times New Roman" w:cs="Times New Roman"/>
          <w:color w:val="000000"/>
          <w:lang w:eastAsia="es-CO"/>
        </w:rPr>
        <w:fldChar w:fldCharType="separate"/>
      </w:r>
      <w:r w:rsidR="00700267">
        <w:rPr>
          <w:rFonts w:eastAsia="Times New Roman" w:cs="Times New Roman"/>
          <w:noProof/>
          <w:color w:val="000000"/>
          <w:lang w:eastAsia="es-CO"/>
        </w:rPr>
        <w:t>[127, 200]</w:t>
      </w:r>
      <w:r w:rsidR="00336D7B" w:rsidRPr="00F10391">
        <w:rPr>
          <w:rFonts w:eastAsia="Times New Roman" w:cs="Times New Roman"/>
          <w:color w:val="000000"/>
          <w:lang w:eastAsia="es-CO"/>
        </w:rPr>
        <w:fldChar w:fldCharType="end"/>
      </w:r>
      <w:r w:rsidR="006A23F7">
        <w:t xml:space="preserve"> </w:t>
      </w:r>
      <w:r w:rsidR="00336D7B">
        <w:t>such as</w:t>
      </w:r>
      <w:r w:rsidR="00EB0F11">
        <w:t xml:space="preserve"> increased</w:t>
      </w:r>
      <w:r w:rsidR="006A23F7">
        <w:t xml:space="preserve"> buy-in</w:t>
      </w:r>
      <w:r w:rsidR="00336D7B">
        <w:t xml:space="preserve"> </w:t>
      </w:r>
      <w:r w:rsidR="00336D7B">
        <w:fldChar w:fldCharType="begin"/>
      </w:r>
      <w:r w:rsidR="00700267">
        <w:instrText xml:space="preserve"> ADDIN EN.CITE &lt;EndNote&gt;&lt;Cite&gt;&lt;Author&gt;Haas&lt;/Author&gt;&lt;Year&gt;2001&lt;/Year&gt;&lt;RecNum&gt;279&lt;/RecNum&gt;&lt;DisplayText&gt;[180]&lt;/DisplayText&gt;&lt;record&gt;&lt;rec-number&gt;279&lt;/rec-number&gt;&lt;foreign-keys&gt;&lt;key app="EN" db-id="sz9092dv2s5fpze9wpgx0zxgv5ar00aezrvf" timestamp="0"&gt;279&lt;/key&gt;&lt;/foreign-keys&gt;&lt;ref-type name="Journal Article"&gt;17&lt;/ref-type&gt;&lt;contributors&gt;&lt;authors&gt;&lt;author&gt;Haas, Marion&lt;/author&gt;&lt;author&gt;Viney, Rosalie&lt;/author&gt;&lt;author&gt;Kristensen, Elizabeth&lt;/author&gt;&lt;author&gt;Pain, Charles&lt;/author&gt;&lt;author&gt;Foulds, Kim&lt;/author&gt;&lt;/authors&gt;&lt;/contributors&gt;&lt;titles&gt;&lt;title&gt;Using programme budgeting and marginal analysis to assist population based strategic planning for coronary heart disease&lt;/title&gt;&lt;secondary-title&gt;Health Policy&lt;/secondary-title&gt;&lt;/titles&gt;&lt;periodical&gt;&lt;full-title&gt;Health Policy&lt;/full-title&gt;&lt;/periodical&gt;&lt;pages&gt;173-186&lt;/pages&gt;&lt;volume&gt;55&lt;/volume&gt;&lt;number&gt;3&lt;/number&gt;&lt;dates&gt;&lt;year&gt;2001&lt;/year&gt;&lt;/dates&gt;&lt;isbn&gt;0168-8510&lt;/isbn&gt;&lt;urls&gt;&lt;related-urls&gt;&lt;url&gt;http://ac.els-cdn.com/S0168851000001196/1-s2.0-S0168851000001196-main.pdf?_tid=0c684c86-9592-11e4-bf23-00000aab0f01&amp;amp;acdnat=1420541703_6742958037041c0ff67b5624b8ea3486&lt;/url&gt;&lt;url&gt;http://www.healthpolicyjrnl.com/article/S0168-8510(00)00119-6/abstract&lt;/url&gt;&lt;/related-urls&gt;&lt;/urls&gt;&lt;/record&gt;&lt;/Cite&gt;&lt;/EndNote&gt;</w:instrText>
      </w:r>
      <w:r w:rsidR="00336D7B">
        <w:fldChar w:fldCharType="separate"/>
      </w:r>
      <w:r w:rsidR="00700267">
        <w:rPr>
          <w:noProof/>
        </w:rPr>
        <w:t>[180]</w:t>
      </w:r>
      <w:r w:rsidR="00336D7B">
        <w:fldChar w:fldCharType="end"/>
      </w:r>
      <w:r w:rsidR="00336D7B">
        <w:t xml:space="preserve"> </w:t>
      </w:r>
      <w:r w:rsidR="00C3050D">
        <w:t xml:space="preserve">and </w:t>
      </w:r>
      <w:r w:rsidR="00336D7B">
        <w:t xml:space="preserve">hence </w:t>
      </w:r>
      <w:r w:rsidR="00C3050D">
        <w:t xml:space="preserve">likelihood of implementation </w:t>
      </w:r>
      <w:r w:rsidR="00C3050D">
        <w:fldChar w:fldCharType="begin"/>
      </w:r>
      <w:r w:rsidR="00700267">
        <w:instrText xml:space="preserve"> ADDIN EN.CITE &lt;EndNote&gt;&lt;Cite&gt;&lt;Author&gt;Phillips&lt;/Author&gt;&lt;Year&gt;1984&lt;/Year&gt;&lt;RecNum&gt;112&lt;/RecNum&gt;&lt;DisplayText&gt;[121]&lt;/DisplayText&gt;&lt;record&gt;&lt;rec-number&gt;112&lt;/rec-number&gt;&lt;foreign-keys&gt;&lt;key app="EN" db-id="sz9092dv2s5fpze9wpgx0zxgv5ar00aezrvf" timestamp="0"&gt;112&lt;/key&gt;&lt;/foreign-keys&gt;&lt;ref-type name="Journal Article"&gt;17&lt;/ref-type&gt;&lt;contributors&gt;&lt;authors&gt;&lt;author&gt;Phillips, Lawrence D&lt;/author&gt;&lt;/authors&gt;&lt;/contributors&gt;&lt;titles&gt;&lt;title&gt;A theory of requisite decision models&lt;/title&gt;&lt;secondary-title&gt;Acta psychologica&lt;/secondary-title&gt;&lt;/titles&gt;&lt;pages&gt;29-48&lt;/pages&gt;&lt;volume&gt;56&lt;/volume&gt;&lt;number&gt;1&lt;/number&gt;&lt;dates&gt;&lt;year&gt;1984&lt;/year&gt;&lt;/dates&gt;&lt;isbn&gt;0001-6918&lt;/isbn&gt;&lt;urls&gt;&lt;/urls&gt;&lt;/record&gt;&lt;/Cite&gt;&lt;/EndNote&gt;</w:instrText>
      </w:r>
      <w:r w:rsidR="00C3050D">
        <w:fldChar w:fldCharType="separate"/>
      </w:r>
      <w:r w:rsidR="00700267">
        <w:rPr>
          <w:noProof/>
        </w:rPr>
        <w:t>[121]</w:t>
      </w:r>
      <w:r w:rsidR="00C3050D">
        <w:fldChar w:fldCharType="end"/>
      </w:r>
      <w:r w:rsidR="006A23F7">
        <w:t xml:space="preserve">, </w:t>
      </w:r>
      <w:r w:rsidR="00336D7B">
        <w:t xml:space="preserve">the </w:t>
      </w:r>
      <w:r w:rsidR="00336D7B">
        <w:rPr>
          <w:rFonts w:eastAsia="Times New Roman" w:cs="Times New Roman"/>
          <w:color w:val="000000"/>
          <w:lang w:eastAsia="es-CO"/>
        </w:rPr>
        <w:t>facilitation of</w:t>
      </w:r>
      <w:r w:rsidR="00AF417E" w:rsidRPr="00F10391">
        <w:rPr>
          <w:rFonts w:eastAsia="Times New Roman" w:cs="Times New Roman"/>
          <w:color w:val="000000"/>
          <w:lang w:eastAsia="es-CO"/>
        </w:rPr>
        <w:t xml:space="preserve"> participants to explore differing views </w:t>
      </w:r>
      <w:r w:rsidR="00AF417E" w:rsidRPr="00F10391">
        <w:rPr>
          <w:rFonts w:eastAsia="Times New Roman" w:cs="Times New Roman"/>
          <w:color w:val="000000"/>
          <w:lang w:eastAsia="es-CO"/>
        </w:rPr>
        <w:fldChar w:fldCharType="begin"/>
      </w:r>
      <w:r w:rsidR="00700267">
        <w:rPr>
          <w:rFonts w:eastAsia="Times New Roman" w:cs="Times New Roman"/>
          <w:color w:val="000000"/>
          <w:lang w:eastAsia="es-CO"/>
        </w:rPr>
        <w:instrText xml:space="preserve"> ADDIN EN.CITE &lt;EndNote&gt;&lt;Cite&gt;&lt;Author&gt;Mingers&lt;/Author&gt;&lt;Year&gt;2000&lt;/Year&gt;&lt;RecNum&gt;409&lt;/RecNum&gt;&lt;DisplayText&gt;[197]&lt;/DisplayText&gt;&lt;record&gt;&lt;rec-number&gt;409&lt;/rec-number&gt;&lt;foreign-keys&gt;&lt;key app="EN" db-id="sz9092dv2s5fpze9wpgx0zxgv5ar00aezrvf" timestamp="1459433355"&gt;409&lt;/key&gt;&lt;/foreign-keys&gt;&lt;ref-type name="Journal Article"&gt;17&lt;/ref-type&gt;&lt;contributors&gt;&lt;authors&gt;&lt;author&gt;Mingers, John&lt;/author&gt;&lt;/authors&gt;&lt;/contributors&gt;&lt;titles&gt;&lt;title&gt;Variety is the spice of life: combining soft and hard OR/MS methods&lt;/title&gt;&lt;secondary-title&gt;International Transactions in Operational Research&lt;/secondary-title&gt;&lt;/titles&gt;&lt;periodical&gt;&lt;full-title&gt;International Transactions in Operational Research&lt;/full-title&gt;&lt;/periodical&gt;&lt;pages&gt;673-691&lt;/pages&gt;&lt;volume&gt;7&lt;/volume&gt;&lt;number&gt;6&lt;/number&gt;&lt;dates&gt;&lt;year&gt;2000&lt;/year&gt;&lt;/dates&gt;&lt;isbn&gt;1475-3995&lt;/isbn&gt;&lt;urls&gt;&lt;/urls&gt;&lt;/record&gt;&lt;/Cite&gt;&lt;/EndNote&gt;</w:instrText>
      </w:r>
      <w:r w:rsidR="00AF417E" w:rsidRPr="00F10391">
        <w:rPr>
          <w:rFonts w:eastAsia="Times New Roman" w:cs="Times New Roman"/>
          <w:color w:val="000000"/>
          <w:lang w:eastAsia="es-CO"/>
        </w:rPr>
        <w:fldChar w:fldCharType="separate"/>
      </w:r>
      <w:r w:rsidR="00700267">
        <w:rPr>
          <w:rFonts w:eastAsia="Times New Roman" w:cs="Times New Roman"/>
          <w:noProof/>
          <w:color w:val="000000"/>
          <w:lang w:eastAsia="es-CO"/>
        </w:rPr>
        <w:t>[197]</w:t>
      </w:r>
      <w:r w:rsidR="00AF417E" w:rsidRPr="00F10391">
        <w:rPr>
          <w:rFonts w:eastAsia="Times New Roman" w:cs="Times New Roman"/>
          <w:color w:val="000000"/>
          <w:lang w:eastAsia="es-CO"/>
        </w:rPr>
        <w:fldChar w:fldCharType="end"/>
      </w:r>
      <w:r w:rsidR="00AF417E" w:rsidRPr="00F10391">
        <w:rPr>
          <w:rFonts w:eastAsia="Times New Roman" w:cs="Times New Roman"/>
          <w:color w:val="000000"/>
          <w:lang w:eastAsia="es-CO"/>
        </w:rPr>
        <w:t xml:space="preserve">, in allowing difficult conversations to take place </w:t>
      </w:r>
      <w:r w:rsidR="00AF417E" w:rsidRPr="00F10391">
        <w:rPr>
          <w:rFonts w:eastAsia="Times New Roman" w:cs="Times New Roman"/>
          <w:color w:val="000000"/>
          <w:lang w:eastAsia="es-CO"/>
        </w:rPr>
        <w:fldChar w:fldCharType="begin"/>
      </w:r>
      <w:r w:rsidR="00700267">
        <w:rPr>
          <w:rFonts w:eastAsia="Times New Roman" w:cs="Times New Roman"/>
          <w:color w:val="000000"/>
          <w:lang w:eastAsia="es-CO"/>
        </w:rPr>
        <w:instrText xml:space="preserve"> ADDIN EN.CITE &lt;EndNote&gt;&lt;Cite&gt;&lt;Author&gt;Koch&lt;/Author&gt;&lt;Year&gt;1999&lt;/Year&gt;&lt;RecNum&gt;78&lt;/RecNum&gt;&lt;DisplayText&gt;[23, 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Cite&gt;&lt;Author&gt;Phillips&lt;/Author&gt;&lt;Year&gt;2007&lt;/Year&gt;&lt;RecNum&gt;374&lt;/RecNum&gt;&lt;record&gt;&lt;rec-number&gt;374&lt;/rec-number&gt;&lt;foreign-keys&gt;&lt;key app="EN" db-id="sz9092dv2s5fpze9wpgx0zxgv5ar00aezrvf" timestamp="1456335596"&gt;374&lt;/key&gt;&lt;/foreign-keys&gt;&lt;ref-type name="Book Section"&gt;5&lt;/ref-type&gt;&lt;contributors&gt;&lt;authors&gt;&lt;author&gt;Phillips, Larry&lt;/author&gt;&lt;/authors&gt;&lt;secondary-authors&gt;&lt;author&gt;Edwards, Ward&lt;/author&gt;&lt;author&gt;Miles Jr, Ralph F&lt;/author&gt;&lt;author&gt;Von Winterfeldt, Detlof&lt;/author&gt;&lt;/secondary-authors&gt;&lt;/contributors&gt;&lt;titles&gt;&lt;title&gt;Decision conferencing&lt;/title&gt;&lt;secondary-title&gt;Advances in decision analysis: from foundations to applications&lt;/secondary-title&gt;&lt;/titles&gt;&lt;section&gt;19&lt;/section&gt;&lt;dates&gt;&lt;year&gt;2007&lt;/year&gt;&lt;/dates&gt;&lt;publisher&gt;Cambridge University Press&lt;/publisher&gt;&lt;isbn&gt;1139466127&lt;/isbn&gt;&lt;urls&gt;&lt;/urls&gt;&lt;/record&gt;&lt;/Cite&gt;&lt;/EndNote&gt;</w:instrText>
      </w:r>
      <w:r w:rsidR="00AF417E" w:rsidRPr="00F10391">
        <w:rPr>
          <w:rFonts w:eastAsia="Times New Roman" w:cs="Times New Roman"/>
          <w:color w:val="000000"/>
          <w:lang w:eastAsia="es-CO"/>
        </w:rPr>
        <w:fldChar w:fldCharType="separate"/>
      </w:r>
      <w:r w:rsidR="00700267">
        <w:rPr>
          <w:rFonts w:eastAsia="Times New Roman" w:cs="Times New Roman"/>
          <w:noProof/>
          <w:color w:val="000000"/>
          <w:lang w:eastAsia="es-CO"/>
        </w:rPr>
        <w:t>[23, 91]</w:t>
      </w:r>
      <w:r w:rsidR="00AF417E" w:rsidRPr="00F10391">
        <w:rPr>
          <w:rFonts w:eastAsia="Times New Roman" w:cs="Times New Roman"/>
          <w:color w:val="000000"/>
          <w:lang w:eastAsia="es-CO"/>
        </w:rPr>
        <w:fldChar w:fldCharType="end"/>
      </w:r>
      <w:r w:rsidR="00336D7B">
        <w:rPr>
          <w:rFonts w:eastAsia="Times New Roman" w:cs="Times New Roman"/>
          <w:color w:val="000000"/>
          <w:lang w:eastAsia="es-CO"/>
        </w:rPr>
        <w:t xml:space="preserve"> and </w:t>
      </w:r>
      <w:r w:rsidR="003817B6">
        <w:rPr>
          <w:rFonts w:eastAsia="Times New Roman" w:cs="Times New Roman"/>
          <w:color w:val="000000"/>
          <w:lang w:eastAsia="es-CO"/>
        </w:rPr>
        <w:t xml:space="preserve">in ensuring the </w:t>
      </w:r>
      <w:r w:rsidR="00336D7B">
        <w:rPr>
          <w:rFonts w:eastAsia="Times New Roman" w:cs="Times New Roman"/>
          <w:color w:val="000000"/>
          <w:lang w:eastAsia="es-CO"/>
        </w:rPr>
        <w:t>stakeholder understanding and acceptance of decisions</w:t>
      </w:r>
      <w:r w:rsidR="003817B6">
        <w:rPr>
          <w:rFonts w:eastAsia="Times New Roman" w:cs="Times New Roman"/>
          <w:color w:val="000000"/>
          <w:lang w:eastAsia="es-CO"/>
        </w:rPr>
        <w:t xml:space="preserve"> </w:t>
      </w:r>
      <w:r w:rsidR="00336D7B">
        <w:rPr>
          <w:rFonts w:eastAsia="Times New Roman" w:cs="Times New Roman"/>
          <w:color w:val="000000"/>
          <w:lang w:eastAsia="es-CO"/>
        </w:rPr>
        <w:fldChar w:fldCharType="begin"/>
      </w:r>
      <w:r w:rsidR="00700267">
        <w:rPr>
          <w:rFonts w:eastAsia="Times New Roman" w:cs="Times New Roman"/>
          <w:color w:val="000000"/>
          <w:lang w:eastAsia="es-CO"/>
        </w:rPr>
        <w:instrText xml:space="preserve"> ADDIN EN.CITE &lt;EndNote&gt;&lt;Cite&gt;&lt;Author&gt;Golan&lt;/Author&gt;&lt;Year&gt;2011&lt;/Year&gt;&lt;RecNum&gt;55&lt;/RecNum&gt;&lt;DisplayText&gt;[120]&lt;/DisplayText&gt;&lt;record&gt;&lt;rec-number&gt;55&lt;/rec-number&gt;&lt;foreign-keys&gt;&lt;key app="EN" db-id="sz9092dv2s5fpze9wpgx0zxgv5ar00aezrvf" timestamp="0"&gt;55&lt;/key&gt;&lt;/foreign-keys&gt;&lt;ref-type name="Journal Article"&gt;17&lt;/ref-type&gt;&lt;contributors&gt;&lt;authors&gt;&lt;author&gt;Golan, Ofra&lt;/author&gt;&lt;author&gt;Hansen, Paul&lt;/author&gt;&lt;author&gt;Kaplan, Giora&lt;/author&gt;&lt;author&gt;Tal, Orna&lt;/author&gt;&lt;/authors&gt;&lt;/contributors&gt;&lt;titles&gt;&lt;title&gt;Health technology prioritization: which criteria for prioritizing new technologies and what are their relative weights?&lt;/title&gt;&lt;secondary-title&gt;Health policy&lt;/secondary-title&gt;&lt;/titles&gt;&lt;periodical&gt;&lt;full-title&gt;Health Policy&lt;/full-title&gt;&lt;/periodical&gt;&lt;pages&gt;126-135&lt;/pages&gt;&lt;volume&gt;102&lt;/volume&gt;&lt;number&gt;2&lt;/number&gt;&lt;dates&gt;&lt;year&gt;2011&lt;/year&gt;&lt;/dates&gt;&lt;isbn&gt;0168-8510&lt;/isbn&gt;&lt;urls&gt;&lt;/urls&gt;&lt;/record&gt;&lt;/Cite&gt;&lt;/EndNote&gt;</w:instrText>
      </w:r>
      <w:r w:rsidR="00336D7B">
        <w:rPr>
          <w:rFonts w:eastAsia="Times New Roman" w:cs="Times New Roman"/>
          <w:color w:val="000000"/>
          <w:lang w:eastAsia="es-CO"/>
        </w:rPr>
        <w:fldChar w:fldCharType="separate"/>
      </w:r>
      <w:r w:rsidR="00700267">
        <w:rPr>
          <w:rFonts w:eastAsia="Times New Roman" w:cs="Times New Roman"/>
          <w:noProof/>
          <w:color w:val="000000"/>
          <w:lang w:eastAsia="es-CO"/>
        </w:rPr>
        <w:t>[120]</w:t>
      </w:r>
      <w:r w:rsidR="00336D7B">
        <w:rPr>
          <w:rFonts w:eastAsia="Times New Roman" w:cs="Times New Roman"/>
          <w:color w:val="000000"/>
          <w:lang w:eastAsia="es-CO"/>
        </w:rPr>
        <w:fldChar w:fldCharType="end"/>
      </w:r>
      <w:r w:rsidR="00AF417E">
        <w:rPr>
          <w:rFonts w:eastAsia="Times New Roman" w:cs="Times New Roman"/>
          <w:color w:val="000000"/>
          <w:lang w:eastAsia="es-CO"/>
        </w:rPr>
        <w:t xml:space="preserve">. Given that </w:t>
      </w:r>
      <w:r w:rsidR="00336D7B">
        <w:rPr>
          <w:rFonts w:eastAsia="Times New Roman" w:cs="Times New Roman"/>
          <w:color w:val="000000"/>
          <w:lang w:eastAsia="es-CO"/>
        </w:rPr>
        <w:t>p</w:t>
      </w:r>
      <w:r w:rsidR="00AF417E">
        <w:rPr>
          <w:rFonts w:eastAsia="Times New Roman" w:cs="Times New Roman"/>
          <w:color w:val="000000"/>
          <w:lang w:eastAsia="es-CO"/>
        </w:rPr>
        <w:t xml:space="preserve">olicy-making requires the </w:t>
      </w:r>
      <w:r w:rsidR="006A47EC">
        <w:rPr>
          <w:rFonts w:eastAsia="Times New Roman" w:cs="Times New Roman"/>
          <w:color w:val="000000"/>
          <w:lang w:eastAsia="es-CO"/>
        </w:rPr>
        <w:t>building</w:t>
      </w:r>
      <w:r w:rsidR="00AF417E">
        <w:rPr>
          <w:rFonts w:eastAsia="Times New Roman" w:cs="Times New Roman"/>
          <w:color w:val="000000"/>
          <w:lang w:eastAsia="es-CO"/>
        </w:rPr>
        <w:t xml:space="preserve"> up of consensus</w:t>
      </w:r>
      <w:r w:rsidR="00336D7B">
        <w:rPr>
          <w:rFonts w:eastAsia="Times New Roman" w:cs="Times New Roman"/>
          <w:color w:val="000000"/>
          <w:lang w:eastAsia="es-CO"/>
        </w:rPr>
        <w:t xml:space="preserve"> </w:t>
      </w:r>
      <w:r w:rsidR="00336D7B" w:rsidRPr="00F10391">
        <w:fldChar w:fldCharType="begin"/>
      </w:r>
      <w:r w:rsidR="00700267">
        <w:instrText xml:space="preserve"> ADDIN EN.CITE &lt;EndNote&gt;&lt;Cite&gt;&lt;Author&gt;Koch&lt;/Author&gt;&lt;Year&gt;1999&lt;/Year&gt;&lt;RecNum&gt;78&lt;/RecNum&gt;&lt;DisplayText&gt;[91]&lt;/DisplayText&gt;&lt;record&gt;&lt;rec-number&gt;78&lt;/rec-number&gt;&lt;foreign-keys&gt;&lt;key app="EN" db-id="sz9092dv2s5fpze9wpgx0zxgv5ar00aezrvf" timestamp="0"&gt;78&lt;/key&gt;&lt;/foreign-keys&gt;&lt;ref-type name="Journal Article"&gt;17&lt;/ref-type&gt;&lt;contributors&gt;&lt;authors&gt;&lt;author&gt;Koch, Tom&lt;/author&gt;&lt;author&gt;Rowell, Mary&lt;/author&gt;&lt;/authors&gt;&lt;/contributors&gt;&lt;titles&gt;&lt;title&gt;The dream of consensus: finding common ground in a bioethical context&lt;/title&gt;&lt;secondary-title&gt;Theoretical medicine and bioethics&lt;/secondary-title&gt;&lt;/titles&gt;&lt;pages&gt;261-273&lt;/pages&gt;&lt;volume&gt;20&lt;/volume&gt;&lt;number&gt;3&lt;/number&gt;&lt;dates&gt;&lt;year&gt;1999&lt;/year&gt;&lt;/dates&gt;&lt;isbn&gt;1386-7415&lt;/isbn&gt;&lt;urls&gt;&lt;/urls&gt;&lt;/record&gt;&lt;/Cite&gt;&lt;/EndNote&gt;</w:instrText>
      </w:r>
      <w:r w:rsidR="00336D7B" w:rsidRPr="00F10391">
        <w:fldChar w:fldCharType="separate"/>
      </w:r>
      <w:r w:rsidR="00700267">
        <w:rPr>
          <w:noProof/>
        </w:rPr>
        <w:t>[91]</w:t>
      </w:r>
      <w:r w:rsidR="00336D7B" w:rsidRPr="00F10391">
        <w:fldChar w:fldCharType="end"/>
      </w:r>
      <w:r w:rsidR="00336D7B">
        <w:rPr>
          <w:rFonts w:eastAsia="Times New Roman" w:cs="Times New Roman"/>
          <w:color w:val="000000"/>
          <w:lang w:eastAsia="es-CO"/>
        </w:rPr>
        <w:t xml:space="preserve"> </w:t>
      </w:r>
      <w:r w:rsidR="003817B6">
        <w:rPr>
          <w:rFonts w:eastAsia="Times New Roman" w:cs="Times New Roman"/>
          <w:color w:val="000000"/>
          <w:lang w:eastAsia="es-CO"/>
        </w:rPr>
        <w:t xml:space="preserve">(and the need to </w:t>
      </w:r>
      <w:r w:rsidR="003817B6" w:rsidRPr="00F10391">
        <w:t xml:space="preserve">“muddle through elegantly” </w:t>
      </w:r>
      <w:r w:rsidR="003817B6" w:rsidRPr="00F10391">
        <w:fldChar w:fldCharType="begin"/>
      </w:r>
      <w:r w:rsidR="00700267">
        <w:instrText xml:space="preserve"> ADDIN EN.CITE &lt;EndNote&gt;&lt;Cite&gt;&lt;Author&gt;Klein&lt;/Author&gt;&lt;Year&gt;1996&lt;/Year&gt;&lt;RecNum&gt;77&lt;/RecNum&gt;&lt;DisplayText&gt;[260]&lt;/DisplayText&gt;&lt;record&gt;&lt;rec-number&gt;77&lt;/rec-number&gt;&lt;foreign-keys&gt;&lt;key app="EN" db-id="sz9092dv2s5fpze9wpgx0zxgv5ar00aezrvf" timestamp="0"&gt;77&lt;/key&gt;&lt;/foreign-keys&gt;&lt;ref-type name="Book"&gt;6&lt;/ref-type&gt;&lt;contributors&gt;&lt;authors&gt;&lt;author&gt;Klein, Rudolf&lt;/author&gt;&lt;author&gt;Day, Patricia&lt;/author&gt;&lt;author&gt;Redmayne, Sharon&lt;/author&gt;&lt;author&gt;Britain, Great&lt;/author&gt;&lt;/authors&gt;&lt;/contributors&gt;&lt;titles&gt;&lt;title&gt;Managing scarcity: priority setting and rationing in the National Health Service&lt;/title&gt;&lt;/titles&gt;&lt;dates&gt;&lt;year&gt;1996&lt;/year&gt;&lt;/dates&gt;&lt;publisher&gt;Open university press Buckingham&lt;/publisher&gt;&lt;isbn&gt;033519446X&lt;/isbn&gt;&lt;urls&gt;&lt;/urls&gt;&lt;/record&gt;&lt;/Cite&gt;&lt;/EndNote&gt;</w:instrText>
      </w:r>
      <w:r w:rsidR="003817B6" w:rsidRPr="00F10391">
        <w:fldChar w:fldCharType="separate"/>
      </w:r>
      <w:r w:rsidR="00700267">
        <w:rPr>
          <w:noProof/>
        </w:rPr>
        <w:t>[260]</w:t>
      </w:r>
      <w:r w:rsidR="003817B6" w:rsidRPr="00F10391">
        <w:fldChar w:fldCharType="end"/>
      </w:r>
      <w:r w:rsidR="003817B6">
        <w:t xml:space="preserve">), </w:t>
      </w:r>
      <w:r w:rsidR="00336D7B">
        <w:rPr>
          <w:rFonts w:eastAsia="Times New Roman" w:cs="Times New Roman"/>
          <w:color w:val="000000"/>
          <w:lang w:eastAsia="es-CO"/>
        </w:rPr>
        <w:t xml:space="preserve">rather </w:t>
      </w:r>
      <w:r w:rsidR="003817B6">
        <w:rPr>
          <w:rFonts w:eastAsia="Times New Roman" w:cs="Times New Roman"/>
          <w:color w:val="000000"/>
          <w:lang w:eastAsia="es-CO"/>
        </w:rPr>
        <w:t>relying on</w:t>
      </w:r>
      <w:r w:rsidR="00AF417E">
        <w:rPr>
          <w:rFonts w:eastAsia="Times New Roman" w:cs="Times New Roman"/>
          <w:color w:val="000000"/>
          <w:lang w:eastAsia="es-CO"/>
        </w:rPr>
        <w:t xml:space="preserve"> evidence alone, ensuring</w:t>
      </w:r>
      <w:r w:rsidR="003D23B3">
        <w:rPr>
          <w:rFonts w:eastAsia="Times New Roman" w:cs="Times New Roman"/>
          <w:color w:val="000000"/>
          <w:lang w:eastAsia="es-CO"/>
        </w:rPr>
        <w:t xml:space="preserve"> that</w:t>
      </w:r>
      <w:r w:rsidR="00AF417E">
        <w:rPr>
          <w:rFonts w:eastAsia="Times New Roman" w:cs="Times New Roman"/>
          <w:color w:val="000000"/>
          <w:lang w:eastAsia="es-CO"/>
        </w:rPr>
        <w:t xml:space="preserve"> such factors are included is </w:t>
      </w:r>
      <w:r w:rsidR="00336D7B">
        <w:rPr>
          <w:rFonts w:eastAsia="Times New Roman" w:cs="Times New Roman"/>
          <w:color w:val="000000"/>
          <w:lang w:eastAsia="es-CO"/>
        </w:rPr>
        <w:t xml:space="preserve">likely </w:t>
      </w:r>
      <w:r w:rsidR="00AF417E">
        <w:rPr>
          <w:rFonts w:eastAsia="Times New Roman" w:cs="Times New Roman"/>
          <w:color w:val="000000"/>
          <w:lang w:eastAsia="es-CO"/>
        </w:rPr>
        <w:t xml:space="preserve">vital </w:t>
      </w:r>
      <w:r w:rsidR="003D23B3">
        <w:rPr>
          <w:rFonts w:eastAsia="Times New Roman" w:cs="Times New Roman"/>
          <w:color w:val="000000"/>
          <w:lang w:eastAsia="es-CO"/>
        </w:rPr>
        <w:t>in ensuring an approach’s</w:t>
      </w:r>
      <w:r w:rsidR="003817B6">
        <w:rPr>
          <w:rFonts w:eastAsia="Times New Roman" w:cs="Times New Roman"/>
          <w:color w:val="000000"/>
          <w:lang w:eastAsia="es-CO"/>
        </w:rPr>
        <w:t xml:space="preserve"> acceptability and hence</w:t>
      </w:r>
      <w:r w:rsidR="00AF417E">
        <w:rPr>
          <w:rFonts w:eastAsia="Times New Roman" w:cs="Times New Roman"/>
          <w:color w:val="000000"/>
          <w:lang w:eastAsia="es-CO"/>
        </w:rPr>
        <w:t xml:space="preserve"> their implementation.</w:t>
      </w:r>
      <w:r w:rsidR="003817B6">
        <w:rPr>
          <w:rFonts w:eastAsia="Times New Roman" w:cs="Times New Roman"/>
          <w:color w:val="000000"/>
          <w:lang w:eastAsia="es-CO"/>
        </w:rPr>
        <w:t xml:space="preserve"> Fully engaging with such issues may be even more important at local government level, where contextual factors are particularly pronounced </w:t>
      </w:r>
      <w:r w:rsidR="003817B6" w:rsidRPr="00F10391">
        <w:fldChar w:fldCharType="begin"/>
      </w:r>
      <w:r w:rsidR="00D24504">
        <w:instrText xml:space="preserve"> ADDIN EN.CITE &lt;EndNote&gt;&lt;Cite&gt;&lt;Author&gt;Duthie&lt;/Author&gt;&lt;Year&gt;1999&lt;/Year&gt;&lt;RecNum&gt;436&lt;/RecNum&gt;&lt;DisplayText&gt;[361]&lt;/DisplayText&gt;&lt;record&gt;&lt;rec-number&gt;436&lt;/rec-number&gt;&lt;foreign-keys&gt;&lt;key app="EN" db-id="sz9092dv2s5fpze9wpgx0zxgv5ar00aezrvf" timestamp="1462895675"&gt;436&lt;/key&gt;&lt;/foreign-keys&gt;&lt;ref-type name="Journal Article"&gt;17&lt;/ref-type&gt;&lt;contributors&gt;&lt;authors&gt;&lt;author&gt;Duthie, Tessa&lt;/author&gt;&lt;author&gt;Trueman, Paul&lt;/author&gt;&lt;author&gt;Chancellor, Jeremy&lt;/author&gt;&lt;author&gt;Diez, Lara&lt;/author&gt;&lt;/authors&gt;&lt;/contributors&gt;&lt;titles&gt;&lt;title&gt;Research into the use of health economics in decision making in the United Kingdom—Phase II: Is health economics ‘for good or evil’?&lt;/title&gt;&lt;secondary-title&gt;Health Policy&lt;/secondary-title&gt;&lt;/titles&gt;&lt;periodical&gt;&lt;full-title&gt;Health Policy&lt;/full-title&gt;&lt;/periodical&gt;&lt;pages&gt;143-157&lt;/pages&gt;&lt;volume&gt;46&lt;/volume&gt;&lt;number&gt;2&lt;/number&gt;&lt;dates&gt;&lt;year&gt;1999&lt;/year&gt;&lt;/dates&gt;&lt;isbn&gt;0168-8510&lt;/isbn&gt;&lt;urls&gt;&lt;/urls&gt;&lt;/record&gt;&lt;/Cite&gt;&lt;/EndNote&gt;</w:instrText>
      </w:r>
      <w:r w:rsidR="003817B6" w:rsidRPr="00F10391">
        <w:fldChar w:fldCharType="separate"/>
      </w:r>
      <w:r w:rsidR="00D24504">
        <w:rPr>
          <w:noProof/>
        </w:rPr>
        <w:t>[361]</w:t>
      </w:r>
      <w:r w:rsidR="003817B6" w:rsidRPr="00F10391">
        <w:fldChar w:fldCharType="end"/>
      </w:r>
      <w:r w:rsidR="003817B6" w:rsidRPr="00F10391">
        <w:t>.</w:t>
      </w:r>
    </w:p>
    <w:p w14:paraId="0986C850" w14:textId="77777777" w:rsidR="006A23F7" w:rsidRPr="00F10391" w:rsidRDefault="006A23F7">
      <w:r w:rsidRPr="00F10391">
        <w:t xml:space="preserve">There is no one-size-fits-all MCDA approach possible in all public health settings. MCDA approaches should be designed in line with the specific decision context </w:t>
      </w:r>
      <w:r w:rsidR="00C3050D">
        <w:fldChar w:fldCharType="begin"/>
      </w:r>
      <w:r w:rsidR="00700267">
        <w:instrText xml:space="preserve"> ADDIN EN.CITE &lt;EndNote&gt;&lt;Cite&gt;&lt;Author&gt;Dodgson&lt;/Author&gt;&lt;Year&gt;2009&lt;/Year&gt;&lt;RecNum&gt;38&lt;/RecNum&gt;&lt;DisplayText&gt;[125]&lt;/DisplayText&gt;&lt;record&gt;&lt;rec-number&gt;38&lt;/rec-number&gt;&lt;foreign-keys&gt;&lt;key app="EN" db-id="sz9092dv2s5fpze9wpgx0zxgv5ar00aezrvf" timestamp="0"&gt;38&lt;/key&gt;&lt;/foreign-keys&gt;&lt;ref-type name="Book"&gt;6&lt;/ref-type&gt;&lt;contributors&gt;&lt;authors&gt;&lt;author&gt;Dodgson, JS&lt;/author&gt;&lt;author&gt;Spackman, Michael&lt;/author&gt;&lt;author&gt;Pearman, Alan&lt;/author&gt;&lt;author&gt;Phillips, LD&lt;/author&gt;&lt;/authors&gt;&lt;/contributors&gt;&lt;titles&gt;&lt;title&gt;Multi-criteria analysis: a manual&lt;/title&gt;&lt;/titles&gt;&lt;dates&gt;&lt;year&gt;2009&lt;/year&gt;&lt;/dates&gt;&lt;publisher&gt;Department for Communities and Local Government: London&lt;/publisher&gt;&lt;isbn&gt;1409810232&lt;/isbn&gt;&lt;urls&gt;&lt;/urls&gt;&lt;/record&gt;&lt;/Cite&gt;&lt;/EndNote&gt;</w:instrText>
      </w:r>
      <w:r w:rsidR="00C3050D">
        <w:fldChar w:fldCharType="separate"/>
      </w:r>
      <w:r w:rsidR="00700267">
        <w:rPr>
          <w:noProof/>
        </w:rPr>
        <w:t>[125]</w:t>
      </w:r>
      <w:r w:rsidR="00C3050D">
        <w:fldChar w:fldCharType="end"/>
      </w:r>
      <w:r w:rsidR="00C3050D">
        <w:t xml:space="preserve"> </w:t>
      </w:r>
      <w:r w:rsidRPr="00F10391">
        <w:t>- and public health settings are particularly context-dependent themselves, given their heterogeneity. As such, it should not be surprising that such techniques in public health settings need to be carefully designed to their settings</w:t>
      </w:r>
      <w:r w:rsidR="00675E2C">
        <w:t>. In fact, it</w:t>
      </w:r>
      <w:r w:rsidR="003D23B3">
        <w:t xml:space="preserve"> is very possible that</w:t>
      </w:r>
      <w:r w:rsidRPr="00F10391">
        <w:t xml:space="preserve"> imposing insensitive over-arching frameworks could actually make decisions worse and less consistent than the status quo. MCDA approaches could nonetheless be tailored for use in more of the specific settings that make up the sub-processes of decision-m</w:t>
      </w:r>
      <w:r w:rsidR="00903EC3">
        <w:t>aking, as described in Chapter 4</w:t>
      </w:r>
      <w:r w:rsidRPr="00F10391">
        <w:t>.</w:t>
      </w:r>
    </w:p>
    <w:p w14:paraId="12BF667B" w14:textId="77777777" w:rsidR="00D22CE3" w:rsidRPr="00F10391" w:rsidRDefault="006A23F7">
      <w:r>
        <w:t xml:space="preserve">Prior to this thesis, there were no known applications of such approaches to </w:t>
      </w:r>
      <w:r w:rsidR="00C3050D">
        <w:t>the CPH</w:t>
      </w:r>
      <w:r>
        <w:t xml:space="preserve"> or similar organisations</w:t>
      </w:r>
      <w:r w:rsidR="00C3050D">
        <w:t xml:space="preserve"> in public health</w:t>
      </w:r>
      <w:r w:rsidR="00903EC3">
        <w:t xml:space="preserve">. </w:t>
      </w:r>
      <w:r w:rsidR="00C3050D">
        <w:t>NICE</w:t>
      </w:r>
      <w:r>
        <w:t xml:space="preserve"> takes into account a number of factors in its </w:t>
      </w:r>
      <w:r w:rsidR="00C3050D">
        <w:t xml:space="preserve">public health </w:t>
      </w:r>
      <w:r>
        <w:t xml:space="preserve">decision-making processes. </w:t>
      </w:r>
      <w:r w:rsidR="003817B6">
        <w:t xml:space="preserve">The review in </w:t>
      </w:r>
      <w:r>
        <w:t xml:space="preserve">Chapter 5 showed </w:t>
      </w:r>
      <w:r w:rsidR="003817B6">
        <w:t xml:space="preserve">clearly </w:t>
      </w:r>
      <w:r>
        <w:t xml:space="preserve">that </w:t>
      </w:r>
      <w:r w:rsidR="00903EC3">
        <w:t xml:space="preserve">a large number of such </w:t>
      </w:r>
      <w:r>
        <w:t xml:space="preserve">factors </w:t>
      </w:r>
      <w:r w:rsidR="00C3050D">
        <w:t xml:space="preserve">are included </w:t>
      </w:r>
      <w:r>
        <w:t>explicitly in public health</w:t>
      </w:r>
      <w:r w:rsidR="00903EC3">
        <w:t xml:space="preserve"> economic modelling</w:t>
      </w:r>
      <w:r>
        <w:t xml:space="preserve">, </w:t>
      </w:r>
      <w:r w:rsidR="003817B6">
        <w:t xml:space="preserve">from both inside and outside of healthcare. But issues </w:t>
      </w:r>
      <w:r w:rsidR="00C3050D">
        <w:t xml:space="preserve">may also </w:t>
      </w:r>
      <w:r>
        <w:t>be made implicitly</w:t>
      </w:r>
      <w:r w:rsidR="003D23B3">
        <w:t xml:space="preserve"> at other stages</w:t>
      </w:r>
      <w:r>
        <w:t xml:space="preserve">, </w:t>
      </w:r>
      <w:r w:rsidR="003D23B3">
        <w:t>including</w:t>
      </w:r>
      <w:r>
        <w:t xml:space="preserve"> factors </w:t>
      </w:r>
      <w:r w:rsidR="00EB0F11">
        <w:t>relating</w:t>
      </w:r>
      <w:r>
        <w:t xml:space="preserve"> to equity or political feasibility. </w:t>
      </w:r>
      <w:r w:rsidR="00D22CE3" w:rsidRPr="00F10391">
        <w:t xml:space="preserve">At present it is unclear how much emphasis is being placed on the different criteria, and </w:t>
      </w:r>
      <w:r w:rsidR="00903EC3">
        <w:t xml:space="preserve">therefore </w:t>
      </w:r>
      <w:r w:rsidR="00D22CE3" w:rsidRPr="00F10391">
        <w:t>what opportunity costs can be ascribed to the decisions derived from these. At local government level, the public health prioritisation process is more openly political, potentially making decisions even more complex. At the same time, there are potentially a range of relatively simple steps that could be taken to incorporate MCDA (or MCDA-inspired) a</w:t>
      </w:r>
      <w:r w:rsidR="00903EC3">
        <w:t>pproaches into these processes</w:t>
      </w:r>
      <w:r w:rsidR="003D23B3">
        <w:t>, which were</w:t>
      </w:r>
      <w:r w:rsidR="00903EC3">
        <w:t xml:space="preserve"> </w:t>
      </w:r>
      <w:r w:rsidR="00D22CE3" w:rsidRPr="00F10391">
        <w:t>described again in the last section.</w:t>
      </w:r>
    </w:p>
    <w:p w14:paraId="53CB36BE" w14:textId="77777777" w:rsidR="00D22CE3" w:rsidRDefault="006A47EC">
      <w:r>
        <w:t xml:space="preserve">The major </w:t>
      </w:r>
      <w:r w:rsidR="00D22CE3" w:rsidRPr="00F10391">
        <w:t>d</w:t>
      </w:r>
      <w:r>
        <w:t>anger imposed by forcing overly-</w:t>
      </w:r>
      <w:r w:rsidR="00D22CE3" w:rsidRPr="00F10391">
        <w:t>prescriptive solutions onto messy, human problems is that we may end up with an ‘answer’ that does not reflect the original intentions.</w:t>
      </w:r>
      <w:r w:rsidR="006A23F7">
        <w:t xml:space="preserve"> </w:t>
      </w:r>
      <w:r w:rsidR="00EB0F11">
        <w:t>I</w:t>
      </w:r>
      <w:r w:rsidR="00903EC3">
        <w:t>n some cases, it is</w:t>
      </w:r>
      <w:r w:rsidR="003817B6">
        <w:t xml:space="preserve"> also</w:t>
      </w:r>
      <w:r w:rsidR="00903EC3">
        <w:t xml:space="preserve"> plausible </w:t>
      </w:r>
      <w:r w:rsidR="00EB0F11">
        <w:t>that t</w:t>
      </w:r>
      <w:r w:rsidR="006A23F7">
        <w:t xml:space="preserve">he overall process (of which the model </w:t>
      </w:r>
      <w:r w:rsidR="00903EC3">
        <w:t>may be</w:t>
      </w:r>
      <w:r w:rsidR="006A23F7">
        <w:t xml:space="preserve"> only part) </w:t>
      </w:r>
      <w:r w:rsidR="00903EC3">
        <w:t xml:space="preserve">will </w:t>
      </w:r>
      <w:r w:rsidR="006A23F7">
        <w:t>also need to be cognisant of sensitive factors whic</w:t>
      </w:r>
      <w:r w:rsidR="00EB0F11">
        <w:t xml:space="preserve">h may not be suitable for explicit publication. </w:t>
      </w:r>
      <w:r w:rsidR="00D22CE3" w:rsidRPr="00F10391">
        <w:t xml:space="preserve">As a result, deliberation between decision-makers is likely to always </w:t>
      </w:r>
      <w:r w:rsidR="00EB0F11">
        <w:t xml:space="preserve">be required. </w:t>
      </w:r>
      <w:r w:rsidR="00903EC3">
        <w:t>Prior to this</w:t>
      </w:r>
      <w:r w:rsidR="003817B6">
        <w:t xml:space="preserve"> stage</w:t>
      </w:r>
      <w:r w:rsidR="00903EC3">
        <w:t xml:space="preserve">, </w:t>
      </w:r>
      <w:r w:rsidR="00EB0F11">
        <w:t>MCDA approaches could</w:t>
      </w:r>
      <w:r w:rsidR="00903EC3">
        <w:t xml:space="preserve"> be used in tandem with current e</w:t>
      </w:r>
      <w:r w:rsidR="00D22CE3" w:rsidRPr="00F10391">
        <w:t>conomic evaluation approaches</w:t>
      </w:r>
      <w:r w:rsidR="003817B6">
        <w:t xml:space="preserve"> where required,</w:t>
      </w:r>
      <w:r w:rsidR="00D22CE3" w:rsidRPr="00F10391">
        <w:t xml:space="preserve"> and need not necessarily simply usurp them. Current HTA models recognise that they are simplifications and do not claim to take into account every potentially relevant factor. No matter how complex they are, no MCDA approach will take every possible criterion into account in every circumstance either. Deliberation should </w:t>
      </w:r>
      <w:r w:rsidR="003817B6">
        <w:t xml:space="preserve">therefore </w:t>
      </w:r>
      <w:r w:rsidR="00D22CE3" w:rsidRPr="00F10391">
        <w:t>remain widely used to ensure such common sense comes to the fore.</w:t>
      </w:r>
    </w:p>
    <w:p w14:paraId="35FFFF36" w14:textId="77777777" w:rsidR="00EB0F11" w:rsidRPr="00F10391" w:rsidRDefault="00EB0F11">
      <w:r>
        <w:t>One example of an approach tailored to the NICE context was described in Chapter 6. This approach was found to work relatively well in this setting and offered many advantages over the prior</w:t>
      </w:r>
      <w:r w:rsidR="003D23B3">
        <w:t xml:space="preserve"> topic appraisal</w:t>
      </w:r>
      <w:r>
        <w:t xml:space="preserve"> approach, though it has not yet been implemented. Another, more ambitious</w:t>
      </w:r>
      <w:r w:rsidR="006A47EC">
        <w:t>,</w:t>
      </w:r>
      <w:r>
        <w:t xml:space="preserve"> action research project is described in Chapter 7. This showed that expert evidence could successfully be elicited using MCDA, where harder evidence is unavailable. It also shows the importance of designing a process where softer issues are taken into account, such as </w:t>
      </w:r>
      <w:r w:rsidR="006A47EC">
        <w:t>knowing if stakeholders need to be involved throughout the</w:t>
      </w:r>
      <w:r>
        <w:t xml:space="preserve"> decision</w:t>
      </w:r>
      <w:r w:rsidR="006A47EC">
        <w:t xml:space="preserve"> process</w:t>
      </w:r>
      <w:r>
        <w:t xml:space="preserve">. This </w:t>
      </w:r>
      <w:r w:rsidR="006A47EC">
        <w:t>project</w:t>
      </w:r>
      <w:r>
        <w:t xml:space="preserve"> influenced subsequent spending on tobacco interventions across all four boroughs, and can be said to have been both accessible and acceptable to</w:t>
      </w:r>
      <w:r w:rsidR="006A47EC">
        <w:t xml:space="preserve"> relevant</w:t>
      </w:r>
      <w:r>
        <w:t xml:space="preserve"> decision-makers.  </w:t>
      </w:r>
    </w:p>
    <w:p w14:paraId="38EE973B" w14:textId="14F0FCD6" w:rsidR="00D22CE3" w:rsidRPr="00F10391" w:rsidRDefault="009E2AFE">
      <w:r w:rsidRPr="00F10391">
        <w:t xml:space="preserve">The </w:t>
      </w:r>
      <w:r>
        <w:t>thesis set out</w:t>
      </w:r>
      <w:r w:rsidRPr="00F10391">
        <w:t xml:space="preserve"> to explore if </w:t>
      </w:r>
      <w:r>
        <w:t>MCDA approaches</w:t>
      </w:r>
      <w:r w:rsidRPr="00F10391">
        <w:t xml:space="preserve"> c</w:t>
      </w:r>
      <w:r>
        <w:t>ould</w:t>
      </w:r>
      <w:r w:rsidRPr="00F10391">
        <w:t xml:space="preserve"> be designed that are suitable for use at decision-maker level in public health </w:t>
      </w:r>
      <w:r>
        <w:t xml:space="preserve">in </w:t>
      </w:r>
      <w:r w:rsidRPr="00F10391">
        <w:t xml:space="preserve">England. </w:t>
      </w:r>
      <w:r w:rsidR="00D22CE3" w:rsidRPr="00F10391">
        <w:t xml:space="preserve">It has shown where MCDA has been used in public health settings worldwide, described the current frameworks used to structure the decision-making process in public health in England, highlighted the range of criteria that are already used and provided two successful case studies that have implemented proposed approaches, in both NICE and at local government level. </w:t>
      </w:r>
      <w:r w:rsidR="00EB0F11">
        <w:t>MCDA approaches, when paired with deliberation appear to offer a number of advantages over deliberation alone. NICE, local governments and other decision-making organisation</w:t>
      </w:r>
      <w:r w:rsidR="006A47EC">
        <w:t>s</w:t>
      </w:r>
      <w:r w:rsidR="00EB0F11">
        <w:t xml:space="preserve"> elsewhere should consider testing them further</w:t>
      </w:r>
      <w:r w:rsidR="006A47EC">
        <w:t xml:space="preserve"> in suitable settings,</w:t>
      </w:r>
      <w:r w:rsidR="00EB0F11">
        <w:t xml:space="preserve"> with the aim of future implementation</w:t>
      </w:r>
      <w:r w:rsidR="00903EC3">
        <w:t>. W</w:t>
      </w:r>
      <w:r w:rsidR="00D22CE3" w:rsidRPr="00F10391">
        <w:t xml:space="preserve">here they can be carefully designed to suit the broader decision-making process, I conclude that such approaches appear to be suitable and useful in many such settings in England. </w:t>
      </w:r>
    </w:p>
    <w:p w14:paraId="342C7964" w14:textId="77777777" w:rsidR="00C33835" w:rsidRPr="00F10391" w:rsidRDefault="00C33835" w:rsidP="0063065F">
      <w:pPr>
        <w:rPr>
          <w:sz w:val="28"/>
          <w:szCs w:val="28"/>
        </w:rPr>
      </w:pPr>
      <w:r w:rsidRPr="00F10391">
        <w:br w:type="page"/>
      </w:r>
    </w:p>
    <w:p w14:paraId="2939CBB2" w14:textId="77777777" w:rsidR="00D22CE3" w:rsidRPr="00F10391" w:rsidRDefault="00D22CE3">
      <w:pPr>
        <w:pStyle w:val="Heading1"/>
        <w:numPr>
          <w:ilvl w:val="0"/>
          <w:numId w:val="0"/>
        </w:numPr>
      </w:pPr>
      <w:bookmarkStart w:id="879" w:name="_Toc453595567"/>
      <w:bookmarkStart w:id="880" w:name="_Toc476241664"/>
      <w:r w:rsidRPr="00F10391">
        <w:t>References</w:t>
      </w:r>
      <w:bookmarkEnd w:id="879"/>
      <w:bookmarkEnd w:id="880"/>
    </w:p>
    <w:p w14:paraId="29482164" w14:textId="77777777" w:rsidR="00D22CE3" w:rsidRPr="00F10391" w:rsidRDefault="00D22CE3" w:rsidP="00494A9A"/>
    <w:p w14:paraId="01207E73" w14:textId="77777777" w:rsidR="00E516A2" w:rsidRPr="00E516A2" w:rsidRDefault="00D22CE3" w:rsidP="00E516A2">
      <w:pPr>
        <w:pStyle w:val="EndNoteBibliography"/>
        <w:spacing w:after="0"/>
        <w:ind w:left="720" w:hanging="720"/>
        <w:rPr>
          <w:noProof/>
        </w:rPr>
      </w:pPr>
      <w:r w:rsidRPr="00F10391">
        <w:fldChar w:fldCharType="begin"/>
      </w:r>
      <w:r w:rsidRPr="00F10391">
        <w:instrText xml:space="preserve"> ADDIN EN.REFLIST </w:instrText>
      </w:r>
      <w:r w:rsidRPr="00F10391">
        <w:fldChar w:fldCharType="separate"/>
      </w:r>
      <w:r w:rsidR="00E516A2" w:rsidRPr="00E516A2">
        <w:rPr>
          <w:noProof/>
        </w:rPr>
        <w:t>1.</w:t>
      </w:r>
      <w:r w:rsidR="00E516A2" w:rsidRPr="00E516A2">
        <w:rPr>
          <w:noProof/>
        </w:rPr>
        <w:tab/>
        <w:t xml:space="preserve">Williams, I. and S. Bryan, </w:t>
      </w:r>
      <w:r w:rsidR="00E516A2" w:rsidRPr="00E516A2">
        <w:rPr>
          <w:i/>
          <w:noProof/>
        </w:rPr>
        <w:t>Understanding the limited impact of economic evaluation in health care resource allocation: a conceptual framework.</w:t>
      </w:r>
      <w:r w:rsidR="00E516A2" w:rsidRPr="00E516A2">
        <w:rPr>
          <w:noProof/>
        </w:rPr>
        <w:t xml:space="preserve"> Health Policy, 2007. </w:t>
      </w:r>
      <w:r w:rsidR="00E516A2" w:rsidRPr="00E516A2">
        <w:rPr>
          <w:b/>
          <w:noProof/>
        </w:rPr>
        <w:t>80</w:t>
      </w:r>
      <w:r w:rsidR="00E516A2" w:rsidRPr="00E516A2">
        <w:rPr>
          <w:noProof/>
        </w:rPr>
        <w:t>(1): p. 135-143.</w:t>
      </w:r>
    </w:p>
    <w:p w14:paraId="50D30AAD" w14:textId="77777777" w:rsidR="00E516A2" w:rsidRPr="00E516A2" w:rsidRDefault="00E516A2" w:rsidP="00E516A2">
      <w:pPr>
        <w:pStyle w:val="EndNoteBibliography"/>
        <w:spacing w:after="0"/>
        <w:ind w:left="720" w:hanging="720"/>
        <w:rPr>
          <w:noProof/>
        </w:rPr>
      </w:pPr>
      <w:r w:rsidRPr="00E516A2">
        <w:rPr>
          <w:noProof/>
        </w:rPr>
        <w:t>2.</w:t>
      </w:r>
      <w:r w:rsidRPr="00E516A2">
        <w:rPr>
          <w:noProof/>
        </w:rPr>
        <w:tab/>
        <w:t xml:space="preserve">Wanless, D., </w:t>
      </w:r>
      <w:r w:rsidRPr="00E516A2">
        <w:rPr>
          <w:i/>
          <w:noProof/>
        </w:rPr>
        <w:t>Securing our future health: taking a long-term view.</w:t>
      </w:r>
      <w:r w:rsidRPr="00E516A2">
        <w:rPr>
          <w:noProof/>
        </w:rPr>
        <w:t xml:space="preserve"> London: HM Treasury, 2002: p. 39.</w:t>
      </w:r>
    </w:p>
    <w:p w14:paraId="390E6247" w14:textId="77777777" w:rsidR="00E516A2" w:rsidRPr="00E516A2" w:rsidRDefault="00E516A2" w:rsidP="00E516A2">
      <w:pPr>
        <w:pStyle w:val="EndNoteBibliography"/>
        <w:spacing w:after="0"/>
        <w:ind w:left="720" w:hanging="720"/>
        <w:rPr>
          <w:noProof/>
        </w:rPr>
      </w:pPr>
      <w:r w:rsidRPr="00E516A2">
        <w:rPr>
          <w:noProof/>
        </w:rPr>
        <w:t>3.</w:t>
      </w:r>
      <w:r w:rsidRPr="00E516A2">
        <w:rPr>
          <w:noProof/>
        </w:rPr>
        <w:tab/>
        <w:t xml:space="preserve">Kelly, M., et al., </w:t>
      </w:r>
      <w:r w:rsidRPr="00E516A2">
        <w:rPr>
          <w:i/>
          <w:noProof/>
        </w:rPr>
        <w:t>Evidence based public health: a review of the experience of the National Institute of Health and Clinical Excellence (NICE) of developing public health guidance in England.</w:t>
      </w:r>
      <w:r w:rsidRPr="00E516A2">
        <w:rPr>
          <w:noProof/>
        </w:rPr>
        <w:t xml:space="preserve"> Social science &amp; medicine, 2010. </w:t>
      </w:r>
      <w:r w:rsidRPr="00E516A2">
        <w:rPr>
          <w:b/>
          <w:noProof/>
        </w:rPr>
        <w:t>71</w:t>
      </w:r>
      <w:r w:rsidRPr="00E516A2">
        <w:rPr>
          <w:noProof/>
        </w:rPr>
        <w:t>(6): p. 1056-1062.</w:t>
      </w:r>
    </w:p>
    <w:p w14:paraId="7830EFE6" w14:textId="77777777" w:rsidR="00E516A2" w:rsidRPr="00E516A2" w:rsidRDefault="00E516A2" w:rsidP="00E516A2">
      <w:pPr>
        <w:pStyle w:val="EndNoteBibliography"/>
        <w:spacing w:after="0"/>
        <w:ind w:left="720" w:hanging="720"/>
        <w:rPr>
          <w:noProof/>
        </w:rPr>
      </w:pPr>
      <w:r w:rsidRPr="00E516A2">
        <w:rPr>
          <w:noProof/>
        </w:rPr>
        <w:t>4.</w:t>
      </w:r>
      <w:r w:rsidRPr="00E516A2">
        <w:rPr>
          <w:noProof/>
        </w:rPr>
        <w:tab/>
        <w:t xml:space="preserve">Devlin, N. and J. Sussex, </w:t>
      </w:r>
      <w:r w:rsidRPr="00E516A2">
        <w:rPr>
          <w:i/>
          <w:noProof/>
        </w:rPr>
        <w:t>Incorporating multiple criteria in HTA: methods and processes.</w:t>
      </w:r>
      <w:r w:rsidRPr="00E516A2">
        <w:rPr>
          <w:noProof/>
        </w:rPr>
        <w:t xml:space="preserve"> London: Office of health economics, 2011.</w:t>
      </w:r>
    </w:p>
    <w:p w14:paraId="7BBE09F0" w14:textId="77777777" w:rsidR="00E516A2" w:rsidRPr="00E516A2" w:rsidRDefault="00E516A2" w:rsidP="00E516A2">
      <w:pPr>
        <w:pStyle w:val="EndNoteBibliography"/>
        <w:spacing w:after="0"/>
        <w:ind w:left="720" w:hanging="720"/>
        <w:rPr>
          <w:noProof/>
        </w:rPr>
      </w:pPr>
      <w:r w:rsidRPr="00E516A2">
        <w:rPr>
          <w:noProof/>
        </w:rPr>
        <w:t>5.</w:t>
      </w:r>
      <w:r w:rsidRPr="00E516A2">
        <w:rPr>
          <w:noProof/>
        </w:rPr>
        <w:tab/>
        <w:t xml:space="preserve">Thokala, P. and A. Duenas, </w:t>
      </w:r>
      <w:r w:rsidRPr="00E516A2">
        <w:rPr>
          <w:i/>
          <w:noProof/>
        </w:rPr>
        <w:t>Multiple criteria decision analysis for health technology assessment.</w:t>
      </w:r>
      <w:r w:rsidRPr="00E516A2">
        <w:rPr>
          <w:noProof/>
        </w:rPr>
        <w:t xml:space="preserve"> Value in Health, 2012. </w:t>
      </w:r>
      <w:r w:rsidRPr="00E516A2">
        <w:rPr>
          <w:b/>
          <w:noProof/>
        </w:rPr>
        <w:t>15</w:t>
      </w:r>
      <w:r w:rsidRPr="00E516A2">
        <w:rPr>
          <w:noProof/>
        </w:rPr>
        <w:t>(8): p. 1172-1181.</w:t>
      </w:r>
    </w:p>
    <w:p w14:paraId="699AFA67" w14:textId="77777777" w:rsidR="00E516A2" w:rsidRPr="00E516A2" w:rsidRDefault="00E516A2" w:rsidP="00E516A2">
      <w:pPr>
        <w:pStyle w:val="EndNoteBibliography"/>
        <w:spacing w:after="0"/>
        <w:ind w:left="720" w:hanging="720"/>
        <w:rPr>
          <w:noProof/>
        </w:rPr>
      </w:pPr>
      <w:r w:rsidRPr="00E516A2">
        <w:rPr>
          <w:noProof/>
        </w:rPr>
        <w:t>6.</w:t>
      </w:r>
      <w:r w:rsidRPr="00E516A2">
        <w:rPr>
          <w:noProof/>
        </w:rPr>
        <w:tab/>
        <w:t xml:space="preserve">Baltussen, R. and L. Niessen, </w:t>
      </w:r>
      <w:r w:rsidRPr="00E516A2">
        <w:rPr>
          <w:i/>
          <w:noProof/>
        </w:rPr>
        <w:t>Priority setting of health interventions: the need for multi-criteria decision analysis.</w:t>
      </w:r>
      <w:r w:rsidRPr="00E516A2">
        <w:rPr>
          <w:noProof/>
        </w:rPr>
        <w:t xml:space="preserve"> Cost Effectiveness and Resource Allocation, 2006. </w:t>
      </w:r>
      <w:r w:rsidRPr="00E516A2">
        <w:rPr>
          <w:b/>
          <w:noProof/>
        </w:rPr>
        <w:t>4</w:t>
      </w:r>
      <w:r w:rsidRPr="00E516A2">
        <w:rPr>
          <w:noProof/>
        </w:rPr>
        <w:t>(1): p. 14.</w:t>
      </w:r>
    </w:p>
    <w:p w14:paraId="4B1BD65E" w14:textId="77777777" w:rsidR="00E516A2" w:rsidRPr="00E516A2" w:rsidRDefault="00E516A2" w:rsidP="00E516A2">
      <w:pPr>
        <w:pStyle w:val="EndNoteBibliography"/>
        <w:spacing w:after="0"/>
        <w:ind w:left="720" w:hanging="720"/>
        <w:rPr>
          <w:noProof/>
        </w:rPr>
      </w:pPr>
      <w:r w:rsidRPr="00E516A2">
        <w:rPr>
          <w:noProof/>
        </w:rPr>
        <w:t>7.</w:t>
      </w:r>
      <w:r w:rsidRPr="00E516A2">
        <w:rPr>
          <w:noProof/>
        </w:rPr>
        <w:tab/>
        <w:t xml:space="preserve">Diaby, V., K. Campbell, and R. Goeree, </w:t>
      </w:r>
      <w:r w:rsidRPr="00E516A2">
        <w:rPr>
          <w:i/>
          <w:noProof/>
        </w:rPr>
        <w:t>Multi-criteria decision analysis (MCDA) in health care: a bibliometric analysis.</w:t>
      </w:r>
      <w:r w:rsidRPr="00E516A2">
        <w:rPr>
          <w:noProof/>
        </w:rPr>
        <w:t xml:space="preserve"> Operations Research for Health Care, 2013. </w:t>
      </w:r>
      <w:r w:rsidRPr="00E516A2">
        <w:rPr>
          <w:b/>
          <w:noProof/>
        </w:rPr>
        <w:t>2</w:t>
      </w:r>
      <w:r w:rsidRPr="00E516A2">
        <w:rPr>
          <w:noProof/>
        </w:rPr>
        <w:t>(1): p. 20-24.</w:t>
      </w:r>
    </w:p>
    <w:p w14:paraId="637A2F30" w14:textId="77777777" w:rsidR="00E516A2" w:rsidRPr="00E516A2" w:rsidRDefault="00E516A2" w:rsidP="00E516A2">
      <w:pPr>
        <w:pStyle w:val="EndNoteBibliography"/>
        <w:spacing w:after="0"/>
        <w:ind w:left="720" w:hanging="720"/>
        <w:rPr>
          <w:noProof/>
        </w:rPr>
      </w:pPr>
      <w:r w:rsidRPr="00E516A2">
        <w:rPr>
          <w:noProof/>
        </w:rPr>
        <w:t>8.</w:t>
      </w:r>
      <w:r w:rsidRPr="00E516A2">
        <w:rPr>
          <w:noProof/>
        </w:rPr>
        <w:tab/>
        <w:t xml:space="preserve">Keeney, R.L. and H. Raiffa, </w:t>
      </w:r>
      <w:r w:rsidRPr="00E516A2">
        <w:rPr>
          <w:i/>
          <w:noProof/>
        </w:rPr>
        <w:t>Decisions with multiple objectives: preferences and value trade-offs</w:t>
      </w:r>
      <w:r w:rsidRPr="00E516A2">
        <w:rPr>
          <w:noProof/>
        </w:rPr>
        <w:t>. 1993: Cambridge university press.</w:t>
      </w:r>
    </w:p>
    <w:p w14:paraId="4FD0AB5B" w14:textId="77777777" w:rsidR="00E516A2" w:rsidRPr="00E516A2" w:rsidRDefault="00E516A2" w:rsidP="00E516A2">
      <w:pPr>
        <w:pStyle w:val="EndNoteBibliography"/>
        <w:spacing w:after="0"/>
        <w:ind w:left="720" w:hanging="720"/>
        <w:rPr>
          <w:noProof/>
        </w:rPr>
      </w:pPr>
      <w:r w:rsidRPr="00E516A2">
        <w:rPr>
          <w:noProof/>
        </w:rPr>
        <w:t>9.</w:t>
      </w:r>
      <w:r w:rsidRPr="00E516A2">
        <w:rPr>
          <w:noProof/>
        </w:rPr>
        <w:tab/>
        <w:t xml:space="preserve">Thokala, P., et al., </w:t>
      </w:r>
      <w:r w:rsidRPr="00E516A2">
        <w:rPr>
          <w:i/>
          <w:noProof/>
        </w:rPr>
        <w:t>Multiple Criteria Decision Analysis for Health Care Decision Making—An Introduction: Report 1 of the ISPOR MCDA Emerging Good Practices Task Force.</w:t>
      </w:r>
      <w:r w:rsidRPr="00E516A2">
        <w:rPr>
          <w:noProof/>
        </w:rPr>
        <w:t xml:space="preserve"> Value in Health, 2016.</w:t>
      </w:r>
    </w:p>
    <w:p w14:paraId="66F58CED" w14:textId="77777777" w:rsidR="00E516A2" w:rsidRPr="00E516A2" w:rsidRDefault="00E516A2" w:rsidP="00E516A2">
      <w:pPr>
        <w:pStyle w:val="EndNoteBibliography"/>
        <w:spacing w:after="0"/>
        <w:ind w:left="720" w:hanging="720"/>
        <w:rPr>
          <w:noProof/>
        </w:rPr>
      </w:pPr>
      <w:r w:rsidRPr="00E516A2">
        <w:rPr>
          <w:noProof/>
        </w:rPr>
        <w:t>10.</w:t>
      </w:r>
      <w:r w:rsidRPr="00E516A2">
        <w:rPr>
          <w:noProof/>
        </w:rPr>
        <w:tab/>
        <w:t xml:space="preserve">NICE, </w:t>
      </w:r>
      <w:r w:rsidRPr="00E516A2">
        <w:rPr>
          <w:i/>
          <w:noProof/>
        </w:rPr>
        <w:t>Methods for the development of NICE public health guidance</w:t>
      </w:r>
      <w:r w:rsidRPr="00E516A2">
        <w:rPr>
          <w:noProof/>
        </w:rPr>
        <w:t>. 2012, National Institute for Health and Care Excellence.: London.</w:t>
      </w:r>
    </w:p>
    <w:p w14:paraId="4182E6A3" w14:textId="77777777" w:rsidR="00E516A2" w:rsidRPr="00E516A2" w:rsidRDefault="00E516A2" w:rsidP="00E516A2">
      <w:pPr>
        <w:pStyle w:val="EndNoteBibliography"/>
        <w:spacing w:after="0"/>
        <w:ind w:left="720" w:hanging="720"/>
        <w:rPr>
          <w:noProof/>
        </w:rPr>
      </w:pPr>
      <w:r w:rsidRPr="00E516A2">
        <w:rPr>
          <w:noProof/>
        </w:rPr>
        <w:t>11.</w:t>
      </w:r>
      <w:r w:rsidRPr="00E516A2">
        <w:rPr>
          <w:noProof/>
        </w:rPr>
        <w:tab/>
        <w:t xml:space="preserve">Remme, J., et al., </w:t>
      </w:r>
      <w:r w:rsidRPr="00E516A2">
        <w:rPr>
          <w:i/>
          <w:noProof/>
        </w:rPr>
        <w:t>Defining Research to Improve Health Systems.</w:t>
      </w:r>
      <w:r w:rsidRPr="00E516A2">
        <w:rPr>
          <w:noProof/>
        </w:rPr>
        <w:t xml:space="preserve"> PLOS Medicine, 2010. </w:t>
      </w:r>
      <w:r w:rsidRPr="00E516A2">
        <w:rPr>
          <w:b/>
          <w:noProof/>
        </w:rPr>
        <w:t>7</w:t>
      </w:r>
      <w:r w:rsidRPr="00E516A2">
        <w:rPr>
          <w:noProof/>
        </w:rPr>
        <w:t>(11): p. 48.</w:t>
      </w:r>
    </w:p>
    <w:p w14:paraId="474CD016" w14:textId="77777777" w:rsidR="00E516A2" w:rsidRPr="00E516A2" w:rsidRDefault="00E516A2" w:rsidP="00E516A2">
      <w:pPr>
        <w:pStyle w:val="EndNoteBibliography"/>
        <w:spacing w:after="0"/>
        <w:ind w:left="720" w:hanging="720"/>
        <w:rPr>
          <w:noProof/>
        </w:rPr>
      </w:pPr>
      <w:r w:rsidRPr="00E516A2">
        <w:rPr>
          <w:noProof/>
        </w:rPr>
        <w:t>12.</w:t>
      </w:r>
      <w:r w:rsidRPr="00E516A2">
        <w:rPr>
          <w:noProof/>
        </w:rPr>
        <w:tab/>
        <w:t xml:space="preserve">Bhattacharyya, O., S. Reeves, and M. Zwarenstein, </w:t>
      </w:r>
      <w:r w:rsidRPr="00E516A2">
        <w:rPr>
          <w:i/>
          <w:noProof/>
        </w:rPr>
        <w:t>What is implementation research? Rationale, concepts, and practices.</w:t>
      </w:r>
      <w:r w:rsidRPr="00E516A2">
        <w:rPr>
          <w:noProof/>
        </w:rPr>
        <w:t xml:space="preserve"> Research on Social Work Practice, 2009. </w:t>
      </w:r>
      <w:r w:rsidRPr="00E516A2">
        <w:rPr>
          <w:b/>
          <w:noProof/>
        </w:rPr>
        <w:t>19</w:t>
      </w:r>
      <w:r w:rsidRPr="00E516A2">
        <w:rPr>
          <w:noProof/>
        </w:rPr>
        <w:t>(5): p. 491-502.</w:t>
      </w:r>
    </w:p>
    <w:p w14:paraId="7FFDAF29" w14:textId="77777777" w:rsidR="00E516A2" w:rsidRPr="00E516A2" w:rsidRDefault="00E516A2" w:rsidP="00E516A2">
      <w:pPr>
        <w:pStyle w:val="EndNoteBibliography"/>
        <w:spacing w:after="0"/>
        <w:ind w:left="720" w:hanging="720"/>
        <w:rPr>
          <w:noProof/>
        </w:rPr>
      </w:pPr>
      <w:r w:rsidRPr="00E516A2">
        <w:rPr>
          <w:noProof/>
        </w:rPr>
        <w:t>13.</w:t>
      </w:r>
      <w:r w:rsidRPr="00E516A2">
        <w:rPr>
          <w:noProof/>
        </w:rPr>
        <w:tab/>
        <w:t xml:space="preserve">Nilsen, P., </w:t>
      </w:r>
      <w:r w:rsidRPr="00E516A2">
        <w:rPr>
          <w:i/>
          <w:noProof/>
        </w:rPr>
        <w:t>Making sense of implementation theories, models and frameworks.</w:t>
      </w:r>
      <w:r w:rsidRPr="00E516A2">
        <w:rPr>
          <w:noProof/>
        </w:rPr>
        <w:t xml:space="preserve"> Implementation Science, 2015. </w:t>
      </w:r>
      <w:r w:rsidRPr="00E516A2">
        <w:rPr>
          <w:b/>
          <w:noProof/>
        </w:rPr>
        <w:t>10</w:t>
      </w:r>
      <w:r w:rsidRPr="00E516A2">
        <w:rPr>
          <w:noProof/>
        </w:rPr>
        <w:t>(1): p. 53.</w:t>
      </w:r>
    </w:p>
    <w:p w14:paraId="584B1990" w14:textId="77777777" w:rsidR="00E516A2" w:rsidRPr="00E516A2" w:rsidRDefault="00E516A2" w:rsidP="00E516A2">
      <w:pPr>
        <w:pStyle w:val="EndNoteBibliography"/>
        <w:spacing w:after="0"/>
        <w:ind w:left="720" w:hanging="720"/>
        <w:rPr>
          <w:noProof/>
        </w:rPr>
      </w:pPr>
      <w:r w:rsidRPr="00E516A2">
        <w:rPr>
          <w:noProof/>
        </w:rPr>
        <w:t>14.</w:t>
      </w:r>
      <w:r w:rsidRPr="00E516A2">
        <w:rPr>
          <w:noProof/>
        </w:rPr>
        <w:tab/>
        <w:t xml:space="preserve">Lee, M.S., </w:t>
      </w:r>
      <w:r w:rsidRPr="00E516A2">
        <w:rPr>
          <w:i/>
          <w:noProof/>
        </w:rPr>
        <w:t>How to match research designs to organisational issues in health and social care</w:t>
      </w:r>
      <w:r w:rsidRPr="00E516A2">
        <w:rPr>
          <w:noProof/>
        </w:rPr>
        <w:t xml:space="preserve">, in </w:t>
      </w:r>
      <w:r w:rsidRPr="00E516A2">
        <w:rPr>
          <w:i/>
          <w:noProof/>
        </w:rPr>
        <w:t>How to Conduct Research for Service Improvement: A Guidebook for Health and Social Care Professionals.</w:t>
      </w:r>
      <w:r w:rsidRPr="00E516A2">
        <w:rPr>
          <w:noProof/>
        </w:rPr>
        <w:t xml:space="preserve">, M. Byrne, Editor. 2013, Health Service Executive: Dublin. p. </w:t>
      </w:r>
      <w:r w:rsidRPr="00E516A2">
        <w:rPr>
          <w:b/>
          <w:noProof/>
        </w:rPr>
        <w:t>18-33</w:t>
      </w:r>
      <w:r w:rsidRPr="00E516A2">
        <w:rPr>
          <w:noProof/>
        </w:rPr>
        <w:t>.</w:t>
      </w:r>
    </w:p>
    <w:p w14:paraId="0208D62B" w14:textId="77777777" w:rsidR="00E516A2" w:rsidRPr="00E516A2" w:rsidRDefault="00E516A2" w:rsidP="00E516A2">
      <w:pPr>
        <w:pStyle w:val="EndNoteBibliography"/>
        <w:spacing w:after="0"/>
        <w:ind w:left="720" w:hanging="720"/>
        <w:rPr>
          <w:noProof/>
        </w:rPr>
      </w:pPr>
      <w:r w:rsidRPr="00E516A2">
        <w:rPr>
          <w:noProof/>
        </w:rPr>
        <w:t>15.</w:t>
      </w:r>
      <w:r w:rsidRPr="00E516A2">
        <w:rPr>
          <w:noProof/>
        </w:rPr>
        <w:tab/>
        <w:t xml:space="preserve">Damschroder, L.J., et al., </w:t>
      </w:r>
      <w:r w:rsidRPr="00E516A2">
        <w:rPr>
          <w:i/>
          <w:noProof/>
        </w:rPr>
        <w:t>Fostering implementation of health services research findings into practice: a consolidated framework for advancing implementation science.</w:t>
      </w:r>
      <w:r w:rsidRPr="00E516A2">
        <w:rPr>
          <w:noProof/>
        </w:rPr>
        <w:t xml:space="preserve"> Implement Sci, 2009. </w:t>
      </w:r>
      <w:r w:rsidRPr="00E516A2">
        <w:rPr>
          <w:b/>
          <w:noProof/>
        </w:rPr>
        <w:t>4</w:t>
      </w:r>
      <w:r w:rsidRPr="00E516A2">
        <w:rPr>
          <w:noProof/>
        </w:rPr>
        <w:t>(1): p. 50.</w:t>
      </w:r>
    </w:p>
    <w:p w14:paraId="0F59C950" w14:textId="77777777" w:rsidR="00E516A2" w:rsidRPr="00E516A2" w:rsidRDefault="00E516A2" w:rsidP="00E516A2">
      <w:pPr>
        <w:pStyle w:val="EndNoteBibliography"/>
        <w:spacing w:after="0"/>
        <w:ind w:left="720" w:hanging="720"/>
        <w:rPr>
          <w:noProof/>
        </w:rPr>
      </w:pPr>
      <w:r w:rsidRPr="00E516A2">
        <w:rPr>
          <w:noProof/>
        </w:rPr>
        <w:t>16.</w:t>
      </w:r>
      <w:r w:rsidRPr="00E516A2">
        <w:rPr>
          <w:noProof/>
        </w:rPr>
        <w:tab/>
        <w:t xml:space="preserve">Kennedy, I., </w:t>
      </w:r>
      <w:r w:rsidRPr="00E516A2">
        <w:rPr>
          <w:i/>
          <w:noProof/>
        </w:rPr>
        <w:t>Appraising the value of innovation and other benefits a short study for NICE.</w:t>
      </w:r>
      <w:r w:rsidRPr="00E516A2">
        <w:rPr>
          <w:noProof/>
        </w:rPr>
        <w:t xml:space="preserve"> 2009.</w:t>
      </w:r>
    </w:p>
    <w:p w14:paraId="6C033675" w14:textId="77777777" w:rsidR="00E516A2" w:rsidRPr="00E516A2" w:rsidRDefault="00E516A2" w:rsidP="00E516A2">
      <w:pPr>
        <w:pStyle w:val="EndNoteBibliography"/>
        <w:spacing w:after="0"/>
        <w:ind w:left="720" w:hanging="720"/>
        <w:rPr>
          <w:noProof/>
        </w:rPr>
      </w:pPr>
      <w:r w:rsidRPr="00E516A2">
        <w:rPr>
          <w:noProof/>
        </w:rPr>
        <w:t>17.</w:t>
      </w:r>
      <w:r w:rsidRPr="00E516A2">
        <w:rPr>
          <w:noProof/>
        </w:rPr>
        <w:tab/>
        <w:t xml:space="preserve">UK Government, </w:t>
      </w:r>
      <w:r w:rsidRPr="00E516A2">
        <w:rPr>
          <w:i/>
          <w:noProof/>
        </w:rPr>
        <w:t>The Health and Social Care Act</w:t>
      </w:r>
      <w:r w:rsidRPr="00E516A2">
        <w:rPr>
          <w:noProof/>
        </w:rPr>
        <w:t>. 2012, Stationery Office: London.</w:t>
      </w:r>
    </w:p>
    <w:p w14:paraId="4E34D02E" w14:textId="77777777" w:rsidR="00E516A2" w:rsidRPr="00E516A2" w:rsidRDefault="00E516A2" w:rsidP="00E516A2">
      <w:pPr>
        <w:pStyle w:val="EndNoteBibliography"/>
        <w:spacing w:after="0"/>
        <w:ind w:left="720" w:hanging="720"/>
        <w:rPr>
          <w:noProof/>
        </w:rPr>
      </w:pPr>
      <w:r w:rsidRPr="00E516A2">
        <w:rPr>
          <w:noProof/>
        </w:rPr>
        <w:t>18.</w:t>
      </w:r>
      <w:r w:rsidRPr="00E516A2">
        <w:rPr>
          <w:noProof/>
        </w:rPr>
        <w:tab/>
        <w:t xml:space="preserve">Eckstein, H., </w:t>
      </w:r>
      <w:r w:rsidRPr="00E516A2">
        <w:rPr>
          <w:i/>
          <w:noProof/>
        </w:rPr>
        <w:t>Case study and theory in political science.</w:t>
      </w:r>
      <w:r w:rsidRPr="00E516A2">
        <w:rPr>
          <w:noProof/>
        </w:rPr>
        <w:t xml:space="preserve"> Case study method, 2000: p. 119-164.</w:t>
      </w:r>
    </w:p>
    <w:p w14:paraId="72C8DD11" w14:textId="77777777" w:rsidR="00E516A2" w:rsidRPr="00E516A2" w:rsidRDefault="00E516A2" w:rsidP="00E516A2">
      <w:pPr>
        <w:pStyle w:val="EndNoteBibliography"/>
        <w:spacing w:after="0"/>
        <w:ind w:left="720" w:hanging="720"/>
        <w:rPr>
          <w:noProof/>
        </w:rPr>
      </w:pPr>
      <w:r w:rsidRPr="00E516A2">
        <w:rPr>
          <w:noProof/>
        </w:rPr>
        <w:t>19.</w:t>
      </w:r>
      <w:r w:rsidRPr="00E516A2">
        <w:rPr>
          <w:noProof/>
        </w:rPr>
        <w:tab/>
        <w:t xml:space="preserve">Flyvbjerg, B., </w:t>
      </w:r>
      <w:r w:rsidRPr="00E516A2">
        <w:rPr>
          <w:i/>
          <w:noProof/>
        </w:rPr>
        <w:t>Five misunderstandings about case-study research.</w:t>
      </w:r>
      <w:r w:rsidRPr="00E516A2">
        <w:rPr>
          <w:noProof/>
        </w:rPr>
        <w:t xml:space="preserve"> Qualitative inquiry, 2006. </w:t>
      </w:r>
      <w:r w:rsidRPr="00E516A2">
        <w:rPr>
          <w:b/>
          <w:noProof/>
        </w:rPr>
        <w:t>12</w:t>
      </w:r>
      <w:r w:rsidRPr="00E516A2">
        <w:rPr>
          <w:noProof/>
        </w:rPr>
        <w:t>(2): p. 219-245.</w:t>
      </w:r>
    </w:p>
    <w:p w14:paraId="0AF20CCD" w14:textId="77777777" w:rsidR="00E516A2" w:rsidRPr="00E516A2" w:rsidRDefault="00E516A2" w:rsidP="00E516A2">
      <w:pPr>
        <w:pStyle w:val="EndNoteBibliography"/>
        <w:spacing w:after="0"/>
        <w:ind w:left="720" w:hanging="720"/>
        <w:rPr>
          <w:noProof/>
        </w:rPr>
      </w:pPr>
      <w:r w:rsidRPr="00E516A2">
        <w:rPr>
          <w:noProof/>
        </w:rPr>
        <w:t>20.</w:t>
      </w:r>
      <w:r w:rsidRPr="00E516A2">
        <w:rPr>
          <w:noProof/>
        </w:rPr>
        <w:tab/>
        <w:t xml:space="preserve">Keen, J. and T. Packwood, </w:t>
      </w:r>
      <w:r w:rsidRPr="00E516A2">
        <w:rPr>
          <w:i/>
          <w:noProof/>
        </w:rPr>
        <w:t>Case study evaluation.</w:t>
      </w:r>
      <w:r w:rsidRPr="00E516A2">
        <w:rPr>
          <w:noProof/>
        </w:rPr>
        <w:t xml:space="preserve"> BMJ: British Medical Journal, 1995. </w:t>
      </w:r>
      <w:r w:rsidRPr="00E516A2">
        <w:rPr>
          <w:b/>
          <w:noProof/>
        </w:rPr>
        <w:t>311</w:t>
      </w:r>
      <w:r w:rsidRPr="00E516A2">
        <w:rPr>
          <w:noProof/>
        </w:rPr>
        <w:t>(7002): p. 444.</w:t>
      </w:r>
    </w:p>
    <w:p w14:paraId="70007C1F" w14:textId="77777777" w:rsidR="00E516A2" w:rsidRPr="00E516A2" w:rsidRDefault="00E516A2" w:rsidP="00E516A2">
      <w:pPr>
        <w:pStyle w:val="EndNoteBibliography"/>
        <w:spacing w:after="0"/>
        <w:ind w:left="720" w:hanging="720"/>
        <w:rPr>
          <w:noProof/>
        </w:rPr>
      </w:pPr>
      <w:r w:rsidRPr="00E516A2">
        <w:rPr>
          <w:noProof/>
        </w:rPr>
        <w:t>21.</w:t>
      </w:r>
      <w:r w:rsidRPr="00E516A2">
        <w:rPr>
          <w:noProof/>
        </w:rPr>
        <w:tab/>
        <w:t xml:space="preserve">Kuhn, T.S., </w:t>
      </w:r>
      <w:r w:rsidRPr="00E516A2">
        <w:rPr>
          <w:i/>
          <w:noProof/>
        </w:rPr>
        <w:t>What are Scientific Revolutions?</w:t>
      </w:r>
      <w:r w:rsidRPr="00E516A2">
        <w:rPr>
          <w:noProof/>
        </w:rPr>
        <w:t xml:space="preserve"> 1982: Centre for Cognitive Science, Massachusetts Institute of Technology.</w:t>
      </w:r>
    </w:p>
    <w:p w14:paraId="5EC7D5D7" w14:textId="77777777" w:rsidR="00E516A2" w:rsidRPr="00E516A2" w:rsidRDefault="00E516A2" w:rsidP="00E516A2">
      <w:pPr>
        <w:pStyle w:val="EndNoteBibliography"/>
        <w:spacing w:after="0"/>
        <w:ind w:left="720" w:hanging="720"/>
        <w:rPr>
          <w:noProof/>
        </w:rPr>
      </w:pPr>
      <w:r w:rsidRPr="00E516A2">
        <w:rPr>
          <w:noProof/>
        </w:rPr>
        <w:t>22.</w:t>
      </w:r>
      <w:r w:rsidRPr="00E516A2">
        <w:rPr>
          <w:noProof/>
        </w:rPr>
        <w:tab/>
        <w:t xml:space="preserve">Eisenhardt, K.M., </w:t>
      </w:r>
      <w:r w:rsidRPr="00E516A2">
        <w:rPr>
          <w:i/>
          <w:noProof/>
        </w:rPr>
        <w:t>Building theories from case study research.</w:t>
      </w:r>
      <w:r w:rsidRPr="00E516A2">
        <w:rPr>
          <w:noProof/>
        </w:rPr>
        <w:t xml:space="preserve"> Academy of management review, 1989. </w:t>
      </w:r>
      <w:r w:rsidRPr="00E516A2">
        <w:rPr>
          <w:b/>
          <w:noProof/>
        </w:rPr>
        <w:t>14</w:t>
      </w:r>
      <w:r w:rsidRPr="00E516A2">
        <w:rPr>
          <w:noProof/>
        </w:rPr>
        <w:t>(4): p. 532-550.</w:t>
      </w:r>
    </w:p>
    <w:p w14:paraId="55C57350" w14:textId="77777777" w:rsidR="00E516A2" w:rsidRPr="00E516A2" w:rsidRDefault="00E516A2" w:rsidP="00E516A2">
      <w:pPr>
        <w:pStyle w:val="EndNoteBibliography"/>
        <w:spacing w:after="0"/>
        <w:ind w:left="720" w:hanging="720"/>
        <w:rPr>
          <w:noProof/>
        </w:rPr>
      </w:pPr>
      <w:r w:rsidRPr="00E516A2">
        <w:rPr>
          <w:noProof/>
        </w:rPr>
        <w:t>23.</w:t>
      </w:r>
      <w:r w:rsidRPr="00E516A2">
        <w:rPr>
          <w:noProof/>
        </w:rPr>
        <w:tab/>
        <w:t xml:space="preserve">Phillips, L., </w:t>
      </w:r>
      <w:r w:rsidRPr="00E516A2">
        <w:rPr>
          <w:i/>
          <w:noProof/>
        </w:rPr>
        <w:t>Decision conferencing</w:t>
      </w:r>
      <w:r w:rsidRPr="00E516A2">
        <w:rPr>
          <w:noProof/>
        </w:rPr>
        <w:t xml:space="preserve">, in </w:t>
      </w:r>
      <w:r w:rsidRPr="00E516A2">
        <w:rPr>
          <w:i/>
          <w:noProof/>
        </w:rPr>
        <w:t>Advances in decision analysis: from foundations to applications</w:t>
      </w:r>
      <w:r w:rsidRPr="00E516A2">
        <w:rPr>
          <w:noProof/>
        </w:rPr>
        <w:t>, W. Edwards, R.F. Miles Jr, and D. Von Winterfeldt, Editors. 2007, Cambridge University Press.</w:t>
      </w:r>
    </w:p>
    <w:p w14:paraId="5DF55352" w14:textId="77777777" w:rsidR="00E516A2" w:rsidRPr="00E516A2" w:rsidRDefault="00E516A2" w:rsidP="00E516A2">
      <w:pPr>
        <w:pStyle w:val="EndNoteBibliography"/>
        <w:spacing w:after="0"/>
        <w:ind w:left="720" w:hanging="720"/>
        <w:rPr>
          <w:noProof/>
        </w:rPr>
      </w:pPr>
      <w:r w:rsidRPr="00E516A2">
        <w:rPr>
          <w:noProof/>
        </w:rPr>
        <w:t>24.</w:t>
      </w:r>
      <w:r w:rsidRPr="00E516A2">
        <w:rPr>
          <w:noProof/>
        </w:rPr>
        <w:tab/>
        <w:t xml:space="preserve">World Health Organization, </w:t>
      </w:r>
      <w:r w:rsidRPr="00E516A2">
        <w:rPr>
          <w:i/>
          <w:noProof/>
        </w:rPr>
        <w:t>World health organization constitution.</w:t>
      </w:r>
      <w:r w:rsidRPr="00E516A2">
        <w:rPr>
          <w:noProof/>
        </w:rPr>
        <w:t xml:space="preserve"> Basic documents, 1948.</w:t>
      </w:r>
    </w:p>
    <w:p w14:paraId="005DA8A8" w14:textId="77777777" w:rsidR="00E516A2" w:rsidRPr="00E516A2" w:rsidRDefault="00E516A2" w:rsidP="00E516A2">
      <w:pPr>
        <w:pStyle w:val="EndNoteBibliography"/>
        <w:spacing w:after="0"/>
        <w:ind w:left="720" w:hanging="720"/>
        <w:rPr>
          <w:noProof/>
        </w:rPr>
      </w:pPr>
      <w:r w:rsidRPr="00E516A2">
        <w:rPr>
          <w:noProof/>
        </w:rPr>
        <w:t>25.</w:t>
      </w:r>
      <w:r w:rsidRPr="00E516A2">
        <w:rPr>
          <w:noProof/>
        </w:rPr>
        <w:tab/>
        <w:t xml:space="preserve">Sen, A., </w:t>
      </w:r>
      <w:r w:rsidRPr="00E516A2">
        <w:rPr>
          <w:i/>
          <w:noProof/>
        </w:rPr>
        <w:t>Health: perception versus observation: Self reported morbidity has severe limitations and can be extremely misleading.</w:t>
      </w:r>
      <w:r w:rsidRPr="00E516A2">
        <w:rPr>
          <w:noProof/>
        </w:rPr>
        <w:t xml:space="preserve"> BMJ: British Medical Journal, 2002. </w:t>
      </w:r>
      <w:r w:rsidRPr="00E516A2">
        <w:rPr>
          <w:b/>
          <w:noProof/>
        </w:rPr>
        <w:t>324</w:t>
      </w:r>
      <w:r w:rsidRPr="00E516A2">
        <w:rPr>
          <w:noProof/>
        </w:rPr>
        <w:t>(7342): p. 860.</w:t>
      </w:r>
    </w:p>
    <w:p w14:paraId="16CCF15E" w14:textId="77777777" w:rsidR="00E516A2" w:rsidRPr="00E516A2" w:rsidRDefault="00E516A2" w:rsidP="00E516A2">
      <w:pPr>
        <w:pStyle w:val="EndNoteBibliography"/>
        <w:spacing w:after="0"/>
        <w:ind w:left="720" w:hanging="720"/>
        <w:rPr>
          <w:noProof/>
        </w:rPr>
      </w:pPr>
      <w:r w:rsidRPr="00E516A2">
        <w:rPr>
          <w:noProof/>
        </w:rPr>
        <w:t>26.</w:t>
      </w:r>
      <w:r w:rsidRPr="00E516A2">
        <w:rPr>
          <w:noProof/>
        </w:rPr>
        <w:tab/>
        <w:t xml:space="preserve">Crisp, Q., </w:t>
      </w:r>
      <w:r w:rsidRPr="00E516A2">
        <w:rPr>
          <w:i/>
          <w:noProof/>
        </w:rPr>
        <w:t>The naked civil servant</w:t>
      </w:r>
      <w:r w:rsidRPr="00E516A2">
        <w:rPr>
          <w:noProof/>
        </w:rPr>
        <w:t>. 1968: Penguin.</w:t>
      </w:r>
    </w:p>
    <w:p w14:paraId="75A25AB8" w14:textId="77777777" w:rsidR="00E516A2" w:rsidRPr="00E516A2" w:rsidRDefault="00E516A2" w:rsidP="00E516A2">
      <w:pPr>
        <w:pStyle w:val="EndNoteBibliography"/>
        <w:spacing w:after="0"/>
        <w:ind w:left="720" w:hanging="720"/>
        <w:rPr>
          <w:noProof/>
        </w:rPr>
      </w:pPr>
      <w:r w:rsidRPr="00E516A2">
        <w:rPr>
          <w:noProof/>
        </w:rPr>
        <w:t>27.</w:t>
      </w:r>
      <w:r w:rsidRPr="00E516A2">
        <w:rPr>
          <w:noProof/>
        </w:rPr>
        <w:tab/>
        <w:t xml:space="preserve">Marmot, M., </w:t>
      </w:r>
      <w:r w:rsidRPr="00E516A2">
        <w:rPr>
          <w:i/>
          <w:noProof/>
        </w:rPr>
        <w:t>The status syndrome: how your social standing affects your health and life expectancy.</w:t>
      </w:r>
      <w:r w:rsidRPr="00E516A2">
        <w:rPr>
          <w:noProof/>
        </w:rPr>
        <w:t xml:space="preserve"> Bloomsbury, London, 2004.</w:t>
      </w:r>
    </w:p>
    <w:p w14:paraId="5CE1F69B" w14:textId="77777777" w:rsidR="00E516A2" w:rsidRPr="00E516A2" w:rsidRDefault="00E516A2" w:rsidP="00E516A2">
      <w:pPr>
        <w:pStyle w:val="EndNoteBibliography"/>
        <w:spacing w:after="0"/>
        <w:ind w:left="720" w:hanging="720"/>
        <w:rPr>
          <w:noProof/>
        </w:rPr>
      </w:pPr>
      <w:r w:rsidRPr="00E516A2">
        <w:rPr>
          <w:noProof/>
        </w:rPr>
        <w:t>28.</w:t>
      </w:r>
      <w:r w:rsidRPr="00E516A2">
        <w:rPr>
          <w:noProof/>
        </w:rPr>
        <w:tab/>
        <w:t xml:space="preserve">Rawlins, M.D., </w:t>
      </w:r>
      <w:r w:rsidRPr="00E516A2">
        <w:rPr>
          <w:i/>
          <w:noProof/>
        </w:rPr>
        <w:t>The decade of NICE.</w:t>
      </w:r>
      <w:r w:rsidRPr="00E516A2">
        <w:rPr>
          <w:noProof/>
        </w:rPr>
        <w:t xml:space="preserve"> The Lancet, 2009. </w:t>
      </w:r>
      <w:r w:rsidRPr="00E516A2">
        <w:rPr>
          <w:b/>
          <w:noProof/>
        </w:rPr>
        <w:t>374</w:t>
      </w:r>
      <w:r w:rsidRPr="00E516A2">
        <w:rPr>
          <w:noProof/>
        </w:rPr>
        <w:t>(9686): p. 351-352.</w:t>
      </w:r>
    </w:p>
    <w:p w14:paraId="65A5702F" w14:textId="77777777" w:rsidR="00E516A2" w:rsidRPr="00E516A2" w:rsidRDefault="00E516A2" w:rsidP="00E516A2">
      <w:pPr>
        <w:pStyle w:val="EndNoteBibliography"/>
        <w:spacing w:after="0"/>
        <w:ind w:left="720" w:hanging="720"/>
        <w:rPr>
          <w:noProof/>
        </w:rPr>
      </w:pPr>
      <w:r w:rsidRPr="00E516A2">
        <w:rPr>
          <w:noProof/>
        </w:rPr>
        <w:t>29.</w:t>
      </w:r>
      <w:r w:rsidRPr="00E516A2">
        <w:rPr>
          <w:noProof/>
        </w:rPr>
        <w:tab/>
        <w:t xml:space="preserve">Winslow, C., </w:t>
      </w:r>
      <w:r w:rsidRPr="00E516A2">
        <w:rPr>
          <w:i/>
          <w:noProof/>
        </w:rPr>
        <w:t>The untilled fields of public health.</w:t>
      </w:r>
      <w:r w:rsidRPr="00E516A2">
        <w:rPr>
          <w:noProof/>
        </w:rPr>
        <w:t xml:space="preserve"> Science, 1920. </w:t>
      </w:r>
      <w:r w:rsidRPr="00E516A2">
        <w:rPr>
          <w:b/>
          <w:noProof/>
        </w:rPr>
        <w:t>51</w:t>
      </w:r>
      <w:r w:rsidRPr="00E516A2">
        <w:rPr>
          <w:noProof/>
        </w:rPr>
        <w:t>(1306): p. 23-33.</w:t>
      </w:r>
    </w:p>
    <w:p w14:paraId="6BEA17BB" w14:textId="77777777" w:rsidR="00E516A2" w:rsidRPr="00E516A2" w:rsidRDefault="00E516A2" w:rsidP="00E516A2">
      <w:pPr>
        <w:pStyle w:val="EndNoteBibliography"/>
        <w:spacing w:after="0"/>
        <w:ind w:left="720" w:hanging="720"/>
        <w:rPr>
          <w:noProof/>
        </w:rPr>
      </w:pPr>
      <w:r w:rsidRPr="00E516A2">
        <w:rPr>
          <w:noProof/>
        </w:rPr>
        <w:t>30.</w:t>
      </w:r>
      <w:r w:rsidRPr="00E516A2">
        <w:rPr>
          <w:noProof/>
        </w:rPr>
        <w:tab/>
        <w:t xml:space="preserve">Vickers, G., </w:t>
      </w:r>
      <w:r w:rsidRPr="00E516A2">
        <w:rPr>
          <w:i/>
          <w:noProof/>
        </w:rPr>
        <w:t>What sets the goals of public health?</w:t>
      </w:r>
      <w:r w:rsidRPr="00E516A2">
        <w:rPr>
          <w:noProof/>
        </w:rPr>
        <w:t xml:space="preserve"> The Lancet, 1958. </w:t>
      </w:r>
      <w:r w:rsidRPr="00E516A2">
        <w:rPr>
          <w:b/>
          <w:noProof/>
        </w:rPr>
        <w:t>271</w:t>
      </w:r>
      <w:r w:rsidRPr="00E516A2">
        <w:rPr>
          <w:noProof/>
        </w:rPr>
        <w:t>(7021): p. 599-604.</w:t>
      </w:r>
    </w:p>
    <w:p w14:paraId="5D666AAE" w14:textId="77777777" w:rsidR="00E516A2" w:rsidRPr="00E516A2" w:rsidRDefault="00E516A2" w:rsidP="00E516A2">
      <w:pPr>
        <w:pStyle w:val="EndNoteBibliography"/>
        <w:spacing w:after="0"/>
        <w:ind w:left="720" w:hanging="720"/>
        <w:rPr>
          <w:noProof/>
        </w:rPr>
      </w:pPr>
      <w:r w:rsidRPr="00E516A2">
        <w:rPr>
          <w:noProof/>
        </w:rPr>
        <w:t>31.</w:t>
      </w:r>
      <w:r w:rsidRPr="00E516A2">
        <w:rPr>
          <w:noProof/>
        </w:rPr>
        <w:tab/>
        <w:t xml:space="preserve">McKeown, T., </w:t>
      </w:r>
      <w:r w:rsidRPr="00E516A2">
        <w:rPr>
          <w:i/>
          <w:noProof/>
        </w:rPr>
        <w:t>The role of medicine. Dream, mirage or nemesis?</w:t>
      </w:r>
      <w:r w:rsidRPr="00E516A2">
        <w:rPr>
          <w:noProof/>
        </w:rPr>
        <w:t xml:space="preserve"> 1979: Basil Blackwell Publisher Ltd., Alfred Street, Oxford OX1 4MB.</w:t>
      </w:r>
    </w:p>
    <w:p w14:paraId="4AE32B2A" w14:textId="77777777" w:rsidR="00E516A2" w:rsidRPr="00E516A2" w:rsidRDefault="00E516A2" w:rsidP="00E516A2">
      <w:pPr>
        <w:pStyle w:val="EndNoteBibliography"/>
        <w:spacing w:after="0"/>
        <w:ind w:left="720" w:hanging="720"/>
        <w:rPr>
          <w:noProof/>
        </w:rPr>
      </w:pPr>
      <w:r w:rsidRPr="00E516A2">
        <w:rPr>
          <w:noProof/>
        </w:rPr>
        <w:t>32.</w:t>
      </w:r>
      <w:r w:rsidRPr="00E516A2">
        <w:rPr>
          <w:noProof/>
        </w:rPr>
        <w:tab/>
        <w:t xml:space="preserve">Stine, N.W. and D.A. Chokshi, </w:t>
      </w:r>
      <w:r w:rsidRPr="00E516A2">
        <w:rPr>
          <w:i/>
          <w:noProof/>
        </w:rPr>
        <w:t>Opportunity in austerity—a common agenda for medicine and public health.</w:t>
      </w:r>
      <w:r w:rsidRPr="00E516A2">
        <w:rPr>
          <w:noProof/>
        </w:rPr>
        <w:t xml:space="preserve"> New England Journal of Medicine, 2012. </w:t>
      </w:r>
      <w:r w:rsidRPr="00E516A2">
        <w:rPr>
          <w:b/>
          <w:noProof/>
        </w:rPr>
        <w:t>366</w:t>
      </w:r>
      <w:r w:rsidRPr="00E516A2">
        <w:rPr>
          <w:noProof/>
        </w:rPr>
        <w:t>(5): p. 395.</w:t>
      </w:r>
    </w:p>
    <w:p w14:paraId="6923EB81" w14:textId="77777777" w:rsidR="00E516A2" w:rsidRPr="00E516A2" w:rsidRDefault="00E516A2" w:rsidP="00E516A2">
      <w:pPr>
        <w:pStyle w:val="EndNoteBibliography"/>
        <w:spacing w:after="0"/>
        <w:ind w:left="720" w:hanging="720"/>
        <w:rPr>
          <w:noProof/>
        </w:rPr>
      </w:pPr>
      <w:r w:rsidRPr="00E516A2">
        <w:rPr>
          <w:noProof/>
        </w:rPr>
        <w:t>33.</w:t>
      </w:r>
      <w:r w:rsidRPr="00E516A2">
        <w:rPr>
          <w:noProof/>
        </w:rPr>
        <w:tab/>
        <w:t xml:space="preserve">Marmot, M., et al., </w:t>
      </w:r>
      <w:r w:rsidRPr="00E516A2">
        <w:rPr>
          <w:i/>
          <w:noProof/>
        </w:rPr>
        <w:t>Fair society, healthy lives: strategic review of health inequalities in England post 2010</w:t>
      </w:r>
      <w:r w:rsidRPr="00E516A2">
        <w:rPr>
          <w:noProof/>
        </w:rPr>
        <w:t>. 2010, London: The Marmot Review.</w:t>
      </w:r>
    </w:p>
    <w:p w14:paraId="7A92502C" w14:textId="77777777" w:rsidR="00E516A2" w:rsidRPr="00E516A2" w:rsidRDefault="00E516A2" w:rsidP="00E516A2">
      <w:pPr>
        <w:pStyle w:val="EndNoteBibliography"/>
        <w:spacing w:after="0"/>
        <w:ind w:left="720" w:hanging="720"/>
        <w:rPr>
          <w:noProof/>
        </w:rPr>
      </w:pPr>
      <w:r w:rsidRPr="00E516A2">
        <w:rPr>
          <w:noProof/>
        </w:rPr>
        <w:t>34.</w:t>
      </w:r>
      <w:r w:rsidRPr="00E516A2">
        <w:rPr>
          <w:noProof/>
        </w:rPr>
        <w:tab/>
        <w:t xml:space="preserve">Siegrist, J., et al., </w:t>
      </w:r>
      <w:r w:rsidRPr="00E516A2">
        <w:rPr>
          <w:i/>
          <w:noProof/>
        </w:rPr>
        <w:t>Low status control, high effort at work and ischemic heart disease: prospective evidence from blue-collar men.</w:t>
      </w:r>
      <w:r w:rsidRPr="00E516A2">
        <w:rPr>
          <w:noProof/>
        </w:rPr>
        <w:t xml:space="preserve"> Social science &amp; medicine, 1990. </w:t>
      </w:r>
      <w:r w:rsidRPr="00E516A2">
        <w:rPr>
          <w:b/>
          <w:noProof/>
        </w:rPr>
        <w:t>31</w:t>
      </w:r>
      <w:r w:rsidRPr="00E516A2">
        <w:rPr>
          <w:noProof/>
        </w:rPr>
        <w:t>(10): p. 1127-1134.</w:t>
      </w:r>
    </w:p>
    <w:p w14:paraId="487170B0" w14:textId="77777777" w:rsidR="00E516A2" w:rsidRPr="00E516A2" w:rsidRDefault="00E516A2" w:rsidP="00E516A2">
      <w:pPr>
        <w:pStyle w:val="EndNoteBibliography"/>
        <w:spacing w:after="0"/>
        <w:ind w:left="720" w:hanging="720"/>
        <w:rPr>
          <w:noProof/>
        </w:rPr>
      </w:pPr>
      <w:r w:rsidRPr="00E516A2">
        <w:rPr>
          <w:noProof/>
        </w:rPr>
        <w:t>35.</w:t>
      </w:r>
      <w:r w:rsidRPr="00E516A2">
        <w:rPr>
          <w:noProof/>
        </w:rPr>
        <w:tab/>
        <w:t xml:space="preserve">Anand, S. and M. Ravallion, </w:t>
      </w:r>
      <w:r w:rsidRPr="00E516A2">
        <w:rPr>
          <w:i/>
          <w:noProof/>
        </w:rPr>
        <w:t>Human development in poor countries: on the role of private incomes and public services.</w:t>
      </w:r>
      <w:r w:rsidRPr="00E516A2">
        <w:rPr>
          <w:noProof/>
        </w:rPr>
        <w:t xml:space="preserve"> The Journal of Economic Perspectives, 1993. </w:t>
      </w:r>
      <w:r w:rsidRPr="00E516A2">
        <w:rPr>
          <w:b/>
          <w:noProof/>
        </w:rPr>
        <w:t>7</w:t>
      </w:r>
      <w:r w:rsidRPr="00E516A2">
        <w:rPr>
          <w:noProof/>
        </w:rPr>
        <w:t>(1): p. 133-150.</w:t>
      </w:r>
    </w:p>
    <w:p w14:paraId="08DB4515" w14:textId="77777777" w:rsidR="00E516A2" w:rsidRPr="00E516A2" w:rsidRDefault="00E516A2" w:rsidP="00E516A2">
      <w:pPr>
        <w:pStyle w:val="EndNoteBibliography"/>
        <w:spacing w:after="0"/>
        <w:ind w:left="720" w:hanging="720"/>
        <w:rPr>
          <w:noProof/>
        </w:rPr>
      </w:pPr>
      <w:r w:rsidRPr="00E516A2">
        <w:rPr>
          <w:noProof/>
        </w:rPr>
        <w:t>36.</w:t>
      </w:r>
      <w:r w:rsidRPr="00E516A2">
        <w:rPr>
          <w:noProof/>
        </w:rPr>
        <w:tab/>
        <w:t xml:space="preserve">Kawachi, I. and B.P. Kennedy, </w:t>
      </w:r>
      <w:r w:rsidRPr="00E516A2">
        <w:rPr>
          <w:i/>
          <w:noProof/>
        </w:rPr>
        <w:t>Socioeconomic determinants of health: Health and social cohesion: why care about income inequality?</w:t>
      </w:r>
      <w:r w:rsidRPr="00E516A2">
        <w:rPr>
          <w:noProof/>
        </w:rPr>
        <w:t xml:space="preserve"> Bmj, 1997. </w:t>
      </w:r>
      <w:r w:rsidRPr="00E516A2">
        <w:rPr>
          <w:b/>
          <w:noProof/>
        </w:rPr>
        <w:t>314</w:t>
      </w:r>
      <w:r w:rsidRPr="00E516A2">
        <w:rPr>
          <w:noProof/>
        </w:rPr>
        <w:t>(7086): p. 1037.</w:t>
      </w:r>
    </w:p>
    <w:p w14:paraId="1CEECACA" w14:textId="77777777" w:rsidR="00E516A2" w:rsidRPr="00E516A2" w:rsidRDefault="00E516A2" w:rsidP="00E516A2">
      <w:pPr>
        <w:pStyle w:val="EndNoteBibliography"/>
        <w:spacing w:after="0"/>
        <w:ind w:left="720" w:hanging="720"/>
        <w:rPr>
          <w:noProof/>
        </w:rPr>
      </w:pPr>
      <w:r w:rsidRPr="00E516A2">
        <w:rPr>
          <w:noProof/>
        </w:rPr>
        <w:t>37.</w:t>
      </w:r>
      <w:r w:rsidRPr="00E516A2">
        <w:rPr>
          <w:noProof/>
        </w:rPr>
        <w:tab/>
        <w:t xml:space="preserve">Whitehead, M., </w:t>
      </w:r>
      <w:r w:rsidRPr="00E516A2">
        <w:rPr>
          <w:i/>
          <w:noProof/>
        </w:rPr>
        <w:t>The concepts and principles of equity and health.</w:t>
      </w:r>
      <w:r w:rsidRPr="00E516A2">
        <w:rPr>
          <w:noProof/>
        </w:rPr>
        <w:t xml:space="preserve"> International journal of health services, 1992. </w:t>
      </w:r>
      <w:r w:rsidRPr="00E516A2">
        <w:rPr>
          <w:b/>
          <w:noProof/>
        </w:rPr>
        <w:t>22</w:t>
      </w:r>
      <w:r w:rsidRPr="00E516A2">
        <w:rPr>
          <w:noProof/>
        </w:rPr>
        <w:t>(3): p. 429-445.</w:t>
      </w:r>
    </w:p>
    <w:p w14:paraId="15AFE6C8" w14:textId="77777777" w:rsidR="00E516A2" w:rsidRPr="00E516A2" w:rsidRDefault="00E516A2" w:rsidP="00E516A2">
      <w:pPr>
        <w:pStyle w:val="EndNoteBibliography"/>
        <w:spacing w:after="0"/>
        <w:ind w:left="720" w:hanging="720"/>
        <w:rPr>
          <w:noProof/>
        </w:rPr>
      </w:pPr>
      <w:r w:rsidRPr="00E516A2">
        <w:rPr>
          <w:noProof/>
        </w:rPr>
        <w:t>38.</w:t>
      </w:r>
      <w:r w:rsidRPr="00E516A2">
        <w:rPr>
          <w:noProof/>
        </w:rPr>
        <w:tab/>
        <w:t xml:space="preserve">Braveman, P. and S. Gruskin, </w:t>
      </w:r>
      <w:r w:rsidRPr="00E516A2">
        <w:rPr>
          <w:i/>
          <w:noProof/>
        </w:rPr>
        <w:t>Defining equity in health.</w:t>
      </w:r>
      <w:r w:rsidRPr="00E516A2">
        <w:rPr>
          <w:noProof/>
        </w:rPr>
        <w:t xml:space="preserve"> Journal of epidemiology and community health, 2003. </w:t>
      </w:r>
      <w:r w:rsidRPr="00E516A2">
        <w:rPr>
          <w:b/>
          <w:noProof/>
        </w:rPr>
        <w:t>57</w:t>
      </w:r>
      <w:r w:rsidRPr="00E516A2">
        <w:rPr>
          <w:noProof/>
        </w:rPr>
        <w:t>(4): p. 254-258.</w:t>
      </w:r>
    </w:p>
    <w:p w14:paraId="510BED98" w14:textId="77777777" w:rsidR="00E516A2" w:rsidRPr="00E516A2" w:rsidRDefault="00E516A2" w:rsidP="00E516A2">
      <w:pPr>
        <w:pStyle w:val="EndNoteBibliography"/>
        <w:spacing w:after="0"/>
        <w:ind w:left="720" w:hanging="720"/>
        <w:rPr>
          <w:noProof/>
        </w:rPr>
      </w:pPr>
      <w:r w:rsidRPr="00E516A2">
        <w:rPr>
          <w:noProof/>
        </w:rPr>
        <w:t>39.</w:t>
      </w:r>
      <w:r w:rsidRPr="00E516A2">
        <w:rPr>
          <w:noProof/>
        </w:rPr>
        <w:tab/>
        <w:t xml:space="preserve">Tawney, R., </w:t>
      </w:r>
      <w:r w:rsidRPr="00E516A2">
        <w:rPr>
          <w:i/>
          <w:noProof/>
        </w:rPr>
        <w:t>Equality (Workers Educational Assocation Editon)</w:t>
      </w:r>
      <w:r w:rsidRPr="00E516A2">
        <w:rPr>
          <w:noProof/>
        </w:rPr>
        <w:t>. 1938, London: Allen and Unwin. 39-40.</w:t>
      </w:r>
    </w:p>
    <w:p w14:paraId="1EFA77ED" w14:textId="77777777" w:rsidR="00E516A2" w:rsidRPr="00E516A2" w:rsidRDefault="00E516A2" w:rsidP="00E516A2">
      <w:pPr>
        <w:pStyle w:val="EndNoteBibliography"/>
        <w:spacing w:after="0"/>
        <w:ind w:left="720" w:hanging="720"/>
        <w:rPr>
          <w:noProof/>
        </w:rPr>
      </w:pPr>
      <w:r w:rsidRPr="00E516A2">
        <w:rPr>
          <w:noProof/>
        </w:rPr>
        <w:t>40.</w:t>
      </w:r>
      <w:r w:rsidRPr="00E516A2">
        <w:rPr>
          <w:noProof/>
        </w:rPr>
        <w:tab/>
        <w:t xml:space="preserve">Fee, E., </w:t>
      </w:r>
      <w:r w:rsidRPr="00E516A2">
        <w:rPr>
          <w:i/>
          <w:noProof/>
        </w:rPr>
        <w:t>Henry E. Sigerist: From the Social Production of Disease to Medical Management and Scientific Socialism.</w:t>
      </w:r>
      <w:r w:rsidRPr="00E516A2">
        <w:rPr>
          <w:noProof/>
        </w:rPr>
        <w:t xml:space="preserve"> The Milbank Quarterly, 1989: p. 127-150.</w:t>
      </w:r>
    </w:p>
    <w:p w14:paraId="0939EF98" w14:textId="77777777" w:rsidR="00E516A2" w:rsidRPr="00E516A2" w:rsidRDefault="00E516A2" w:rsidP="00E516A2">
      <w:pPr>
        <w:pStyle w:val="EndNoteBibliography"/>
        <w:spacing w:after="0"/>
        <w:ind w:left="720" w:hanging="720"/>
        <w:rPr>
          <w:noProof/>
        </w:rPr>
      </w:pPr>
      <w:r w:rsidRPr="00E516A2">
        <w:rPr>
          <w:noProof/>
        </w:rPr>
        <w:t>41.</w:t>
      </w:r>
      <w:r w:rsidRPr="00E516A2">
        <w:rPr>
          <w:noProof/>
        </w:rPr>
        <w:tab/>
        <w:t xml:space="preserve">Dowie, J., </w:t>
      </w:r>
      <w:r w:rsidRPr="00E516A2">
        <w:rPr>
          <w:i/>
          <w:noProof/>
        </w:rPr>
        <w:t>‘Evidence-based’,‘Cost-Effective’and ‘Preference-Driven’Medicine: Decision Analysis Based Medical Decision Making is the Pre-Requisite.</w:t>
      </w:r>
      <w:r w:rsidRPr="00E516A2">
        <w:rPr>
          <w:noProof/>
        </w:rPr>
        <w:t xml:space="preserve"> Journal of Health Services Research, 1996. </w:t>
      </w:r>
      <w:r w:rsidRPr="00E516A2">
        <w:rPr>
          <w:b/>
          <w:noProof/>
        </w:rPr>
        <w:t>1</w:t>
      </w:r>
      <w:r w:rsidRPr="00E516A2">
        <w:rPr>
          <w:noProof/>
        </w:rPr>
        <w:t>(2): p. 104-113.</w:t>
      </w:r>
    </w:p>
    <w:p w14:paraId="1BD839FD" w14:textId="77777777" w:rsidR="00E516A2" w:rsidRPr="00E516A2" w:rsidRDefault="00E516A2" w:rsidP="00E516A2">
      <w:pPr>
        <w:pStyle w:val="EndNoteBibliography"/>
        <w:spacing w:after="0"/>
        <w:ind w:left="720" w:hanging="720"/>
        <w:rPr>
          <w:noProof/>
        </w:rPr>
      </w:pPr>
      <w:r w:rsidRPr="00E516A2">
        <w:rPr>
          <w:noProof/>
        </w:rPr>
        <w:t>42.</w:t>
      </w:r>
      <w:r w:rsidRPr="00E516A2">
        <w:rPr>
          <w:noProof/>
        </w:rPr>
        <w:tab/>
        <w:t xml:space="preserve">Mussen, F., S. Salek, and S. Walker, </w:t>
      </w:r>
      <w:r w:rsidRPr="00E516A2">
        <w:rPr>
          <w:i/>
          <w:noProof/>
        </w:rPr>
        <w:t>Benefit-Risk Appraisal of Medicines: A Systematic Approach to Decision-Making (2009 ed.)</w:t>
      </w:r>
      <w:r w:rsidRPr="00E516A2">
        <w:rPr>
          <w:noProof/>
        </w:rPr>
        <w:t>. 2009, John Wiley &amp; Sons, Chichester, West Sussex, United Kingdom.</w:t>
      </w:r>
    </w:p>
    <w:p w14:paraId="09104A53" w14:textId="77777777" w:rsidR="00E516A2" w:rsidRPr="00E516A2" w:rsidRDefault="00E516A2" w:rsidP="00E516A2">
      <w:pPr>
        <w:pStyle w:val="EndNoteBibliography"/>
        <w:spacing w:after="0"/>
        <w:ind w:left="720" w:hanging="720"/>
        <w:rPr>
          <w:noProof/>
        </w:rPr>
      </w:pPr>
      <w:r w:rsidRPr="00E516A2">
        <w:rPr>
          <w:noProof/>
        </w:rPr>
        <w:t>43.</w:t>
      </w:r>
      <w:r w:rsidRPr="00E516A2">
        <w:rPr>
          <w:noProof/>
        </w:rPr>
        <w:tab/>
        <w:t xml:space="preserve">Cochrane, A.L. and R.C. Fellowship, </w:t>
      </w:r>
      <w:r w:rsidRPr="00E516A2">
        <w:rPr>
          <w:i/>
          <w:noProof/>
        </w:rPr>
        <w:t>Effectiveness and efficiency: random reflections on health services</w:t>
      </w:r>
      <w:r w:rsidRPr="00E516A2">
        <w:rPr>
          <w:noProof/>
        </w:rPr>
        <w:t>. Vol. 900574178. 1972: Nuffield Provincial Hospitals Trust London.</w:t>
      </w:r>
    </w:p>
    <w:p w14:paraId="05E226B3" w14:textId="77777777" w:rsidR="00E516A2" w:rsidRPr="00E516A2" w:rsidRDefault="00E516A2" w:rsidP="00E516A2">
      <w:pPr>
        <w:pStyle w:val="EndNoteBibliography"/>
        <w:spacing w:after="0"/>
        <w:ind w:left="720" w:hanging="720"/>
        <w:rPr>
          <w:noProof/>
        </w:rPr>
      </w:pPr>
      <w:r w:rsidRPr="00E516A2">
        <w:rPr>
          <w:noProof/>
        </w:rPr>
        <w:t>44.</w:t>
      </w:r>
      <w:r w:rsidRPr="00E516A2">
        <w:rPr>
          <w:noProof/>
        </w:rPr>
        <w:tab/>
        <w:t xml:space="preserve">Cookson, R. and P. Dolan, </w:t>
      </w:r>
      <w:r w:rsidRPr="00E516A2">
        <w:rPr>
          <w:i/>
          <w:noProof/>
        </w:rPr>
        <w:t>Principles of justice in health care rationing.</w:t>
      </w:r>
      <w:r w:rsidRPr="00E516A2">
        <w:rPr>
          <w:noProof/>
        </w:rPr>
        <w:t xml:space="preserve"> Journal of Medical Ethics, 2000. </w:t>
      </w:r>
      <w:r w:rsidRPr="00E516A2">
        <w:rPr>
          <w:b/>
          <w:noProof/>
        </w:rPr>
        <w:t>26</w:t>
      </w:r>
      <w:r w:rsidRPr="00E516A2">
        <w:rPr>
          <w:noProof/>
        </w:rPr>
        <w:t>(5): p. 323-329.</w:t>
      </w:r>
    </w:p>
    <w:p w14:paraId="470BB2DE" w14:textId="77777777" w:rsidR="00E516A2" w:rsidRPr="00E516A2" w:rsidRDefault="00E516A2" w:rsidP="00E516A2">
      <w:pPr>
        <w:pStyle w:val="EndNoteBibliography"/>
        <w:spacing w:after="0"/>
        <w:ind w:left="720" w:hanging="720"/>
        <w:rPr>
          <w:noProof/>
        </w:rPr>
      </w:pPr>
      <w:r w:rsidRPr="00E516A2">
        <w:rPr>
          <w:noProof/>
        </w:rPr>
        <w:t>45.</w:t>
      </w:r>
      <w:r w:rsidRPr="00E516A2">
        <w:rPr>
          <w:noProof/>
        </w:rPr>
        <w:tab/>
        <w:t xml:space="preserve">Jefferson, T., V. Demicheli, and M. Mugford, </w:t>
      </w:r>
      <w:r w:rsidRPr="00E516A2">
        <w:rPr>
          <w:i/>
          <w:noProof/>
        </w:rPr>
        <w:t>Elementary economic evaluation in health care</w:t>
      </w:r>
      <w:r w:rsidRPr="00E516A2">
        <w:rPr>
          <w:noProof/>
        </w:rPr>
        <w:t>. 1996: BMJ Publishing Group.</w:t>
      </w:r>
    </w:p>
    <w:p w14:paraId="7296278A" w14:textId="77777777" w:rsidR="00E516A2" w:rsidRPr="00E516A2" w:rsidRDefault="00E516A2" w:rsidP="00E516A2">
      <w:pPr>
        <w:pStyle w:val="EndNoteBibliography"/>
        <w:spacing w:after="0"/>
        <w:ind w:left="720" w:hanging="720"/>
        <w:rPr>
          <w:noProof/>
        </w:rPr>
      </w:pPr>
      <w:r w:rsidRPr="00E516A2">
        <w:rPr>
          <w:noProof/>
        </w:rPr>
        <w:t>46.</w:t>
      </w:r>
      <w:r w:rsidRPr="00E516A2">
        <w:rPr>
          <w:noProof/>
        </w:rPr>
        <w:tab/>
        <w:t xml:space="preserve">Phillips, C.J., </w:t>
      </w:r>
      <w:r w:rsidRPr="00E516A2">
        <w:rPr>
          <w:i/>
          <w:noProof/>
        </w:rPr>
        <w:t>Health economics: an introduction for health professionals</w:t>
      </w:r>
      <w:r w:rsidRPr="00E516A2">
        <w:rPr>
          <w:noProof/>
        </w:rPr>
        <w:t>. 2008: John Wiley &amp; Sons.</w:t>
      </w:r>
    </w:p>
    <w:p w14:paraId="5E19752F" w14:textId="77777777" w:rsidR="00E516A2" w:rsidRPr="00E516A2" w:rsidRDefault="00E516A2" w:rsidP="00E516A2">
      <w:pPr>
        <w:pStyle w:val="EndNoteBibliography"/>
        <w:spacing w:after="0"/>
        <w:ind w:left="720" w:hanging="720"/>
        <w:rPr>
          <w:noProof/>
        </w:rPr>
      </w:pPr>
      <w:r w:rsidRPr="00E516A2">
        <w:rPr>
          <w:noProof/>
        </w:rPr>
        <w:t>47.</w:t>
      </w:r>
      <w:r w:rsidRPr="00E516A2">
        <w:rPr>
          <w:noProof/>
        </w:rPr>
        <w:tab/>
        <w:t xml:space="preserve">Rychetnik, L., et al., </w:t>
      </w:r>
      <w:r w:rsidRPr="00E516A2">
        <w:rPr>
          <w:i/>
          <w:noProof/>
        </w:rPr>
        <w:t>Criteria for evaluating evidence on public health interventions.</w:t>
      </w:r>
      <w:r w:rsidRPr="00E516A2">
        <w:rPr>
          <w:noProof/>
        </w:rPr>
        <w:t xml:space="preserve"> Journal of epidemiology and community health, 2002. </w:t>
      </w:r>
      <w:r w:rsidRPr="00E516A2">
        <w:rPr>
          <w:b/>
          <w:noProof/>
        </w:rPr>
        <w:t>56</w:t>
      </w:r>
      <w:r w:rsidRPr="00E516A2">
        <w:rPr>
          <w:noProof/>
        </w:rPr>
        <w:t>(2): p. 119-127.</w:t>
      </w:r>
    </w:p>
    <w:p w14:paraId="12D1AADF" w14:textId="77777777" w:rsidR="00E516A2" w:rsidRPr="00E516A2" w:rsidRDefault="00E516A2" w:rsidP="00E516A2">
      <w:pPr>
        <w:pStyle w:val="EndNoteBibliography"/>
        <w:spacing w:after="0"/>
        <w:ind w:left="720" w:hanging="720"/>
        <w:rPr>
          <w:noProof/>
        </w:rPr>
      </w:pPr>
      <w:r w:rsidRPr="00E516A2">
        <w:rPr>
          <w:noProof/>
        </w:rPr>
        <w:t>48.</w:t>
      </w:r>
      <w:r w:rsidRPr="00E516A2">
        <w:rPr>
          <w:noProof/>
        </w:rPr>
        <w:tab/>
        <w:t xml:space="preserve">Cook, R. and H. Wainer, </w:t>
      </w:r>
      <w:r w:rsidRPr="00E516A2">
        <w:rPr>
          <w:i/>
          <w:noProof/>
        </w:rPr>
        <w:t>A century and a half of moral statistics in the United Kingdom: Variations on Joseph Fletcher's thematic maps.</w:t>
      </w:r>
      <w:r w:rsidRPr="00E516A2">
        <w:rPr>
          <w:noProof/>
        </w:rPr>
        <w:t xml:space="preserve"> Significance, 2012. </w:t>
      </w:r>
      <w:r w:rsidRPr="00E516A2">
        <w:rPr>
          <w:b/>
          <w:noProof/>
        </w:rPr>
        <w:t>9</w:t>
      </w:r>
      <w:r w:rsidRPr="00E516A2">
        <w:rPr>
          <w:noProof/>
        </w:rPr>
        <w:t>(3): p. 36.</w:t>
      </w:r>
    </w:p>
    <w:p w14:paraId="3A1EB0F6" w14:textId="7A520B2E" w:rsidR="00E516A2" w:rsidRPr="00E516A2" w:rsidRDefault="00E516A2" w:rsidP="00E516A2">
      <w:pPr>
        <w:pStyle w:val="EndNoteBibliography"/>
        <w:spacing w:after="0"/>
        <w:ind w:left="720" w:hanging="720"/>
        <w:rPr>
          <w:noProof/>
        </w:rPr>
      </w:pPr>
      <w:r w:rsidRPr="00E516A2">
        <w:rPr>
          <w:noProof/>
        </w:rPr>
        <w:t>49.</w:t>
      </w:r>
      <w:r w:rsidRPr="00E516A2">
        <w:rPr>
          <w:noProof/>
        </w:rPr>
        <w:tab/>
        <w:t xml:space="preserve">London Medical Gazette. </w:t>
      </w:r>
      <w:r w:rsidRPr="00E516A2">
        <w:rPr>
          <w:i/>
          <w:noProof/>
        </w:rPr>
        <w:t>John Snow Facts</w:t>
      </w:r>
      <w:r w:rsidRPr="00E516A2">
        <w:rPr>
          <w:noProof/>
        </w:rPr>
        <w:t xml:space="preserve">. 1849; Available from: </w:t>
      </w:r>
      <w:hyperlink r:id="rId57" w:history="1">
        <w:r w:rsidRPr="00E516A2">
          <w:rPr>
            <w:rStyle w:val="Hyperlink"/>
            <w:noProof/>
          </w:rPr>
          <w:t>http://www.johnsnowsociety.org/johnsnow/facts.html</w:t>
        </w:r>
      </w:hyperlink>
      <w:r w:rsidRPr="00E516A2">
        <w:rPr>
          <w:noProof/>
        </w:rPr>
        <w:t>. .</w:t>
      </w:r>
    </w:p>
    <w:p w14:paraId="4F78A2AE" w14:textId="77777777" w:rsidR="00E516A2" w:rsidRPr="00E516A2" w:rsidRDefault="00E516A2" w:rsidP="00E516A2">
      <w:pPr>
        <w:pStyle w:val="EndNoteBibliography"/>
        <w:spacing w:after="0"/>
        <w:ind w:left="720" w:hanging="720"/>
        <w:rPr>
          <w:noProof/>
        </w:rPr>
      </w:pPr>
      <w:r w:rsidRPr="00E516A2">
        <w:rPr>
          <w:noProof/>
        </w:rPr>
        <w:t>50.</w:t>
      </w:r>
      <w:r w:rsidRPr="00E516A2">
        <w:rPr>
          <w:noProof/>
        </w:rPr>
        <w:tab/>
        <w:t xml:space="preserve">Gigerenzer, G., et al., </w:t>
      </w:r>
      <w:r w:rsidRPr="00E516A2">
        <w:rPr>
          <w:i/>
          <w:noProof/>
        </w:rPr>
        <w:t>Helping doctors and patients make sense of health statistics.</w:t>
      </w:r>
      <w:r w:rsidRPr="00E516A2">
        <w:rPr>
          <w:noProof/>
        </w:rPr>
        <w:t xml:space="preserve"> Psychological science in the public interest, 2007. </w:t>
      </w:r>
      <w:r w:rsidRPr="00E516A2">
        <w:rPr>
          <w:b/>
          <w:noProof/>
        </w:rPr>
        <w:t>8</w:t>
      </w:r>
      <w:r w:rsidRPr="00E516A2">
        <w:rPr>
          <w:noProof/>
        </w:rPr>
        <w:t>(2): p. 53-96.</w:t>
      </w:r>
    </w:p>
    <w:p w14:paraId="1147DFB1" w14:textId="77777777" w:rsidR="00E516A2" w:rsidRPr="00E516A2" w:rsidRDefault="00E516A2" w:rsidP="00E516A2">
      <w:pPr>
        <w:pStyle w:val="EndNoteBibliography"/>
        <w:spacing w:after="0"/>
        <w:ind w:left="720" w:hanging="720"/>
        <w:rPr>
          <w:noProof/>
        </w:rPr>
      </w:pPr>
      <w:r w:rsidRPr="00E516A2">
        <w:rPr>
          <w:noProof/>
        </w:rPr>
        <w:t>51.</w:t>
      </w:r>
      <w:r w:rsidRPr="00E516A2">
        <w:rPr>
          <w:noProof/>
        </w:rPr>
        <w:tab/>
        <w:t xml:space="preserve">Editorial, </w:t>
      </w:r>
      <w:r w:rsidRPr="00E516A2">
        <w:rPr>
          <w:i/>
          <w:noProof/>
        </w:rPr>
        <w:t>Mathematics and medicine.</w:t>
      </w:r>
      <w:r w:rsidRPr="00E516A2">
        <w:rPr>
          <w:noProof/>
        </w:rPr>
        <w:t xml:space="preserve"> The Lancet, 1937. </w:t>
      </w:r>
      <w:r w:rsidRPr="00E516A2">
        <w:rPr>
          <w:b/>
          <w:noProof/>
        </w:rPr>
        <w:t>229</w:t>
      </w:r>
      <w:r w:rsidRPr="00E516A2">
        <w:rPr>
          <w:noProof/>
        </w:rPr>
        <w:t>(5914): p. 31.</w:t>
      </w:r>
    </w:p>
    <w:p w14:paraId="57180AD1" w14:textId="77777777" w:rsidR="00E516A2" w:rsidRPr="00E516A2" w:rsidRDefault="00E516A2" w:rsidP="00E516A2">
      <w:pPr>
        <w:pStyle w:val="EndNoteBibliography"/>
        <w:spacing w:after="0"/>
        <w:ind w:left="720" w:hanging="720"/>
        <w:rPr>
          <w:noProof/>
        </w:rPr>
      </w:pPr>
      <w:r w:rsidRPr="00E516A2">
        <w:rPr>
          <w:noProof/>
        </w:rPr>
        <w:t>52.</w:t>
      </w:r>
      <w:r w:rsidRPr="00E516A2">
        <w:rPr>
          <w:noProof/>
        </w:rPr>
        <w:tab/>
        <w:t xml:space="preserve">Schackman, B.R., </w:t>
      </w:r>
      <w:r w:rsidRPr="00E516A2">
        <w:rPr>
          <w:i/>
          <w:noProof/>
        </w:rPr>
        <w:t>Implementation science for the prevention and treatment of HIV/AIDS.</w:t>
      </w:r>
      <w:r w:rsidRPr="00E516A2">
        <w:rPr>
          <w:noProof/>
        </w:rPr>
        <w:t xml:space="preserve"> Journal of acquired immune deficiency syndromes (1999), 2010. </w:t>
      </w:r>
      <w:r w:rsidRPr="00E516A2">
        <w:rPr>
          <w:b/>
          <w:noProof/>
        </w:rPr>
        <w:t>55</w:t>
      </w:r>
      <w:r w:rsidRPr="00E516A2">
        <w:rPr>
          <w:noProof/>
        </w:rPr>
        <w:t>(Suppl 1): p. S27.</w:t>
      </w:r>
    </w:p>
    <w:p w14:paraId="569F6829" w14:textId="77777777" w:rsidR="00E516A2" w:rsidRPr="00E516A2" w:rsidRDefault="00E516A2" w:rsidP="00E516A2">
      <w:pPr>
        <w:pStyle w:val="EndNoteBibliography"/>
        <w:spacing w:after="0"/>
        <w:ind w:left="720" w:hanging="720"/>
        <w:rPr>
          <w:noProof/>
        </w:rPr>
      </w:pPr>
      <w:r w:rsidRPr="00E516A2">
        <w:rPr>
          <w:noProof/>
        </w:rPr>
        <w:t>53.</w:t>
      </w:r>
      <w:r w:rsidRPr="00E516A2">
        <w:rPr>
          <w:noProof/>
        </w:rPr>
        <w:tab/>
        <w:t xml:space="preserve">Roy, B. and D. Vanderpooten, </w:t>
      </w:r>
      <w:r w:rsidRPr="00E516A2">
        <w:rPr>
          <w:i/>
          <w:noProof/>
        </w:rPr>
        <w:t>The European school of MCDA: Emergence, basic features and current works.</w:t>
      </w:r>
      <w:r w:rsidRPr="00E516A2">
        <w:rPr>
          <w:noProof/>
        </w:rPr>
        <w:t xml:space="preserve"> J</w:t>
      </w:r>
      <w:r w:rsidRPr="00E516A2">
        <w:rPr>
          <w:rFonts w:hint="eastAsia"/>
          <w:noProof/>
        </w:rPr>
        <w:t>ournal of Multi</w:t>
      </w:r>
      <w:r w:rsidRPr="00E516A2">
        <w:rPr>
          <w:rFonts w:hint="eastAsia"/>
          <w:noProof/>
        </w:rPr>
        <w:t>‐</w:t>
      </w:r>
      <w:r w:rsidRPr="00E516A2">
        <w:rPr>
          <w:rFonts w:hint="eastAsia"/>
          <w:noProof/>
        </w:rPr>
        <w:t xml:space="preserve">Criteria Decision Analysis, 1996. </w:t>
      </w:r>
      <w:r w:rsidRPr="00E516A2">
        <w:rPr>
          <w:rFonts w:hint="eastAsia"/>
          <w:b/>
          <w:noProof/>
        </w:rPr>
        <w:t>5</w:t>
      </w:r>
      <w:r w:rsidRPr="00E516A2">
        <w:rPr>
          <w:rFonts w:hint="eastAsia"/>
          <w:noProof/>
        </w:rPr>
        <w:t>(1): p. 22-38.</w:t>
      </w:r>
    </w:p>
    <w:p w14:paraId="0F409A20" w14:textId="77777777" w:rsidR="00E516A2" w:rsidRPr="00E516A2" w:rsidRDefault="00E516A2" w:rsidP="00E516A2">
      <w:pPr>
        <w:pStyle w:val="EndNoteBibliography"/>
        <w:spacing w:after="0"/>
        <w:ind w:left="720" w:hanging="720"/>
        <w:rPr>
          <w:noProof/>
        </w:rPr>
      </w:pPr>
      <w:r w:rsidRPr="00E516A2">
        <w:rPr>
          <w:noProof/>
        </w:rPr>
        <w:t>54.</w:t>
      </w:r>
      <w:r w:rsidRPr="00E516A2">
        <w:rPr>
          <w:noProof/>
        </w:rPr>
        <w:tab/>
        <w:t xml:space="preserve">Lindley, D.V., </w:t>
      </w:r>
      <w:r w:rsidRPr="00E516A2">
        <w:rPr>
          <w:i/>
          <w:noProof/>
        </w:rPr>
        <w:t>Making decisions</w:t>
      </w:r>
      <w:r w:rsidRPr="00E516A2">
        <w:rPr>
          <w:noProof/>
        </w:rPr>
        <w:t xml:space="preserve">. 1985, New York: Wiley </w:t>
      </w:r>
    </w:p>
    <w:p w14:paraId="397B4B1B" w14:textId="77777777" w:rsidR="00E516A2" w:rsidRPr="00E516A2" w:rsidRDefault="00E516A2" w:rsidP="00E516A2">
      <w:pPr>
        <w:pStyle w:val="EndNoteBibliography"/>
        <w:spacing w:after="0"/>
        <w:ind w:left="720" w:hanging="720"/>
        <w:rPr>
          <w:noProof/>
        </w:rPr>
      </w:pPr>
      <w:r w:rsidRPr="00E516A2">
        <w:rPr>
          <w:noProof/>
        </w:rPr>
        <w:t>55.</w:t>
      </w:r>
      <w:r w:rsidRPr="00E516A2">
        <w:rPr>
          <w:noProof/>
        </w:rPr>
        <w:tab/>
        <w:t xml:space="preserve">Kahneman, D. and A. Tversky, </w:t>
      </w:r>
      <w:r w:rsidRPr="00E516A2">
        <w:rPr>
          <w:i/>
          <w:noProof/>
        </w:rPr>
        <w:t>Prospect theory: An analysis of decision under risk.</w:t>
      </w:r>
      <w:r w:rsidRPr="00E516A2">
        <w:rPr>
          <w:noProof/>
        </w:rPr>
        <w:t xml:space="preserve"> Econometrica: Journal of the Econometric Society, 1979: p. 263-291.</w:t>
      </w:r>
    </w:p>
    <w:p w14:paraId="0CADC5EC" w14:textId="77777777" w:rsidR="00E516A2" w:rsidRPr="00E516A2" w:rsidRDefault="00E516A2" w:rsidP="00E516A2">
      <w:pPr>
        <w:pStyle w:val="EndNoteBibliography"/>
        <w:spacing w:after="0"/>
        <w:ind w:left="720" w:hanging="720"/>
        <w:rPr>
          <w:noProof/>
        </w:rPr>
      </w:pPr>
      <w:r w:rsidRPr="00E516A2">
        <w:rPr>
          <w:noProof/>
        </w:rPr>
        <w:t>56.</w:t>
      </w:r>
      <w:r w:rsidRPr="00E516A2">
        <w:rPr>
          <w:noProof/>
        </w:rPr>
        <w:tab/>
        <w:t xml:space="preserve">Hájek, A., </w:t>
      </w:r>
      <w:r w:rsidRPr="00E516A2">
        <w:rPr>
          <w:i/>
          <w:noProof/>
        </w:rPr>
        <w:t>Dutch book arguments.</w:t>
      </w:r>
      <w:r w:rsidRPr="00E516A2">
        <w:rPr>
          <w:noProof/>
        </w:rPr>
        <w:t xml:space="preserve"> The Oxford handbook of rational and social choice, 2008: p. 173-195.</w:t>
      </w:r>
    </w:p>
    <w:p w14:paraId="744E3814" w14:textId="77777777" w:rsidR="00E516A2" w:rsidRPr="00E516A2" w:rsidRDefault="00E516A2" w:rsidP="00E516A2">
      <w:pPr>
        <w:pStyle w:val="EndNoteBibliography"/>
        <w:spacing w:after="0"/>
        <w:ind w:left="720" w:hanging="720"/>
        <w:rPr>
          <w:noProof/>
        </w:rPr>
      </w:pPr>
      <w:r w:rsidRPr="00E516A2">
        <w:rPr>
          <w:noProof/>
        </w:rPr>
        <w:t>57.</w:t>
      </w:r>
      <w:r w:rsidRPr="00E516A2">
        <w:rPr>
          <w:noProof/>
        </w:rPr>
        <w:tab/>
        <w:t xml:space="preserve">Von Neumann, J. and O. Morgenstern, </w:t>
      </w:r>
      <w:r w:rsidRPr="00E516A2">
        <w:rPr>
          <w:i/>
          <w:noProof/>
        </w:rPr>
        <w:t>Theory of games and economic behavior.</w:t>
      </w:r>
      <w:r w:rsidRPr="00E516A2">
        <w:rPr>
          <w:noProof/>
        </w:rPr>
        <w:t xml:space="preserve"> Bull. Amer. Math. Soc, 1945. </w:t>
      </w:r>
      <w:r w:rsidRPr="00E516A2">
        <w:rPr>
          <w:b/>
          <w:noProof/>
        </w:rPr>
        <w:t>51</w:t>
      </w:r>
      <w:r w:rsidRPr="00E516A2">
        <w:rPr>
          <w:noProof/>
        </w:rPr>
        <w:t>(7): p. 498-504.</w:t>
      </w:r>
    </w:p>
    <w:p w14:paraId="2642E285" w14:textId="77777777" w:rsidR="00E516A2" w:rsidRPr="00E516A2" w:rsidRDefault="00E516A2" w:rsidP="00E516A2">
      <w:pPr>
        <w:pStyle w:val="EndNoteBibliography"/>
        <w:spacing w:after="0"/>
        <w:ind w:left="720" w:hanging="720"/>
        <w:rPr>
          <w:noProof/>
        </w:rPr>
      </w:pPr>
      <w:r w:rsidRPr="00E516A2">
        <w:rPr>
          <w:rFonts w:hint="eastAsia"/>
          <w:noProof/>
        </w:rPr>
        <w:t>58.</w:t>
      </w:r>
      <w:r w:rsidRPr="00E516A2">
        <w:rPr>
          <w:rFonts w:hint="eastAsia"/>
          <w:noProof/>
        </w:rPr>
        <w:tab/>
        <w:t xml:space="preserve">Fenwick, E., K. Claxton, and M. Sculpher, </w:t>
      </w:r>
      <w:r w:rsidRPr="00E516A2">
        <w:rPr>
          <w:rFonts w:hint="eastAsia"/>
          <w:i/>
          <w:noProof/>
        </w:rPr>
        <w:t>Representing uncertainty: the role of cost</w:t>
      </w:r>
      <w:r w:rsidRPr="00E516A2">
        <w:rPr>
          <w:rFonts w:hint="eastAsia"/>
          <w:i/>
          <w:noProof/>
        </w:rPr>
        <w:t>‐</w:t>
      </w:r>
      <w:r w:rsidRPr="00E516A2">
        <w:rPr>
          <w:rFonts w:hint="eastAsia"/>
          <w:i/>
          <w:noProof/>
        </w:rPr>
        <w:t>effectiveness acceptability curves.</w:t>
      </w:r>
      <w:r w:rsidRPr="00E516A2">
        <w:rPr>
          <w:rFonts w:hint="eastAsia"/>
          <w:noProof/>
        </w:rPr>
        <w:t xml:space="preserve"> Health economics, 2001. </w:t>
      </w:r>
      <w:r w:rsidRPr="00E516A2">
        <w:rPr>
          <w:rFonts w:hint="eastAsia"/>
          <w:b/>
          <w:noProof/>
        </w:rPr>
        <w:t>10</w:t>
      </w:r>
      <w:r w:rsidRPr="00E516A2">
        <w:rPr>
          <w:rFonts w:hint="eastAsia"/>
          <w:noProof/>
        </w:rPr>
        <w:t>(8): p. 779-787.</w:t>
      </w:r>
    </w:p>
    <w:p w14:paraId="6D72A1CC" w14:textId="77777777" w:rsidR="00E516A2" w:rsidRPr="00E516A2" w:rsidRDefault="00E516A2" w:rsidP="00E516A2">
      <w:pPr>
        <w:pStyle w:val="EndNoteBibliography"/>
        <w:spacing w:after="0"/>
        <w:ind w:left="720" w:hanging="720"/>
        <w:rPr>
          <w:noProof/>
        </w:rPr>
      </w:pPr>
      <w:r w:rsidRPr="00E516A2">
        <w:rPr>
          <w:noProof/>
        </w:rPr>
        <w:t>59.</w:t>
      </w:r>
      <w:r w:rsidRPr="00E516A2">
        <w:rPr>
          <w:noProof/>
        </w:rPr>
        <w:tab/>
        <w:t xml:space="preserve">Simon, H.A., </w:t>
      </w:r>
      <w:r w:rsidRPr="00E516A2">
        <w:rPr>
          <w:i/>
          <w:noProof/>
        </w:rPr>
        <w:t>A behavioral model of rational choice.</w:t>
      </w:r>
      <w:r w:rsidRPr="00E516A2">
        <w:rPr>
          <w:noProof/>
        </w:rPr>
        <w:t xml:space="preserve"> The quarterly journal of economics, 1955: p. 99-118.</w:t>
      </w:r>
    </w:p>
    <w:p w14:paraId="20B85EE9" w14:textId="77777777" w:rsidR="00E516A2" w:rsidRPr="00E516A2" w:rsidRDefault="00E516A2" w:rsidP="00E516A2">
      <w:pPr>
        <w:pStyle w:val="EndNoteBibliography"/>
        <w:spacing w:after="0"/>
        <w:ind w:left="720" w:hanging="720"/>
        <w:rPr>
          <w:noProof/>
        </w:rPr>
      </w:pPr>
      <w:r w:rsidRPr="00E516A2">
        <w:rPr>
          <w:rFonts w:hint="eastAsia"/>
          <w:noProof/>
        </w:rPr>
        <w:t>60.</w:t>
      </w:r>
      <w:r w:rsidRPr="00E516A2">
        <w:rPr>
          <w:rFonts w:hint="eastAsia"/>
          <w:noProof/>
        </w:rPr>
        <w:tab/>
        <w:t>Elwyn, G. and T. Miron</w:t>
      </w:r>
      <w:r w:rsidRPr="00E516A2">
        <w:rPr>
          <w:rFonts w:hint="eastAsia"/>
          <w:noProof/>
        </w:rPr>
        <w:t>‐</w:t>
      </w:r>
      <w:r w:rsidRPr="00E516A2">
        <w:rPr>
          <w:rFonts w:hint="eastAsia"/>
          <w:noProof/>
        </w:rPr>
        <w:t xml:space="preserve">Shatz, </w:t>
      </w:r>
      <w:r w:rsidRPr="00E516A2">
        <w:rPr>
          <w:rFonts w:hint="eastAsia"/>
          <w:i/>
          <w:noProof/>
        </w:rPr>
        <w:t>Deliberation before determination: the definition and evaluation of good decision making.</w:t>
      </w:r>
      <w:r w:rsidRPr="00E516A2">
        <w:rPr>
          <w:rFonts w:hint="eastAsia"/>
          <w:noProof/>
        </w:rPr>
        <w:t xml:space="preserve"> Health Expectations, 2010. </w:t>
      </w:r>
      <w:r w:rsidRPr="00E516A2">
        <w:rPr>
          <w:rFonts w:hint="eastAsia"/>
          <w:b/>
          <w:noProof/>
        </w:rPr>
        <w:t>13</w:t>
      </w:r>
      <w:r w:rsidRPr="00E516A2">
        <w:rPr>
          <w:rFonts w:hint="eastAsia"/>
          <w:noProof/>
        </w:rPr>
        <w:t>(2): p. 139-147.</w:t>
      </w:r>
    </w:p>
    <w:p w14:paraId="572BF8E7" w14:textId="77777777" w:rsidR="00E516A2" w:rsidRPr="00E516A2" w:rsidRDefault="00E516A2" w:rsidP="00E516A2">
      <w:pPr>
        <w:pStyle w:val="EndNoteBibliography"/>
        <w:spacing w:after="0"/>
        <w:ind w:left="720" w:hanging="720"/>
        <w:rPr>
          <w:noProof/>
        </w:rPr>
      </w:pPr>
      <w:r w:rsidRPr="00E516A2">
        <w:rPr>
          <w:noProof/>
        </w:rPr>
        <w:t>61.</w:t>
      </w:r>
      <w:r w:rsidRPr="00E516A2">
        <w:rPr>
          <w:noProof/>
        </w:rPr>
        <w:tab/>
        <w:t xml:space="preserve">Kaltoft, M., et al., </w:t>
      </w:r>
      <w:r w:rsidRPr="00E516A2">
        <w:rPr>
          <w:i/>
          <w:noProof/>
        </w:rPr>
        <w:t>Assessing decision quality in patient-centred care requires a preference-sensitive measure.</w:t>
      </w:r>
      <w:r w:rsidRPr="00E516A2">
        <w:rPr>
          <w:noProof/>
        </w:rPr>
        <w:t xml:space="preserve"> Journal of health services research &amp; policy, 2013: p. 1355819613511076.</w:t>
      </w:r>
    </w:p>
    <w:p w14:paraId="7745676C" w14:textId="77777777" w:rsidR="00E516A2" w:rsidRPr="00E516A2" w:rsidRDefault="00E516A2" w:rsidP="00E516A2">
      <w:pPr>
        <w:pStyle w:val="EndNoteBibliography"/>
        <w:spacing w:after="0"/>
        <w:ind w:left="720" w:hanging="720"/>
        <w:rPr>
          <w:noProof/>
        </w:rPr>
      </w:pPr>
      <w:r w:rsidRPr="00E516A2">
        <w:rPr>
          <w:noProof/>
        </w:rPr>
        <w:t>62.</w:t>
      </w:r>
      <w:r w:rsidRPr="00E516A2">
        <w:rPr>
          <w:noProof/>
        </w:rPr>
        <w:tab/>
        <w:t xml:space="preserve">Daniels, N. and J. Sabin, </w:t>
      </w:r>
      <w:r w:rsidRPr="00E516A2">
        <w:rPr>
          <w:i/>
          <w:noProof/>
        </w:rPr>
        <w:t>The ethics of accountability in managed care reform.</w:t>
      </w:r>
      <w:r w:rsidRPr="00E516A2">
        <w:rPr>
          <w:noProof/>
        </w:rPr>
        <w:t xml:space="preserve"> Health affairs, 1998. </w:t>
      </w:r>
      <w:r w:rsidRPr="00E516A2">
        <w:rPr>
          <w:b/>
          <w:noProof/>
        </w:rPr>
        <w:t>17</w:t>
      </w:r>
      <w:r w:rsidRPr="00E516A2">
        <w:rPr>
          <w:noProof/>
        </w:rPr>
        <w:t>(5): p. 50-64.</w:t>
      </w:r>
    </w:p>
    <w:p w14:paraId="4F88A784" w14:textId="77777777" w:rsidR="00E516A2" w:rsidRPr="00E516A2" w:rsidRDefault="00E516A2" w:rsidP="00E516A2">
      <w:pPr>
        <w:pStyle w:val="EndNoteBibliography"/>
        <w:spacing w:after="0"/>
        <w:ind w:left="720" w:hanging="720"/>
        <w:rPr>
          <w:noProof/>
        </w:rPr>
      </w:pPr>
      <w:r w:rsidRPr="00E516A2">
        <w:rPr>
          <w:noProof/>
        </w:rPr>
        <w:t>63.</w:t>
      </w:r>
      <w:r w:rsidRPr="00E516A2">
        <w:rPr>
          <w:noProof/>
        </w:rPr>
        <w:tab/>
        <w:t xml:space="preserve">NICE, </w:t>
      </w:r>
      <w:r w:rsidRPr="00E516A2">
        <w:rPr>
          <w:i/>
          <w:noProof/>
        </w:rPr>
        <w:t>Social Value Judgements: Principles for the development of NICE guidance</w:t>
      </w:r>
      <w:r w:rsidRPr="00E516A2">
        <w:rPr>
          <w:noProof/>
        </w:rPr>
        <w:t>. 2008, National Institute for Health and Care Excellence: London.</w:t>
      </w:r>
    </w:p>
    <w:p w14:paraId="3F89F680" w14:textId="1D69533F" w:rsidR="00E516A2" w:rsidRPr="00E516A2" w:rsidRDefault="00E516A2" w:rsidP="00E516A2">
      <w:pPr>
        <w:pStyle w:val="EndNoteBibliography"/>
        <w:spacing w:after="0"/>
        <w:ind w:left="720" w:hanging="720"/>
        <w:rPr>
          <w:noProof/>
        </w:rPr>
      </w:pPr>
      <w:r w:rsidRPr="00E516A2">
        <w:rPr>
          <w:noProof/>
        </w:rPr>
        <w:t>64.</w:t>
      </w:r>
      <w:r w:rsidRPr="00E516A2">
        <w:rPr>
          <w:noProof/>
        </w:rPr>
        <w:tab/>
        <w:t xml:space="preserve">Rivett, G. </w:t>
      </w:r>
      <w:r w:rsidRPr="00E516A2">
        <w:rPr>
          <w:i/>
          <w:noProof/>
        </w:rPr>
        <w:t>NHS history</w:t>
      </w:r>
      <w:r w:rsidRPr="00E516A2">
        <w:rPr>
          <w:noProof/>
        </w:rPr>
        <w:t xml:space="preserve">. 2009; Available from: </w:t>
      </w:r>
      <w:hyperlink r:id="rId58" w:history="1">
        <w:r w:rsidRPr="00E516A2">
          <w:rPr>
            <w:rStyle w:val="Hyperlink"/>
            <w:noProof/>
          </w:rPr>
          <w:t>http://www.nhshistory.net/shorthistory.htm</w:t>
        </w:r>
      </w:hyperlink>
      <w:r w:rsidRPr="00E516A2">
        <w:rPr>
          <w:noProof/>
        </w:rPr>
        <w:t>.</w:t>
      </w:r>
    </w:p>
    <w:p w14:paraId="09BAD310" w14:textId="77777777" w:rsidR="00E516A2" w:rsidRPr="00E516A2" w:rsidRDefault="00E516A2" w:rsidP="00E516A2">
      <w:pPr>
        <w:pStyle w:val="EndNoteBibliography"/>
        <w:spacing w:after="0"/>
        <w:ind w:left="720" w:hanging="720"/>
        <w:rPr>
          <w:noProof/>
        </w:rPr>
      </w:pPr>
      <w:r w:rsidRPr="00E516A2">
        <w:rPr>
          <w:noProof/>
        </w:rPr>
        <w:t>65.</w:t>
      </w:r>
      <w:r w:rsidRPr="00E516A2">
        <w:rPr>
          <w:noProof/>
        </w:rPr>
        <w:tab/>
        <w:t xml:space="preserve">Whitehead, S.J. and S. Ali, </w:t>
      </w:r>
      <w:r w:rsidRPr="00E516A2">
        <w:rPr>
          <w:i/>
          <w:noProof/>
        </w:rPr>
        <w:t>Health outcomes in economic evaluation: the QALY and utilities.</w:t>
      </w:r>
      <w:r w:rsidRPr="00E516A2">
        <w:rPr>
          <w:noProof/>
        </w:rPr>
        <w:t xml:space="preserve"> British medical bulletin, 2010. </w:t>
      </w:r>
      <w:r w:rsidRPr="00E516A2">
        <w:rPr>
          <w:b/>
          <w:noProof/>
        </w:rPr>
        <w:t>96</w:t>
      </w:r>
      <w:r w:rsidRPr="00E516A2">
        <w:rPr>
          <w:noProof/>
        </w:rPr>
        <w:t>(1): p. 5-21.</w:t>
      </w:r>
    </w:p>
    <w:p w14:paraId="07B2EA31" w14:textId="77777777" w:rsidR="00E516A2" w:rsidRPr="00E516A2" w:rsidRDefault="00E516A2" w:rsidP="00E516A2">
      <w:pPr>
        <w:pStyle w:val="EndNoteBibliography"/>
        <w:spacing w:after="0"/>
        <w:ind w:left="720" w:hanging="720"/>
        <w:rPr>
          <w:noProof/>
        </w:rPr>
      </w:pPr>
      <w:r w:rsidRPr="00E516A2">
        <w:rPr>
          <w:noProof/>
        </w:rPr>
        <w:t>66.</w:t>
      </w:r>
      <w:r w:rsidRPr="00E516A2">
        <w:rPr>
          <w:noProof/>
        </w:rPr>
        <w:tab/>
        <w:t xml:space="preserve">Cookson, R., C. McCabe, and A. Tsuchiya, </w:t>
      </w:r>
      <w:r w:rsidRPr="00E516A2">
        <w:rPr>
          <w:i/>
          <w:noProof/>
        </w:rPr>
        <w:t>Public healthcare resource allocation and the Rule of Rescue.</w:t>
      </w:r>
      <w:r w:rsidRPr="00E516A2">
        <w:rPr>
          <w:noProof/>
        </w:rPr>
        <w:t xml:space="preserve"> Journal of Medical Ethics, 2008. </w:t>
      </w:r>
      <w:r w:rsidRPr="00E516A2">
        <w:rPr>
          <w:b/>
          <w:noProof/>
        </w:rPr>
        <w:t>34</w:t>
      </w:r>
      <w:r w:rsidRPr="00E516A2">
        <w:rPr>
          <w:noProof/>
        </w:rPr>
        <w:t>(7): p. 540-544.</w:t>
      </w:r>
    </w:p>
    <w:p w14:paraId="221ADB87" w14:textId="77777777" w:rsidR="00E516A2" w:rsidRPr="00E516A2" w:rsidRDefault="00E516A2" w:rsidP="00E516A2">
      <w:pPr>
        <w:pStyle w:val="EndNoteBibliography"/>
        <w:spacing w:after="0"/>
        <w:ind w:left="720" w:hanging="720"/>
        <w:rPr>
          <w:noProof/>
        </w:rPr>
      </w:pPr>
      <w:r w:rsidRPr="00E516A2">
        <w:rPr>
          <w:noProof/>
        </w:rPr>
        <w:t>67.</w:t>
      </w:r>
      <w:r w:rsidRPr="00E516A2">
        <w:rPr>
          <w:noProof/>
        </w:rPr>
        <w:tab/>
        <w:t xml:space="preserve">Williams, A.H. and R.A. Cookson, </w:t>
      </w:r>
      <w:r w:rsidRPr="00E516A2">
        <w:rPr>
          <w:i/>
          <w:noProof/>
        </w:rPr>
        <w:t>Equity–efficiency trade-offs in health technology assessment.</w:t>
      </w:r>
      <w:r w:rsidRPr="00E516A2">
        <w:rPr>
          <w:noProof/>
        </w:rPr>
        <w:t xml:space="preserve"> International journal of technology assessment in health care, 2006. </w:t>
      </w:r>
      <w:r w:rsidRPr="00E516A2">
        <w:rPr>
          <w:b/>
          <w:noProof/>
        </w:rPr>
        <w:t>22</w:t>
      </w:r>
      <w:r w:rsidRPr="00E516A2">
        <w:rPr>
          <w:noProof/>
        </w:rPr>
        <w:t>(01): p. 2.</w:t>
      </w:r>
    </w:p>
    <w:p w14:paraId="61E72848" w14:textId="77777777" w:rsidR="00E516A2" w:rsidRPr="00E516A2" w:rsidRDefault="00E516A2" w:rsidP="00E516A2">
      <w:pPr>
        <w:pStyle w:val="EndNoteBibliography"/>
        <w:spacing w:after="0"/>
        <w:ind w:left="720" w:hanging="720"/>
        <w:rPr>
          <w:noProof/>
        </w:rPr>
      </w:pPr>
      <w:r w:rsidRPr="00E516A2">
        <w:rPr>
          <w:noProof/>
        </w:rPr>
        <w:t>68.</w:t>
      </w:r>
      <w:r w:rsidRPr="00E516A2">
        <w:rPr>
          <w:noProof/>
        </w:rPr>
        <w:tab/>
        <w:t xml:space="preserve">Airoldi, M., et al., </w:t>
      </w:r>
      <w:r w:rsidRPr="00E516A2">
        <w:rPr>
          <w:i/>
          <w:noProof/>
        </w:rPr>
        <w:t>Healthcare prioritisation at the local level: a socio-technical approach.</w:t>
      </w:r>
      <w:r w:rsidRPr="00E516A2">
        <w:rPr>
          <w:noProof/>
        </w:rPr>
        <w:t xml:space="preserve"> Priority-setting for Population Health Working Paper Series, Working Paper, 2011(7).</w:t>
      </w:r>
    </w:p>
    <w:p w14:paraId="16BC36FB" w14:textId="205B148B" w:rsidR="00E516A2" w:rsidRPr="00E516A2" w:rsidRDefault="00E516A2" w:rsidP="00E516A2">
      <w:pPr>
        <w:pStyle w:val="EndNoteBibliography"/>
        <w:spacing w:after="0"/>
        <w:ind w:left="720" w:hanging="720"/>
        <w:rPr>
          <w:noProof/>
        </w:rPr>
      </w:pPr>
      <w:r w:rsidRPr="00E516A2">
        <w:rPr>
          <w:noProof/>
        </w:rPr>
        <w:t>69.</w:t>
      </w:r>
      <w:r w:rsidRPr="00E516A2">
        <w:rPr>
          <w:noProof/>
        </w:rPr>
        <w:tab/>
        <w:t xml:space="preserve">Council, N.C., </w:t>
      </w:r>
      <w:r w:rsidRPr="00E516A2">
        <w:rPr>
          <w:i/>
          <w:noProof/>
        </w:rPr>
        <w:t>NICE Citizens Council Report: Rule of Rescue.</w:t>
      </w:r>
      <w:r w:rsidRPr="00E516A2">
        <w:rPr>
          <w:noProof/>
        </w:rPr>
        <w:t xml:space="preserve"> January. Available from </w:t>
      </w:r>
      <w:hyperlink r:id="rId59" w:history="1">
        <w:r w:rsidRPr="00E516A2">
          <w:rPr>
            <w:rStyle w:val="Hyperlink"/>
            <w:noProof/>
          </w:rPr>
          <w:t>http://www.nice.org.uk/Media/Default/Get-involved/Citizens-Council/Reports/CCReport06RuleOfRescue.pdf</w:t>
        </w:r>
      </w:hyperlink>
      <w:r w:rsidRPr="00E516A2">
        <w:rPr>
          <w:noProof/>
        </w:rPr>
        <w:t>, 2006.</w:t>
      </w:r>
    </w:p>
    <w:p w14:paraId="0E056325" w14:textId="77777777" w:rsidR="00E516A2" w:rsidRPr="00E516A2" w:rsidRDefault="00E516A2" w:rsidP="00E516A2">
      <w:pPr>
        <w:pStyle w:val="EndNoteBibliography"/>
        <w:spacing w:after="0"/>
        <w:ind w:left="720" w:hanging="720"/>
        <w:rPr>
          <w:noProof/>
        </w:rPr>
      </w:pPr>
      <w:r w:rsidRPr="00E516A2">
        <w:rPr>
          <w:noProof/>
        </w:rPr>
        <w:t>70.</w:t>
      </w:r>
      <w:r w:rsidRPr="00E516A2">
        <w:rPr>
          <w:noProof/>
        </w:rPr>
        <w:tab/>
        <w:t xml:space="preserve">Blumstein, J.F., </w:t>
      </w:r>
      <w:r w:rsidRPr="00E516A2">
        <w:rPr>
          <w:i/>
          <w:noProof/>
        </w:rPr>
        <w:t>The Oregon experiment: the role of cost-benefit analysis in the allocation of Medicaid funds.</w:t>
      </w:r>
      <w:r w:rsidRPr="00E516A2">
        <w:rPr>
          <w:noProof/>
        </w:rPr>
        <w:t xml:space="preserve"> Social science &amp; medicine, 1997. </w:t>
      </w:r>
      <w:r w:rsidRPr="00E516A2">
        <w:rPr>
          <w:b/>
          <w:noProof/>
        </w:rPr>
        <w:t>45</w:t>
      </w:r>
      <w:r w:rsidRPr="00E516A2">
        <w:rPr>
          <w:noProof/>
        </w:rPr>
        <w:t>(4): p. 545-554.</w:t>
      </w:r>
    </w:p>
    <w:p w14:paraId="169DC903" w14:textId="77777777" w:rsidR="00E516A2" w:rsidRPr="00E516A2" w:rsidRDefault="00E516A2" w:rsidP="00E516A2">
      <w:pPr>
        <w:pStyle w:val="EndNoteBibliography"/>
        <w:spacing w:after="0"/>
        <w:ind w:left="720" w:hanging="720"/>
        <w:rPr>
          <w:noProof/>
        </w:rPr>
      </w:pPr>
      <w:r w:rsidRPr="00E516A2">
        <w:rPr>
          <w:noProof/>
        </w:rPr>
        <w:t>71.</w:t>
      </w:r>
      <w:r w:rsidRPr="00E516A2">
        <w:rPr>
          <w:noProof/>
        </w:rPr>
        <w:tab/>
        <w:t xml:space="preserve">Hayek, F.A., </w:t>
      </w:r>
      <w:r w:rsidRPr="00E516A2">
        <w:rPr>
          <w:i/>
          <w:noProof/>
        </w:rPr>
        <w:t>The constitution of liberty: The definitive edition</w:t>
      </w:r>
      <w:r w:rsidRPr="00E516A2">
        <w:rPr>
          <w:noProof/>
        </w:rPr>
        <w:t>. Vol. 17. 2013: Routledge.</w:t>
      </w:r>
    </w:p>
    <w:p w14:paraId="1B75CD17" w14:textId="77777777" w:rsidR="00E516A2" w:rsidRPr="00E516A2" w:rsidRDefault="00E516A2" w:rsidP="00E516A2">
      <w:pPr>
        <w:pStyle w:val="EndNoteBibliography"/>
        <w:spacing w:after="0"/>
        <w:ind w:left="720" w:hanging="720"/>
        <w:rPr>
          <w:noProof/>
        </w:rPr>
      </w:pPr>
      <w:r w:rsidRPr="00E516A2">
        <w:rPr>
          <w:noProof/>
        </w:rPr>
        <w:t>72.</w:t>
      </w:r>
      <w:r w:rsidRPr="00E516A2">
        <w:rPr>
          <w:noProof/>
        </w:rPr>
        <w:tab/>
        <w:t xml:space="preserve">Sen, A., </w:t>
      </w:r>
      <w:r w:rsidRPr="00E516A2">
        <w:rPr>
          <w:i/>
          <w:noProof/>
        </w:rPr>
        <w:t>Critical reflection. Health and development.</w:t>
      </w:r>
      <w:r w:rsidRPr="00E516A2">
        <w:rPr>
          <w:noProof/>
        </w:rPr>
        <w:t xml:space="preserve"> Bulletin of the World Health Organization, 1999. </w:t>
      </w:r>
      <w:r w:rsidRPr="00E516A2">
        <w:rPr>
          <w:b/>
          <w:noProof/>
        </w:rPr>
        <w:t>77</w:t>
      </w:r>
      <w:r w:rsidRPr="00E516A2">
        <w:rPr>
          <w:noProof/>
        </w:rPr>
        <w:t>(8).</w:t>
      </w:r>
    </w:p>
    <w:p w14:paraId="2FE9136C" w14:textId="77777777" w:rsidR="00E516A2" w:rsidRPr="00E516A2" w:rsidRDefault="00E516A2" w:rsidP="00E516A2">
      <w:pPr>
        <w:pStyle w:val="EndNoteBibliography"/>
        <w:spacing w:after="0"/>
        <w:ind w:left="720" w:hanging="720"/>
        <w:rPr>
          <w:noProof/>
        </w:rPr>
      </w:pPr>
      <w:r w:rsidRPr="00E516A2">
        <w:rPr>
          <w:noProof/>
        </w:rPr>
        <w:t>73.</w:t>
      </w:r>
      <w:r w:rsidRPr="00E516A2">
        <w:rPr>
          <w:noProof/>
        </w:rPr>
        <w:tab/>
        <w:t xml:space="preserve">Slovic, P., B. Fischhoff, and S. Lichtenstein, </w:t>
      </w:r>
      <w:r w:rsidRPr="00E516A2">
        <w:rPr>
          <w:i/>
          <w:noProof/>
        </w:rPr>
        <w:t>Behavioral decision theory.</w:t>
      </w:r>
      <w:r w:rsidRPr="00E516A2">
        <w:rPr>
          <w:noProof/>
        </w:rPr>
        <w:t xml:space="preserve"> Annual review of psychology, 1977. </w:t>
      </w:r>
      <w:r w:rsidRPr="00E516A2">
        <w:rPr>
          <w:b/>
          <w:noProof/>
        </w:rPr>
        <w:t>28</w:t>
      </w:r>
      <w:r w:rsidRPr="00E516A2">
        <w:rPr>
          <w:noProof/>
        </w:rPr>
        <w:t>(1): p. 1-39.</w:t>
      </w:r>
    </w:p>
    <w:p w14:paraId="21B6BD8D" w14:textId="77777777" w:rsidR="00E516A2" w:rsidRPr="00E516A2" w:rsidRDefault="00E516A2" w:rsidP="00E516A2">
      <w:pPr>
        <w:pStyle w:val="EndNoteBibliography"/>
        <w:spacing w:after="0"/>
        <w:ind w:left="720" w:hanging="720"/>
        <w:rPr>
          <w:noProof/>
        </w:rPr>
      </w:pPr>
      <w:r w:rsidRPr="00E516A2">
        <w:rPr>
          <w:noProof/>
        </w:rPr>
        <w:t>74.</w:t>
      </w:r>
      <w:r w:rsidRPr="00E516A2">
        <w:rPr>
          <w:noProof/>
        </w:rPr>
        <w:tab/>
        <w:t xml:space="preserve">Messonnier, M., </w:t>
      </w:r>
      <w:r w:rsidRPr="00E516A2">
        <w:rPr>
          <w:i/>
          <w:noProof/>
        </w:rPr>
        <w:t>Economics and public health at CDC.</w:t>
      </w:r>
      <w:r w:rsidRPr="00E516A2">
        <w:rPr>
          <w:noProof/>
        </w:rPr>
        <w:t xml:space="preserve"> MMWR. Morbidity and mortality weekly report, 2006. </w:t>
      </w:r>
      <w:r w:rsidRPr="00E516A2">
        <w:rPr>
          <w:b/>
          <w:noProof/>
        </w:rPr>
        <w:t>55</w:t>
      </w:r>
      <w:r w:rsidRPr="00E516A2">
        <w:rPr>
          <w:noProof/>
        </w:rPr>
        <w:t>: p. 17-19.</w:t>
      </w:r>
    </w:p>
    <w:p w14:paraId="3BD699CC" w14:textId="77777777" w:rsidR="00E516A2" w:rsidRPr="00E516A2" w:rsidRDefault="00E516A2" w:rsidP="00E516A2">
      <w:pPr>
        <w:pStyle w:val="EndNoteBibliography"/>
        <w:spacing w:after="0"/>
        <w:ind w:left="720" w:hanging="720"/>
        <w:rPr>
          <w:noProof/>
        </w:rPr>
      </w:pPr>
      <w:r w:rsidRPr="00E516A2">
        <w:rPr>
          <w:noProof/>
        </w:rPr>
        <w:t>75.</w:t>
      </w:r>
      <w:r w:rsidRPr="00E516A2">
        <w:rPr>
          <w:noProof/>
        </w:rPr>
        <w:tab/>
        <w:t xml:space="preserve">Carande-Kulis, V.G., T.E. Getzen, and S.B. Thacker, </w:t>
      </w:r>
      <w:r w:rsidRPr="00E516A2">
        <w:rPr>
          <w:i/>
          <w:noProof/>
        </w:rPr>
        <w:t>Public goods and externalities: a research agenda for public health economics.</w:t>
      </w:r>
      <w:r w:rsidRPr="00E516A2">
        <w:rPr>
          <w:noProof/>
        </w:rPr>
        <w:t xml:space="preserve"> Journal of Public Health Management and Practice, 2007. </w:t>
      </w:r>
      <w:r w:rsidRPr="00E516A2">
        <w:rPr>
          <w:b/>
          <w:noProof/>
        </w:rPr>
        <w:t>13</w:t>
      </w:r>
      <w:r w:rsidRPr="00E516A2">
        <w:rPr>
          <w:noProof/>
        </w:rPr>
        <w:t>(2): p. 227-232.</w:t>
      </w:r>
    </w:p>
    <w:p w14:paraId="471F82F0" w14:textId="77777777" w:rsidR="00E516A2" w:rsidRPr="00E516A2" w:rsidRDefault="00E516A2" w:rsidP="00E516A2">
      <w:pPr>
        <w:pStyle w:val="EndNoteBibliography"/>
        <w:spacing w:after="0"/>
        <w:ind w:left="720" w:hanging="720"/>
        <w:rPr>
          <w:noProof/>
        </w:rPr>
      </w:pPr>
      <w:r w:rsidRPr="00E516A2">
        <w:rPr>
          <w:noProof/>
        </w:rPr>
        <w:t>76.</w:t>
      </w:r>
      <w:r w:rsidRPr="00E516A2">
        <w:rPr>
          <w:noProof/>
        </w:rPr>
        <w:tab/>
        <w:t xml:space="preserve">Tversky, A. and D. Kahneman, </w:t>
      </w:r>
      <w:r w:rsidRPr="00E516A2">
        <w:rPr>
          <w:i/>
          <w:noProof/>
        </w:rPr>
        <w:t>Judgment under uncertainty: Heuristics and biases.</w:t>
      </w:r>
      <w:r w:rsidRPr="00E516A2">
        <w:rPr>
          <w:noProof/>
        </w:rPr>
        <w:t xml:space="preserve"> science, 1974. </w:t>
      </w:r>
      <w:r w:rsidRPr="00E516A2">
        <w:rPr>
          <w:b/>
          <w:noProof/>
        </w:rPr>
        <w:t>185</w:t>
      </w:r>
      <w:r w:rsidRPr="00E516A2">
        <w:rPr>
          <w:noProof/>
        </w:rPr>
        <w:t>(4157): p. 1124-1131.</w:t>
      </w:r>
    </w:p>
    <w:p w14:paraId="510E79AA" w14:textId="77777777" w:rsidR="00E516A2" w:rsidRPr="00E516A2" w:rsidRDefault="00E516A2" w:rsidP="00E516A2">
      <w:pPr>
        <w:pStyle w:val="EndNoteBibliography"/>
        <w:spacing w:after="0"/>
        <w:ind w:left="720" w:hanging="720"/>
        <w:rPr>
          <w:noProof/>
        </w:rPr>
      </w:pPr>
      <w:r w:rsidRPr="00E516A2">
        <w:rPr>
          <w:noProof/>
        </w:rPr>
        <w:t>77.</w:t>
      </w:r>
      <w:r w:rsidRPr="00E516A2">
        <w:rPr>
          <w:noProof/>
        </w:rPr>
        <w:tab/>
        <w:t xml:space="preserve">Tversky, A. and D. Kahneman, </w:t>
      </w:r>
      <w:r w:rsidRPr="00E516A2">
        <w:rPr>
          <w:i/>
          <w:noProof/>
        </w:rPr>
        <w:t>Availability: A heuristic for judging frequency and probability.</w:t>
      </w:r>
      <w:r w:rsidRPr="00E516A2">
        <w:rPr>
          <w:noProof/>
        </w:rPr>
        <w:t xml:space="preserve"> Cognitive psychology, 1973. </w:t>
      </w:r>
      <w:r w:rsidRPr="00E516A2">
        <w:rPr>
          <w:b/>
          <w:noProof/>
        </w:rPr>
        <w:t>5</w:t>
      </w:r>
      <w:r w:rsidRPr="00E516A2">
        <w:rPr>
          <w:noProof/>
        </w:rPr>
        <w:t>(2): p. 207-232.</w:t>
      </w:r>
    </w:p>
    <w:p w14:paraId="69130B3B" w14:textId="77777777" w:rsidR="00E516A2" w:rsidRPr="00E516A2" w:rsidRDefault="00E516A2" w:rsidP="00E516A2">
      <w:pPr>
        <w:pStyle w:val="EndNoteBibliography"/>
        <w:spacing w:after="0"/>
        <w:ind w:left="720" w:hanging="720"/>
        <w:rPr>
          <w:noProof/>
        </w:rPr>
      </w:pPr>
      <w:r w:rsidRPr="00E516A2">
        <w:rPr>
          <w:noProof/>
        </w:rPr>
        <w:t>78.</w:t>
      </w:r>
      <w:r w:rsidRPr="00E516A2">
        <w:rPr>
          <w:noProof/>
        </w:rPr>
        <w:tab/>
        <w:t xml:space="preserve">Gigerenzer, G. and D.G. Goldstein, </w:t>
      </w:r>
      <w:r w:rsidRPr="00E516A2">
        <w:rPr>
          <w:i/>
          <w:noProof/>
        </w:rPr>
        <w:t>Reasoning the fast and frugal way: models of bounded rationality.</w:t>
      </w:r>
      <w:r w:rsidRPr="00E516A2">
        <w:rPr>
          <w:noProof/>
        </w:rPr>
        <w:t xml:space="preserve"> Psychological review, 1996. </w:t>
      </w:r>
      <w:r w:rsidRPr="00E516A2">
        <w:rPr>
          <w:b/>
          <w:noProof/>
        </w:rPr>
        <w:t>103</w:t>
      </w:r>
      <w:r w:rsidRPr="00E516A2">
        <w:rPr>
          <w:noProof/>
        </w:rPr>
        <w:t>(4): p. 650.</w:t>
      </w:r>
    </w:p>
    <w:p w14:paraId="72EEA9F2" w14:textId="77777777" w:rsidR="00E516A2" w:rsidRPr="00E516A2" w:rsidRDefault="00E516A2" w:rsidP="00E516A2">
      <w:pPr>
        <w:pStyle w:val="EndNoteBibliography"/>
        <w:spacing w:after="0"/>
        <w:ind w:left="720" w:hanging="720"/>
        <w:rPr>
          <w:noProof/>
        </w:rPr>
      </w:pPr>
      <w:r w:rsidRPr="00E516A2">
        <w:rPr>
          <w:noProof/>
        </w:rPr>
        <w:t>79.</w:t>
      </w:r>
      <w:r w:rsidRPr="00E516A2">
        <w:rPr>
          <w:noProof/>
        </w:rPr>
        <w:tab/>
        <w:t xml:space="preserve">Slovic, P., et al., </w:t>
      </w:r>
      <w:r w:rsidRPr="00E516A2">
        <w:rPr>
          <w:i/>
          <w:noProof/>
        </w:rPr>
        <w:t>Risk as analysis and risk as feelings: Some thoughts about affect, reason, risk, and rationality.</w:t>
      </w:r>
      <w:r w:rsidRPr="00E516A2">
        <w:rPr>
          <w:noProof/>
        </w:rPr>
        <w:t xml:space="preserve"> Risk analysis, 2004. </w:t>
      </w:r>
      <w:r w:rsidRPr="00E516A2">
        <w:rPr>
          <w:b/>
          <w:noProof/>
        </w:rPr>
        <w:t>24</w:t>
      </w:r>
      <w:r w:rsidRPr="00E516A2">
        <w:rPr>
          <w:noProof/>
        </w:rPr>
        <w:t>(2): p. 311-322.</w:t>
      </w:r>
    </w:p>
    <w:p w14:paraId="340C2681" w14:textId="77777777" w:rsidR="00E516A2" w:rsidRPr="00E516A2" w:rsidRDefault="00E516A2" w:rsidP="00E516A2">
      <w:pPr>
        <w:pStyle w:val="EndNoteBibliography"/>
        <w:spacing w:after="0"/>
        <w:ind w:left="720" w:hanging="720"/>
        <w:rPr>
          <w:noProof/>
        </w:rPr>
      </w:pPr>
      <w:r w:rsidRPr="00E516A2">
        <w:rPr>
          <w:noProof/>
        </w:rPr>
        <w:t>80.</w:t>
      </w:r>
      <w:r w:rsidRPr="00E516A2">
        <w:rPr>
          <w:noProof/>
        </w:rPr>
        <w:tab/>
        <w:t xml:space="preserve">Brennan, A., S.E. Chick, and R. Davies, </w:t>
      </w:r>
      <w:r w:rsidRPr="00E516A2">
        <w:rPr>
          <w:i/>
          <w:noProof/>
        </w:rPr>
        <w:t>A taxonomy of model structures for economic evaluation of health technologies.</w:t>
      </w:r>
      <w:r w:rsidRPr="00E516A2">
        <w:rPr>
          <w:noProof/>
        </w:rPr>
        <w:t xml:space="preserve"> Health economics, 2006. </w:t>
      </w:r>
      <w:r w:rsidRPr="00E516A2">
        <w:rPr>
          <w:b/>
          <w:noProof/>
        </w:rPr>
        <w:t>15</w:t>
      </w:r>
      <w:r w:rsidRPr="00E516A2">
        <w:rPr>
          <w:noProof/>
        </w:rPr>
        <w:t>(12): p. 1295-1310.</w:t>
      </w:r>
    </w:p>
    <w:p w14:paraId="18D8DC8C" w14:textId="77777777" w:rsidR="00E516A2" w:rsidRPr="00E516A2" w:rsidRDefault="00E516A2" w:rsidP="00E516A2">
      <w:pPr>
        <w:pStyle w:val="EndNoteBibliography"/>
        <w:spacing w:after="0"/>
        <w:ind w:left="720" w:hanging="720"/>
        <w:rPr>
          <w:noProof/>
        </w:rPr>
      </w:pPr>
      <w:r w:rsidRPr="00E516A2">
        <w:rPr>
          <w:noProof/>
        </w:rPr>
        <w:t>81.</w:t>
      </w:r>
      <w:r w:rsidRPr="00E516A2">
        <w:rPr>
          <w:noProof/>
        </w:rPr>
        <w:tab/>
        <w:t xml:space="preserve">Briggs, M.A. and M. Sculpher, </w:t>
      </w:r>
      <w:r w:rsidRPr="00E516A2">
        <w:rPr>
          <w:i/>
          <w:noProof/>
        </w:rPr>
        <w:t>An introduction to Markov modelling for economic evaluation.</w:t>
      </w:r>
      <w:r w:rsidRPr="00E516A2">
        <w:rPr>
          <w:noProof/>
        </w:rPr>
        <w:t xml:space="preserve"> Pharmacoeconomics, 1998. </w:t>
      </w:r>
      <w:r w:rsidRPr="00E516A2">
        <w:rPr>
          <w:b/>
          <w:noProof/>
        </w:rPr>
        <w:t>13</w:t>
      </w:r>
      <w:r w:rsidRPr="00E516A2">
        <w:rPr>
          <w:noProof/>
        </w:rPr>
        <w:t>(4): p. 397-409.</w:t>
      </w:r>
    </w:p>
    <w:p w14:paraId="379E1E1F" w14:textId="77777777" w:rsidR="00E516A2" w:rsidRPr="00E516A2" w:rsidRDefault="00E516A2" w:rsidP="00E516A2">
      <w:pPr>
        <w:pStyle w:val="EndNoteBibliography"/>
        <w:spacing w:after="0"/>
        <w:ind w:left="720" w:hanging="720"/>
        <w:rPr>
          <w:noProof/>
        </w:rPr>
      </w:pPr>
      <w:r w:rsidRPr="00E516A2">
        <w:rPr>
          <w:noProof/>
        </w:rPr>
        <w:t>82.</w:t>
      </w:r>
      <w:r w:rsidRPr="00E516A2">
        <w:rPr>
          <w:noProof/>
        </w:rPr>
        <w:tab/>
        <w:t xml:space="preserve">Coast, J., </w:t>
      </w:r>
      <w:r w:rsidRPr="00E516A2">
        <w:rPr>
          <w:i/>
          <w:noProof/>
        </w:rPr>
        <w:t>Is economic evaluation in touch with society's health values?</w:t>
      </w:r>
      <w:r w:rsidRPr="00E516A2">
        <w:rPr>
          <w:noProof/>
        </w:rPr>
        <w:t xml:space="preserve"> BMJ: British Medical Journal, 2004. </w:t>
      </w:r>
      <w:r w:rsidRPr="00E516A2">
        <w:rPr>
          <w:b/>
          <w:noProof/>
        </w:rPr>
        <w:t>329</w:t>
      </w:r>
      <w:r w:rsidRPr="00E516A2">
        <w:rPr>
          <w:noProof/>
        </w:rPr>
        <w:t>(7476): p. 1233.</w:t>
      </w:r>
    </w:p>
    <w:p w14:paraId="50BFBD11" w14:textId="77777777" w:rsidR="00E516A2" w:rsidRPr="00E516A2" w:rsidRDefault="00E516A2" w:rsidP="00E516A2">
      <w:pPr>
        <w:pStyle w:val="EndNoteBibliography"/>
        <w:spacing w:after="0"/>
        <w:ind w:left="720" w:hanging="720"/>
        <w:rPr>
          <w:noProof/>
        </w:rPr>
      </w:pPr>
      <w:r w:rsidRPr="00E516A2">
        <w:rPr>
          <w:noProof/>
        </w:rPr>
        <w:t>83.</w:t>
      </w:r>
      <w:r w:rsidRPr="00E516A2">
        <w:rPr>
          <w:noProof/>
        </w:rPr>
        <w:tab/>
        <w:t xml:space="preserve">Health, D.o., </w:t>
      </w:r>
      <w:r w:rsidRPr="00E516A2">
        <w:rPr>
          <w:i/>
          <w:noProof/>
        </w:rPr>
        <w:t>NHS Constitution</w:t>
      </w:r>
      <w:r w:rsidRPr="00E516A2">
        <w:rPr>
          <w:noProof/>
        </w:rPr>
        <w:t>. 2009, Department of Health London.</w:t>
      </w:r>
    </w:p>
    <w:p w14:paraId="71A20525" w14:textId="77777777" w:rsidR="00E516A2" w:rsidRPr="00E516A2" w:rsidRDefault="00E516A2" w:rsidP="00E516A2">
      <w:pPr>
        <w:pStyle w:val="EndNoteBibliography"/>
        <w:spacing w:after="0"/>
        <w:ind w:left="720" w:hanging="720"/>
        <w:rPr>
          <w:noProof/>
        </w:rPr>
      </w:pPr>
      <w:r w:rsidRPr="00E516A2">
        <w:rPr>
          <w:noProof/>
        </w:rPr>
        <w:t>84.</w:t>
      </w:r>
      <w:r w:rsidRPr="00E516A2">
        <w:rPr>
          <w:noProof/>
        </w:rPr>
        <w:tab/>
        <w:t xml:space="preserve">NHS Commissioning Board, </w:t>
      </w:r>
      <w:r w:rsidRPr="00E516A2">
        <w:rPr>
          <w:i/>
          <w:noProof/>
        </w:rPr>
        <w:t>Commissioning policy: implementation and funding of NICE guidance</w:t>
      </w:r>
      <w:r w:rsidRPr="00E516A2">
        <w:rPr>
          <w:noProof/>
        </w:rPr>
        <w:t>. 2013.</w:t>
      </w:r>
    </w:p>
    <w:p w14:paraId="40686EC3" w14:textId="77777777" w:rsidR="00E516A2" w:rsidRPr="00E516A2" w:rsidRDefault="00E516A2" w:rsidP="00E516A2">
      <w:pPr>
        <w:pStyle w:val="EndNoteBibliography"/>
        <w:spacing w:after="0"/>
        <w:ind w:left="720" w:hanging="720"/>
        <w:rPr>
          <w:noProof/>
        </w:rPr>
      </w:pPr>
      <w:r w:rsidRPr="00E516A2">
        <w:rPr>
          <w:noProof/>
        </w:rPr>
        <w:t>85.</w:t>
      </w:r>
      <w:r w:rsidRPr="00E516A2">
        <w:rPr>
          <w:noProof/>
        </w:rPr>
        <w:tab/>
        <w:t xml:space="preserve">NICE, </w:t>
      </w:r>
      <w:r w:rsidRPr="00E516A2">
        <w:rPr>
          <w:i/>
          <w:noProof/>
        </w:rPr>
        <w:t>Developing NICE guidelines: the manual</w:t>
      </w:r>
      <w:r w:rsidRPr="00E516A2">
        <w:rPr>
          <w:noProof/>
        </w:rPr>
        <w:t>.</w:t>
      </w:r>
    </w:p>
    <w:p w14:paraId="7691BE65" w14:textId="77777777" w:rsidR="00E516A2" w:rsidRPr="00E516A2" w:rsidRDefault="00E516A2" w:rsidP="00E516A2">
      <w:pPr>
        <w:pStyle w:val="EndNoteBibliography"/>
        <w:spacing w:after="0"/>
        <w:ind w:left="720" w:hanging="720"/>
        <w:rPr>
          <w:noProof/>
        </w:rPr>
      </w:pPr>
      <w:r w:rsidRPr="00E516A2">
        <w:rPr>
          <w:noProof/>
        </w:rPr>
        <w:t>86.</w:t>
      </w:r>
      <w:r w:rsidRPr="00E516A2">
        <w:rPr>
          <w:noProof/>
        </w:rPr>
        <w:tab/>
        <w:t xml:space="preserve">Sen, A., </w:t>
      </w:r>
      <w:r w:rsidRPr="00E516A2">
        <w:rPr>
          <w:i/>
          <w:noProof/>
        </w:rPr>
        <w:t>Development as Freedom</w:t>
      </w:r>
      <w:r w:rsidRPr="00E516A2">
        <w:rPr>
          <w:noProof/>
        </w:rPr>
        <w:t>. 1999: Oxford University Press.</w:t>
      </w:r>
    </w:p>
    <w:p w14:paraId="35832C09" w14:textId="77777777" w:rsidR="00E516A2" w:rsidRPr="00E516A2" w:rsidRDefault="00E516A2" w:rsidP="00E516A2">
      <w:pPr>
        <w:pStyle w:val="EndNoteBibliography"/>
        <w:spacing w:after="0"/>
        <w:ind w:left="720" w:hanging="720"/>
        <w:rPr>
          <w:noProof/>
        </w:rPr>
      </w:pPr>
      <w:r w:rsidRPr="00E516A2">
        <w:rPr>
          <w:noProof/>
        </w:rPr>
        <w:t>87.</w:t>
      </w:r>
      <w:r w:rsidRPr="00E516A2">
        <w:rPr>
          <w:noProof/>
        </w:rPr>
        <w:tab/>
        <w:t xml:space="preserve">Brickman, P., D. Coates, and R. Janoff-Bulman, </w:t>
      </w:r>
      <w:r w:rsidRPr="00E516A2">
        <w:rPr>
          <w:i/>
          <w:noProof/>
        </w:rPr>
        <w:t>Lottery winners and accident victims: Is happiness relative?</w:t>
      </w:r>
      <w:r w:rsidRPr="00E516A2">
        <w:rPr>
          <w:noProof/>
        </w:rPr>
        <w:t xml:space="preserve"> Journal of personality and social psychology, 1978. </w:t>
      </w:r>
      <w:r w:rsidRPr="00E516A2">
        <w:rPr>
          <w:b/>
          <w:noProof/>
        </w:rPr>
        <w:t>36</w:t>
      </w:r>
      <w:r w:rsidRPr="00E516A2">
        <w:rPr>
          <w:noProof/>
        </w:rPr>
        <w:t>(8): p. 917.</w:t>
      </w:r>
    </w:p>
    <w:p w14:paraId="7BE2A342" w14:textId="77777777" w:rsidR="00E516A2" w:rsidRPr="00E516A2" w:rsidRDefault="00E516A2" w:rsidP="00E516A2">
      <w:pPr>
        <w:pStyle w:val="EndNoteBibliography"/>
        <w:spacing w:after="0"/>
        <w:ind w:left="720" w:hanging="720"/>
        <w:rPr>
          <w:noProof/>
        </w:rPr>
      </w:pPr>
      <w:r w:rsidRPr="00E516A2">
        <w:rPr>
          <w:noProof/>
        </w:rPr>
        <w:t>88.</w:t>
      </w:r>
      <w:r w:rsidRPr="00E516A2">
        <w:rPr>
          <w:noProof/>
        </w:rPr>
        <w:tab/>
        <w:t xml:space="preserve">Anand, P. and A. Wailoo, </w:t>
      </w:r>
      <w:r w:rsidRPr="00E516A2">
        <w:rPr>
          <w:i/>
          <w:noProof/>
        </w:rPr>
        <w:t>Utilities versus rights to publicly provided goods: arguments and evidence from health care rationing.</w:t>
      </w:r>
      <w:r w:rsidRPr="00E516A2">
        <w:rPr>
          <w:noProof/>
        </w:rPr>
        <w:t xml:space="preserve"> Economica, 2000. </w:t>
      </w:r>
      <w:r w:rsidRPr="00E516A2">
        <w:rPr>
          <w:b/>
          <w:noProof/>
        </w:rPr>
        <w:t>67</w:t>
      </w:r>
      <w:r w:rsidRPr="00E516A2">
        <w:rPr>
          <w:noProof/>
        </w:rPr>
        <w:t>(268): p. 543-577.</w:t>
      </w:r>
    </w:p>
    <w:p w14:paraId="0BB3AEFA" w14:textId="77777777" w:rsidR="00E516A2" w:rsidRPr="00E516A2" w:rsidRDefault="00E516A2" w:rsidP="00E516A2">
      <w:pPr>
        <w:pStyle w:val="EndNoteBibliography"/>
        <w:spacing w:after="0"/>
        <w:ind w:left="720" w:hanging="720"/>
        <w:rPr>
          <w:noProof/>
        </w:rPr>
      </w:pPr>
      <w:r w:rsidRPr="00E516A2">
        <w:rPr>
          <w:noProof/>
        </w:rPr>
        <w:t>89.</w:t>
      </w:r>
      <w:r w:rsidRPr="00E516A2">
        <w:rPr>
          <w:noProof/>
        </w:rPr>
        <w:tab/>
        <w:t xml:space="preserve">Dolan, P., et al., </w:t>
      </w:r>
      <w:r w:rsidRPr="00E516A2">
        <w:rPr>
          <w:i/>
          <w:noProof/>
        </w:rPr>
        <w:t>QALY maximisation and people's preferences: a methodological review of the literature.</w:t>
      </w:r>
      <w:r w:rsidRPr="00E516A2">
        <w:rPr>
          <w:noProof/>
        </w:rPr>
        <w:t xml:space="preserve"> Health economics, 2005. </w:t>
      </w:r>
      <w:r w:rsidRPr="00E516A2">
        <w:rPr>
          <w:b/>
          <w:noProof/>
        </w:rPr>
        <w:t>14</w:t>
      </w:r>
      <w:r w:rsidRPr="00E516A2">
        <w:rPr>
          <w:noProof/>
        </w:rPr>
        <w:t>(2): p. 197-208.</w:t>
      </w:r>
    </w:p>
    <w:p w14:paraId="6DD337B8" w14:textId="77777777" w:rsidR="00E516A2" w:rsidRPr="00E516A2" w:rsidRDefault="00E516A2" w:rsidP="00E516A2">
      <w:pPr>
        <w:pStyle w:val="EndNoteBibliography"/>
        <w:spacing w:after="0"/>
        <w:ind w:left="720" w:hanging="720"/>
        <w:rPr>
          <w:noProof/>
        </w:rPr>
      </w:pPr>
      <w:r w:rsidRPr="00E516A2">
        <w:rPr>
          <w:noProof/>
        </w:rPr>
        <w:t>90.</w:t>
      </w:r>
      <w:r w:rsidRPr="00E516A2">
        <w:rPr>
          <w:noProof/>
        </w:rPr>
        <w:tab/>
        <w:t xml:space="preserve">Nord, E., et al., </w:t>
      </w:r>
      <w:r w:rsidRPr="00E516A2">
        <w:rPr>
          <w:i/>
          <w:noProof/>
        </w:rPr>
        <w:t>Maximizing health benefits vs egalitarianism: an Australian survey of health issues.</w:t>
      </w:r>
      <w:r w:rsidRPr="00E516A2">
        <w:rPr>
          <w:noProof/>
        </w:rPr>
        <w:t xml:space="preserve"> Social Science &amp; Medicine, 1995. </w:t>
      </w:r>
      <w:r w:rsidRPr="00E516A2">
        <w:rPr>
          <w:b/>
          <w:noProof/>
        </w:rPr>
        <w:t>41</w:t>
      </w:r>
      <w:r w:rsidRPr="00E516A2">
        <w:rPr>
          <w:noProof/>
        </w:rPr>
        <w:t>(10): p. 1429-1437.</w:t>
      </w:r>
    </w:p>
    <w:p w14:paraId="3020CA5A" w14:textId="77777777" w:rsidR="00E516A2" w:rsidRPr="00E516A2" w:rsidRDefault="00E516A2" w:rsidP="00E516A2">
      <w:pPr>
        <w:pStyle w:val="EndNoteBibliography"/>
        <w:spacing w:after="0"/>
        <w:ind w:left="720" w:hanging="720"/>
        <w:rPr>
          <w:noProof/>
        </w:rPr>
      </w:pPr>
      <w:r w:rsidRPr="00E516A2">
        <w:rPr>
          <w:noProof/>
        </w:rPr>
        <w:t>91.</w:t>
      </w:r>
      <w:r w:rsidRPr="00E516A2">
        <w:rPr>
          <w:noProof/>
        </w:rPr>
        <w:tab/>
        <w:t xml:space="preserve">Koch, T. and M. Rowell, </w:t>
      </w:r>
      <w:r w:rsidRPr="00E516A2">
        <w:rPr>
          <w:i/>
          <w:noProof/>
        </w:rPr>
        <w:t>The dream of consensus: finding common ground in a bioethical context.</w:t>
      </w:r>
      <w:r w:rsidRPr="00E516A2">
        <w:rPr>
          <w:noProof/>
        </w:rPr>
        <w:t xml:space="preserve"> Theoretical medicine and bioethics, 1999. </w:t>
      </w:r>
      <w:r w:rsidRPr="00E516A2">
        <w:rPr>
          <w:b/>
          <w:noProof/>
        </w:rPr>
        <w:t>20</w:t>
      </w:r>
      <w:r w:rsidRPr="00E516A2">
        <w:rPr>
          <w:noProof/>
        </w:rPr>
        <w:t>(3): p. 261-273.</w:t>
      </w:r>
    </w:p>
    <w:p w14:paraId="0F4EE8DA" w14:textId="77777777" w:rsidR="00E516A2" w:rsidRPr="00E516A2" w:rsidRDefault="00E516A2" w:rsidP="00E516A2">
      <w:pPr>
        <w:pStyle w:val="EndNoteBibliography"/>
        <w:spacing w:after="0"/>
        <w:ind w:left="720" w:hanging="720"/>
        <w:rPr>
          <w:noProof/>
        </w:rPr>
      </w:pPr>
      <w:r w:rsidRPr="00E516A2">
        <w:rPr>
          <w:noProof/>
        </w:rPr>
        <w:t>92.</w:t>
      </w:r>
      <w:r w:rsidRPr="00E516A2">
        <w:rPr>
          <w:noProof/>
        </w:rPr>
        <w:tab/>
        <w:t xml:space="preserve">Phillips, L.D., et al., </w:t>
      </w:r>
      <w:r w:rsidRPr="00E516A2">
        <w:rPr>
          <w:i/>
          <w:noProof/>
        </w:rPr>
        <w:t>Is quantitative benefit–risk modelling of drugs desirable or possible?</w:t>
      </w:r>
      <w:r w:rsidRPr="00E516A2">
        <w:rPr>
          <w:noProof/>
        </w:rPr>
        <w:t xml:space="preserve"> Drug discovery today: technologies, 2011. </w:t>
      </w:r>
      <w:r w:rsidRPr="00E516A2">
        <w:rPr>
          <w:b/>
          <w:noProof/>
        </w:rPr>
        <w:t>8</w:t>
      </w:r>
      <w:r w:rsidRPr="00E516A2">
        <w:rPr>
          <w:noProof/>
        </w:rPr>
        <w:t>(1): p. e3-e10.</w:t>
      </w:r>
    </w:p>
    <w:p w14:paraId="748739A5" w14:textId="77777777" w:rsidR="00E516A2" w:rsidRPr="00E516A2" w:rsidRDefault="00E516A2" w:rsidP="00E516A2">
      <w:pPr>
        <w:pStyle w:val="EndNoteBibliography"/>
        <w:spacing w:after="0"/>
        <w:ind w:left="720" w:hanging="720"/>
        <w:rPr>
          <w:noProof/>
        </w:rPr>
      </w:pPr>
      <w:r w:rsidRPr="00E516A2">
        <w:rPr>
          <w:noProof/>
        </w:rPr>
        <w:t>93.</w:t>
      </w:r>
      <w:r w:rsidRPr="00E516A2">
        <w:rPr>
          <w:noProof/>
        </w:rPr>
        <w:tab/>
        <w:t xml:space="preserve">Williams, A., </w:t>
      </w:r>
      <w:r w:rsidRPr="00E516A2">
        <w:rPr>
          <w:i/>
          <w:noProof/>
        </w:rPr>
        <w:t>Economics of coronary artery bypass grafting.</w:t>
      </w:r>
      <w:r w:rsidRPr="00E516A2">
        <w:rPr>
          <w:noProof/>
        </w:rPr>
        <w:t xml:space="preserve"> Bulletin of the World Health Organization, 2001. </w:t>
      </w:r>
      <w:r w:rsidRPr="00E516A2">
        <w:rPr>
          <w:b/>
          <w:noProof/>
        </w:rPr>
        <w:t>79</w:t>
      </w:r>
      <w:r w:rsidRPr="00E516A2">
        <w:rPr>
          <w:noProof/>
        </w:rPr>
        <w:t>(7): p. 681-684.</w:t>
      </w:r>
    </w:p>
    <w:p w14:paraId="6ADD592F" w14:textId="77777777" w:rsidR="00E516A2" w:rsidRPr="00E516A2" w:rsidRDefault="00E516A2" w:rsidP="00E516A2">
      <w:pPr>
        <w:pStyle w:val="EndNoteBibliography"/>
        <w:spacing w:after="0"/>
        <w:ind w:left="720" w:hanging="720"/>
        <w:rPr>
          <w:noProof/>
        </w:rPr>
      </w:pPr>
      <w:r w:rsidRPr="00E516A2">
        <w:rPr>
          <w:noProof/>
        </w:rPr>
        <w:t>94.</w:t>
      </w:r>
      <w:r w:rsidRPr="00E516A2">
        <w:rPr>
          <w:noProof/>
        </w:rPr>
        <w:tab/>
        <w:t xml:space="preserve">Maynard, A., </w:t>
      </w:r>
      <w:r w:rsidRPr="00E516A2">
        <w:rPr>
          <w:i/>
          <w:noProof/>
        </w:rPr>
        <w:t>Prioritising health care—dreams and reality.</w:t>
      </w:r>
      <w:r w:rsidRPr="00E516A2">
        <w:rPr>
          <w:noProof/>
        </w:rPr>
        <w:t xml:space="preserve"> Setting priorities in health care. Wiley: Chichester, 1994: p. 1-18.</w:t>
      </w:r>
    </w:p>
    <w:p w14:paraId="74E5DB04" w14:textId="77777777" w:rsidR="00E516A2" w:rsidRPr="00E516A2" w:rsidRDefault="00E516A2" w:rsidP="00E516A2">
      <w:pPr>
        <w:pStyle w:val="EndNoteBibliography"/>
        <w:spacing w:after="0"/>
        <w:ind w:left="720" w:hanging="720"/>
        <w:rPr>
          <w:noProof/>
        </w:rPr>
      </w:pPr>
      <w:r w:rsidRPr="00E516A2">
        <w:rPr>
          <w:noProof/>
        </w:rPr>
        <w:t>95.</w:t>
      </w:r>
      <w:r w:rsidRPr="00E516A2">
        <w:rPr>
          <w:noProof/>
        </w:rPr>
        <w:tab/>
        <w:t xml:space="preserve">Coast, J., R.D. Smith, and P. Lorgelly, </w:t>
      </w:r>
      <w:r w:rsidRPr="00E516A2">
        <w:rPr>
          <w:i/>
          <w:noProof/>
        </w:rPr>
        <w:t>Welfarism, extra-welfarism and capability: the spread of ideas in health economics.</w:t>
      </w:r>
      <w:r w:rsidRPr="00E516A2">
        <w:rPr>
          <w:noProof/>
        </w:rPr>
        <w:t xml:space="preserve"> Social science &amp; medicine, 2008. </w:t>
      </w:r>
      <w:r w:rsidRPr="00E516A2">
        <w:rPr>
          <w:b/>
          <w:noProof/>
        </w:rPr>
        <w:t>67</w:t>
      </w:r>
      <w:r w:rsidRPr="00E516A2">
        <w:rPr>
          <w:noProof/>
        </w:rPr>
        <w:t>(7): p. 1190-1198.</w:t>
      </w:r>
    </w:p>
    <w:p w14:paraId="50AD2C8A" w14:textId="77777777" w:rsidR="00E516A2" w:rsidRPr="00E516A2" w:rsidRDefault="00E516A2" w:rsidP="00E516A2">
      <w:pPr>
        <w:pStyle w:val="EndNoteBibliography"/>
        <w:spacing w:after="0"/>
        <w:ind w:left="720" w:hanging="720"/>
        <w:rPr>
          <w:noProof/>
        </w:rPr>
      </w:pPr>
      <w:r w:rsidRPr="00E516A2">
        <w:rPr>
          <w:noProof/>
        </w:rPr>
        <w:t>96.</w:t>
      </w:r>
      <w:r w:rsidRPr="00E516A2">
        <w:rPr>
          <w:noProof/>
        </w:rPr>
        <w:tab/>
        <w:t xml:space="preserve">Scitovszky, T.d., </w:t>
      </w:r>
      <w:r w:rsidRPr="00E516A2">
        <w:rPr>
          <w:i/>
          <w:noProof/>
        </w:rPr>
        <w:t>A Note on Welfare Propositions in Economics.</w:t>
      </w:r>
      <w:r w:rsidRPr="00E516A2">
        <w:rPr>
          <w:noProof/>
        </w:rPr>
        <w:t xml:space="preserve"> Rev. Econ. Stud., 1941. </w:t>
      </w:r>
      <w:r w:rsidRPr="00E516A2">
        <w:rPr>
          <w:b/>
          <w:noProof/>
        </w:rPr>
        <w:t>9</w:t>
      </w:r>
      <w:r w:rsidRPr="00E516A2">
        <w:rPr>
          <w:noProof/>
        </w:rPr>
        <w:t>: p. 77.</w:t>
      </w:r>
    </w:p>
    <w:p w14:paraId="4BB7C04F" w14:textId="77777777" w:rsidR="00E516A2" w:rsidRPr="00E516A2" w:rsidRDefault="00E516A2" w:rsidP="00E516A2">
      <w:pPr>
        <w:pStyle w:val="EndNoteBibliography"/>
        <w:spacing w:after="0"/>
        <w:ind w:left="720" w:hanging="720"/>
        <w:rPr>
          <w:noProof/>
        </w:rPr>
      </w:pPr>
      <w:r w:rsidRPr="00E516A2">
        <w:rPr>
          <w:noProof/>
        </w:rPr>
        <w:t>97.</w:t>
      </w:r>
      <w:r w:rsidRPr="00E516A2">
        <w:rPr>
          <w:noProof/>
        </w:rPr>
        <w:tab/>
        <w:t xml:space="preserve">Johannesson, M. and B. Jönsson, </w:t>
      </w:r>
      <w:r w:rsidRPr="00E516A2">
        <w:rPr>
          <w:i/>
          <w:noProof/>
        </w:rPr>
        <w:t>Economic evaluation in health care: is there a role for cost-benefit analysis?</w:t>
      </w:r>
      <w:r w:rsidRPr="00E516A2">
        <w:rPr>
          <w:noProof/>
        </w:rPr>
        <w:t xml:space="preserve"> Health policy, 1991. </w:t>
      </w:r>
      <w:r w:rsidRPr="00E516A2">
        <w:rPr>
          <w:b/>
          <w:noProof/>
        </w:rPr>
        <w:t>17</w:t>
      </w:r>
      <w:r w:rsidRPr="00E516A2">
        <w:rPr>
          <w:noProof/>
        </w:rPr>
        <w:t>(1): p. 1-23.</w:t>
      </w:r>
    </w:p>
    <w:p w14:paraId="7B729674" w14:textId="77777777" w:rsidR="00E516A2" w:rsidRPr="00E516A2" w:rsidRDefault="00E516A2" w:rsidP="00E516A2">
      <w:pPr>
        <w:pStyle w:val="EndNoteBibliography"/>
        <w:spacing w:after="0"/>
        <w:ind w:left="720" w:hanging="720"/>
        <w:rPr>
          <w:noProof/>
        </w:rPr>
      </w:pPr>
      <w:r w:rsidRPr="00E516A2">
        <w:rPr>
          <w:noProof/>
        </w:rPr>
        <w:t>98.</w:t>
      </w:r>
      <w:r w:rsidRPr="00E516A2">
        <w:rPr>
          <w:noProof/>
        </w:rPr>
        <w:tab/>
        <w:t xml:space="preserve">Boadway, R.W., </w:t>
      </w:r>
      <w:r w:rsidRPr="00E516A2">
        <w:rPr>
          <w:i/>
          <w:noProof/>
        </w:rPr>
        <w:t>The welfare foundations of cost-benefit analysis.</w:t>
      </w:r>
      <w:r w:rsidRPr="00E516A2">
        <w:rPr>
          <w:noProof/>
        </w:rPr>
        <w:t xml:space="preserve"> The Economic Journal, 1974: p. 926-939.</w:t>
      </w:r>
    </w:p>
    <w:p w14:paraId="120879A2" w14:textId="77777777" w:rsidR="00E516A2" w:rsidRPr="00E516A2" w:rsidRDefault="00E516A2" w:rsidP="00E516A2">
      <w:pPr>
        <w:pStyle w:val="EndNoteBibliography"/>
        <w:spacing w:after="0"/>
        <w:ind w:left="720" w:hanging="720"/>
        <w:rPr>
          <w:noProof/>
        </w:rPr>
      </w:pPr>
      <w:r w:rsidRPr="00E516A2">
        <w:rPr>
          <w:noProof/>
        </w:rPr>
        <w:t>99.</w:t>
      </w:r>
      <w:r w:rsidRPr="00E516A2">
        <w:rPr>
          <w:noProof/>
        </w:rPr>
        <w:tab/>
        <w:t xml:space="preserve">Johannesson, M., et al., </w:t>
      </w:r>
      <w:r w:rsidRPr="00E516A2">
        <w:rPr>
          <w:i/>
          <w:noProof/>
        </w:rPr>
        <w:t>Why should economic evaluations of medical innovations have a societal perspective.</w:t>
      </w:r>
      <w:r w:rsidRPr="00E516A2">
        <w:rPr>
          <w:noProof/>
        </w:rPr>
        <w:t xml:space="preserve"> Office of health economics (OHE) 2009. </w:t>
      </w:r>
      <w:r w:rsidRPr="00E516A2">
        <w:rPr>
          <w:b/>
          <w:noProof/>
        </w:rPr>
        <w:t>51</w:t>
      </w:r>
      <w:r w:rsidRPr="00E516A2">
        <w:rPr>
          <w:noProof/>
        </w:rPr>
        <w:t>.</w:t>
      </w:r>
    </w:p>
    <w:p w14:paraId="2826FE17" w14:textId="77777777" w:rsidR="00E516A2" w:rsidRPr="00E516A2" w:rsidRDefault="00E516A2" w:rsidP="00E516A2">
      <w:pPr>
        <w:pStyle w:val="EndNoteBibliography"/>
        <w:spacing w:after="0"/>
        <w:ind w:left="720" w:hanging="720"/>
        <w:rPr>
          <w:noProof/>
        </w:rPr>
      </w:pPr>
      <w:r w:rsidRPr="00E516A2">
        <w:rPr>
          <w:noProof/>
        </w:rPr>
        <w:t>100.</w:t>
      </w:r>
      <w:r w:rsidRPr="00E516A2">
        <w:rPr>
          <w:noProof/>
        </w:rPr>
        <w:tab/>
        <w:t xml:space="preserve">Brouwer, W.B., et al., </w:t>
      </w:r>
      <w:r w:rsidRPr="00E516A2">
        <w:rPr>
          <w:i/>
          <w:noProof/>
        </w:rPr>
        <w:t>Welfarism vs. extra-welfarism.</w:t>
      </w:r>
      <w:r w:rsidRPr="00E516A2">
        <w:rPr>
          <w:noProof/>
        </w:rPr>
        <w:t xml:space="preserve"> Journal of health economics, 2008. </w:t>
      </w:r>
      <w:r w:rsidRPr="00E516A2">
        <w:rPr>
          <w:b/>
          <w:noProof/>
        </w:rPr>
        <w:t>27</w:t>
      </w:r>
      <w:r w:rsidRPr="00E516A2">
        <w:rPr>
          <w:noProof/>
        </w:rPr>
        <w:t>(2): p. 325-338.</w:t>
      </w:r>
    </w:p>
    <w:p w14:paraId="7ACDC85F" w14:textId="77777777" w:rsidR="00E516A2" w:rsidRPr="00E516A2" w:rsidRDefault="00E516A2" w:rsidP="00E516A2">
      <w:pPr>
        <w:pStyle w:val="EndNoteBibliography"/>
        <w:spacing w:after="0"/>
        <w:ind w:left="720" w:hanging="720"/>
        <w:rPr>
          <w:noProof/>
        </w:rPr>
      </w:pPr>
      <w:r w:rsidRPr="00E516A2">
        <w:rPr>
          <w:noProof/>
        </w:rPr>
        <w:t>101.</w:t>
      </w:r>
      <w:r w:rsidRPr="00E516A2">
        <w:rPr>
          <w:noProof/>
        </w:rPr>
        <w:tab/>
        <w:t xml:space="preserve">Sen, A., </w:t>
      </w:r>
      <w:r w:rsidRPr="00E516A2">
        <w:rPr>
          <w:i/>
          <w:noProof/>
        </w:rPr>
        <w:t>Utilitarianism and welfarism.</w:t>
      </w:r>
      <w:r w:rsidRPr="00E516A2">
        <w:rPr>
          <w:noProof/>
        </w:rPr>
        <w:t xml:space="preserve"> The Journal of Philosophy, 1979: p. 463-489.</w:t>
      </w:r>
    </w:p>
    <w:p w14:paraId="0F03F418" w14:textId="77777777" w:rsidR="00E516A2" w:rsidRPr="00E516A2" w:rsidRDefault="00E516A2" w:rsidP="00E516A2">
      <w:pPr>
        <w:pStyle w:val="EndNoteBibliography"/>
        <w:spacing w:after="0"/>
        <w:ind w:left="720" w:hanging="720"/>
        <w:rPr>
          <w:noProof/>
        </w:rPr>
      </w:pPr>
      <w:r w:rsidRPr="00E516A2">
        <w:rPr>
          <w:noProof/>
        </w:rPr>
        <w:t>102.</w:t>
      </w:r>
      <w:r w:rsidRPr="00E516A2">
        <w:rPr>
          <w:noProof/>
        </w:rPr>
        <w:tab/>
        <w:t xml:space="preserve">Sen, A.K., </w:t>
      </w:r>
      <w:r w:rsidRPr="00E516A2">
        <w:rPr>
          <w:i/>
          <w:noProof/>
        </w:rPr>
        <w:t>Collective choice and social welfare</w:t>
      </w:r>
      <w:r w:rsidRPr="00E516A2">
        <w:rPr>
          <w:noProof/>
        </w:rPr>
        <w:t>. Vol. 11. 2014: Elsevier.</w:t>
      </w:r>
    </w:p>
    <w:p w14:paraId="1FF8F823" w14:textId="77777777" w:rsidR="00E516A2" w:rsidRPr="00E516A2" w:rsidRDefault="00E516A2" w:rsidP="00E516A2">
      <w:pPr>
        <w:pStyle w:val="EndNoteBibliography"/>
        <w:spacing w:after="0"/>
        <w:ind w:left="720" w:hanging="720"/>
        <w:rPr>
          <w:noProof/>
        </w:rPr>
      </w:pPr>
      <w:r w:rsidRPr="00E516A2">
        <w:rPr>
          <w:noProof/>
        </w:rPr>
        <w:t>103.</w:t>
      </w:r>
      <w:r w:rsidRPr="00E516A2">
        <w:rPr>
          <w:noProof/>
        </w:rPr>
        <w:tab/>
        <w:t xml:space="preserve">Arrow, K.J., </w:t>
      </w:r>
      <w:r w:rsidRPr="00E516A2">
        <w:rPr>
          <w:i/>
          <w:noProof/>
        </w:rPr>
        <w:t>A difficulty in the concept of social welfare.</w:t>
      </w:r>
      <w:r w:rsidRPr="00E516A2">
        <w:rPr>
          <w:noProof/>
        </w:rPr>
        <w:t xml:space="preserve"> The Journal of Political Economy, 1950: p. 328-346.</w:t>
      </w:r>
    </w:p>
    <w:p w14:paraId="2F45CBCD" w14:textId="77777777" w:rsidR="00E516A2" w:rsidRPr="00E516A2" w:rsidRDefault="00E516A2" w:rsidP="00E516A2">
      <w:pPr>
        <w:pStyle w:val="EndNoteBibliography"/>
        <w:spacing w:after="0"/>
        <w:ind w:left="720" w:hanging="720"/>
        <w:rPr>
          <w:noProof/>
        </w:rPr>
      </w:pPr>
      <w:r w:rsidRPr="00E516A2">
        <w:rPr>
          <w:noProof/>
        </w:rPr>
        <w:t>104.</w:t>
      </w:r>
      <w:r w:rsidRPr="00E516A2">
        <w:rPr>
          <w:noProof/>
        </w:rPr>
        <w:tab/>
        <w:t xml:space="preserve">Williams, A., </w:t>
      </w:r>
      <w:r w:rsidRPr="00E516A2">
        <w:rPr>
          <w:i/>
          <w:noProof/>
        </w:rPr>
        <w:t>What could be nicer than NICE?</w:t>
      </w:r>
      <w:r w:rsidRPr="00E516A2">
        <w:rPr>
          <w:noProof/>
        </w:rPr>
        <w:t xml:space="preserve"> 2004: Office for Health Economics.</w:t>
      </w:r>
    </w:p>
    <w:p w14:paraId="09CE8C8D" w14:textId="77777777" w:rsidR="00E516A2" w:rsidRPr="00E516A2" w:rsidRDefault="00E516A2" w:rsidP="00E516A2">
      <w:pPr>
        <w:pStyle w:val="EndNoteBibliography"/>
        <w:spacing w:after="0"/>
        <w:ind w:left="720" w:hanging="720"/>
        <w:rPr>
          <w:noProof/>
        </w:rPr>
      </w:pPr>
      <w:r w:rsidRPr="00E516A2">
        <w:rPr>
          <w:noProof/>
        </w:rPr>
        <w:t>105.</w:t>
      </w:r>
      <w:r w:rsidRPr="00E516A2">
        <w:rPr>
          <w:noProof/>
        </w:rPr>
        <w:tab/>
        <w:t xml:space="preserve">Weatherly, H., et al., </w:t>
      </w:r>
      <w:r w:rsidRPr="00E516A2">
        <w:rPr>
          <w:i/>
          <w:noProof/>
        </w:rPr>
        <w:t>Methods for assessing the cost-effectiveness of public health interventions: Key challenges and recommendations.</w:t>
      </w:r>
      <w:r w:rsidRPr="00E516A2">
        <w:rPr>
          <w:noProof/>
        </w:rPr>
        <w:t xml:space="preserve"> Health policy, 2009. </w:t>
      </w:r>
      <w:r w:rsidRPr="00E516A2">
        <w:rPr>
          <w:b/>
          <w:noProof/>
        </w:rPr>
        <w:t>93</w:t>
      </w:r>
      <w:r w:rsidRPr="00E516A2">
        <w:rPr>
          <w:noProof/>
        </w:rPr>
        <w:t>(2): p. 85-92.</w:t>
      </w:r>
    </w:p>
    <w:p w14:paraId="69C8830A" w14:textId="77777777" w:rsidR="00E516A2" w:rsidRPr="00E516A2" w:rsidRDefault="00E516A2" w:rsidP="00E516A2">
      <w:pPr>
        <w:pStyle w:val="EndNoteBibliography"/>
        <w:spacing w:after="0"/>
        <w:ind w:left="720" w:hanging="720"/>
        <w:rPr>
          <w:noProof/>
        </w:rPr>
      </w:pPr>
      <w:r w:rsidRPr="00E516A2">
        <w:rPr>
          <w:noProof/>
        </w:rPr>
        <w:t>106.</w:t>
      </w:r>
      <w:r w:rsidRPr="00E516A2">
        <w:rPr>
          <w:noProof/>
        </w:rPr>
        <w:tab/>
        <w:t xml:space="preserve">Drummond, M., P.H.R. Consortium, and G. Britain, </w:t>
      </w:r>
      <w:r w:rsidRPr="00E516A2">
        <w:rPr>
          <w:i/>
          <w:noProof/>
        </w:rPr>
        <w:t>Assessing the Challenges of Applying Standard Methods of Economic Evaluation to Public Health Inverventions: Final Report</w:t>
      </w:r>
      <w:r w:rsidRPr="00E516A2">
        <w:rPr>
          <w:noProof/>
        </w:rPr>
        <w:t>. 2007: Public Health Research Consortium.</w:t>
      </w:r>
    </w:p>
    <w:p w14:paraId="11E0B8F8" w14:textId="77777777" w:rsidR="00E516A2" w:rsidRPr="00E516A2" w:rsidRDefault="00E516A2" w:rsidP="00E516A2">
      <w:pPr>
        <w:pStyle w:val="EndNoteBibliography"/>
        <w:spacing w:after="0"/>
        <w:ind w:left="720" w:hanging="720"/>
        <w:rPr>
          <w:noProof/>
        </w:rPr>
      </w:pPr>
      <w:r w:rsidRPr="00E516A2">
        <w:rPr>
          <w:noProof/>
        </w:rPr>
        <w:t>107.</w:t>
      </w:r>
      <w:r w:rsidRPr="00E516A2">
        <w:rPr>
          <w:noProof/>
        </w:rPr>
        <w:tab/>
        <w:t xml:space="preserve">Mackenbach, J.P., </w:t>
      </w:r>
      <w:r w:rsidRPr="00E516A2">
        <w:rPr>
          <w:i/>
          <w:noProof/>
        </w:rPr>
        <w:t>Politics is nothing but medicine at a larger scale: reflections on public health’s biggest idea.</w:t>
      </w:r>
      <w:r w:rsidRPr="00E516A2">
        <w:rPr>
          <w:noProof/>
        </w:rPr>
        <w:t xml:space="preserve"> Journal of epidemiology and community health, 2009. </w:t>
      </w:r>
      <w:r w:rsidRPr="00E516A2">
        <w:rPr>
          <w:b/>
          <w:noProof/>
        </w:rPr>
        <w:t>63</w:t>
      </w:r>
      <w:r w:rsidRPr="00E516A2">
        <w:rPr>
          <w:noProof/>
        </w:rPr>
        <w:t>(3): p. 181-184.</w:t>
      </w:r>
    </w:p>
    <w:p w14:paraId="1C67B2F0" w14:textId="77777777" w:rsidR="00E516A2" w:rsidRPr="00E516A2" w:rsidRDefault="00E516A2" w:rsidP="00E516A2">
      <w:pPr>
        <w:pStyle w:val="EndNoteBibliography"/>
        <w:spacing w:after="0"/>
        <w:ind w:left="720" w:hanging="720"/>
        <w:rPr>
          <w:noProof/>
        </w:rPr>
      </w:pPr>
      <w:r w:rsidRPr="00E516A2">
        <w:rPr>
          <w:noProof/>
        </w:rPr>
        <w:t>108.</w:t>
      </w:r>
      <w:r w:rsidRPr="00E516A2">
        <w:rPr>
          <w:noProof/>
        </w:rPr>
        <w:tab/>
        <w:t xml:space="preserve">Rose, G., </w:t>
      </w:r>
      <w:r w:rsidRPr="00E516A2">
        <w:rPr>
          <w:i/>
          <w:noProof/>
        </w:rPr>
        <w:t>The strategy of preventive medicine.</w:t>
      </w:r>
      <w:r w:rsidRPr="00E516A2">
        <w:rPr>
          <w:noProof/>
        </w:rPr>
        <w:t xml:space="preserve"> The strategy of preventive medicine., 1992.</w:t>
      </w:r>
    </w:p>
    <w:p w14:paraId="5B5F551B" w14:textId="77777777" w:rsidR="00E516A2" w:rsidRPr="00E516A2" w:rsidRDefault="00E516A2" w:rsidP="00E516A2">
      <w:pPr>
        <w:pStyle w:val="EndNoteBibliography"/>
        <w:spacing w:after="0"/>
        <w:ind w:left="720" w:hanging="720"/>
        <w:rPr>
          <w:noProof/>
        </w:rPr>
      </w:pPr>
      <w:r w:rsidRPr="00E516A2">
        <w:rPr>
          <w:noProof/>
        </w:rPr>
        <w:t>109.</w:t>
      </w:r>
      <w:r w:rsidRPr="00E516A2">
        <w:rPr>
          <w:noProof/>
        </w:rPr>
        <w:tab/>
        <w:t xml:space="preserve">Durkheim, E., G. Simpson, and J.A. Spaulding, </w:t>
      </w:r>
      <w:r w:rsidRPr="00E516A2">
        <w:rPr>
          <w:i/>
          <w:noProof/>
        </w:rPr>
        <w:t>Suicide. A Study in Sociology... Translated by John A. Spaulding and George Simpson. Edited with an Introduction by George Simpson</w:t>
      </w:r>
      <w:r w:rsidRPr="00E516A2">
        <w:rPr>
          <w:noProof/>
        </w:rPr>
        <w:t>. 1952: London.</w:t>
      </w:r>
    </w:p>
    <w:p w14:paraId="37592DFF" w14:textId="77777777" w:rsidR="00E516A2" w:rsidRPr="00E516A2" w:rsidRDefault="00E516A2" w:rsidP="00E516A2">
      <w:pPr>
        <w:pStyle w:val="EndNoteBibliography"/>
        <w:spacing w:after="0"/>
        <w:ind w:left="720" w:hanging="720"/>
        <w:rPr>
          <w:noProof/>
        </w:rPr>
      </w:pPr>
      <w:r w:rsidRPr="00E516A2">
        <w:rPr>
          <w:noProof/>
        </w:rPr>
        <w:t>110.</w:t>
      </w:r>
      <w:r w:rsidRPr="00E516A2">
        <w:rPr>
          <w:noProof/>
        </w:rPr>
        <w:tab/>
        <w:t xml:space="preserve">Raiffa, H., </w:t>
      </w:r>
      <w:r w:rsidRPr="00E516A2">
        <w:rPr>
          <w:i/>
          <w:noProof/>
        </w:rPr>
        <w:t>Decision Analysis.</w:t>
      </w:r>
      <w:r w:rsidRPr="00E516A2">
        <w:rPr>
          <w:noProof/>
        </w:rPr>
        <w:t xml:space="preserve"> 1968, Reading, Mass.: Addison-Wesley. 271.</w:t>
      </w:r>
    </w:p>
    <w:p w14:paraId="6F0FC193" w14:textId="77777777" w:rsidR="00E516A2" w:rsidRPr="00E516A2" w:rsidRDefault="00E516A2" w:rsidP="00E516A2">
      <w:pPr>
        <w:pStyle w:val="EndNoteBibliography"/>
        <w:spacing w:after="0"/>
        <w:ind w:left="720" w:hanging="720"/>
        <w:rPr>
          <w:noProof/>
        </w:rPr>
      </w:pPr>
      <w:r w:rsidRPr="00E516A2">
        <w:rPr>
          <w:noProof/>
        </w:rPr>
        <w:t>111.</w:t>
      </w:r>
      <w:r w:rsidRPr="00E516A2">
        <w:rPr>
          <w:noProof/>
        </w:rPr>
        <w:tab/>
        <w:t xml:space="preserve">Krantz, D.H., </w:t>
      </w:r>
      <w:r w:rsidRPr="00E516A2">
        <w:rPr>
          <w:i/>
          <w:noProof/>
        </w:rPr>
        <w:t>From indices to mappings: The representational approach to measurement</w:t>
      </w:r>
      <w:r w:rsidRPr="00E516A2">
        <w:rPr>
          <w:noProof/>
        </w:rPr>
        <w:t xml:space="preserve">, in </w:t>
      </w:r>
      <w:r w:rsidRPr="00E516A2">
        <w:rPr>
          <w:i/>
          <w:noProof/>
        </w:rPr>
        <w:t>Frontiers of mathematical psychology</w:t>
      </w:r>
      <w:r w:rsidRPr="00E516A2">
        <w:rPr>
          <w:noProof/>
        </w:rPr>
        <w:t>. 1991, Springer. p. 34.</w:t>
      </w:r>
    </w:p>
    <w:p w14:paraId="457F6192" w14:textId="77777777" w:rsidR="00E516A2" w:rsidRPr="00E516A2" w:rsidRDefault="00E516A2" w:rsidP="00E516A2">
      <w:pPr>
        <w:pStyle w:val="EndNoteBibliography"/>
        <w:spacing w:after="0"/>
        <w:ind w:left="720" w:hanging="720"/>
        <w:rPr>
          <w:noProof/>
        </w:rPr>
      </w:pPr>
      <w:r w:rsidRPr="00E516A2">
        <w:rPr>
          <w:noProof/>
        </w:rPr>
        <w:t>112.</w:t>
      </w:r>
      <w:r w:rsidRPr="00E516A2">
        <w:rPr>
          <w:noProof/>
        </w:rPr>
        <w:tab/>
        <w:t xml:space="preserve">Dolan, J.G., </w:t>
      </w:r>
      <w:r w:rsidRPr="00E516A2">
        <w:rPr>
          <w:i/>
          <w:noProof/>
        </w:rPr>
        <w:t>Involving patients in decisions regarding preventive health interventions using the analytic hierarchy process.</w:t>
      </w:r>
      <w:r w:rsidRPr="00E516A2">
        <w:rPr>
          <w:noProof/>
        </w:rPr>
        <w:t xml:space="preserve"> Health Expectations, 2000. </w:t>
      </w:r>
      <w:r w:rsidRPr="00E516A2">
        <w:rPr>
          <w:b/>
          <w:noProof/>
        </w:rPr>
        <w:t>3</w:t>
      </w:r>
      <w:r w:rsidRPr="00E516A2">
        <w:rPr>
          <w:noProof/>
        </w:rPr>
        <w:t>(1): p. 37-45.</w:t>
      </w:r>
    </w:p>
    <w:p w14:paraId="1ABD30C1" w14:textId="6B7D124B" w:rsidR="00E516A2" w:rsidRPr="00E516A2" w:rsidRDefault="00E516A2" w:rsidP="00E516A2">
      <w:pPr>
        <w:pStyle w:val="EndNoteBibliography"/>
        <w:spacing w:after="0"/>
        <w:ind w:left="720" w:hanging="720"/>
        <w:rPr>
          <w:noProof/>
        </w:rPr>
      </w:pPr>
      <w:r w:rsidRPr="00E516A2">
        <w:rPr>
          <w:noProof/>
        </w:rPr>
        <w:t>113.</w:t>
      </w:r>
      <w:r w:rsidRPr="00E516A2">
        <w:rPr>
          <w:noProof/>
        </w:rPr>
        <w:tab/>
        <w:t xml:space="preserve">International MCDM Society. </w:t>
      </w:r>
      <w:r w:rsidRPr="00E516A2">
        <w:rPr>
          <w:i/>
          <w:noProof/>
        </w:rPr>
        <w:t>Introduction</w:t>
      </w:r>
      <w:r w:rsidRPr="00E516A2">
        <w:rPr>
          <w:noProof/>
        </w:rPr>
        <w:t xml:space="preserve">. 2013  [cited 2014 12 September 2014]; Available from: </w:t>
      </w:r>
      <w:hyperlink r:id="rId60" w:history="1">
        <w:r w:rsidRPr="00E516A2">
          <w:rPr>
            <w:rStyle w:val="Hyperlink"/>
            <w:noProof/>
          </w:rPr>
          <w:t>http://www.mcdmsociety.org/intro.html</w:t>
        </w:r>
      </w:hyperlink>
      <w:r w:rsidRPr="00E516A2">
        <w:rPr>
          <w:noProof/>
        </w:rPr>
        <w:t>.</w:t>
      </w:r>
    </w:p>
    <w:p w14:paraId="6528147A" w14:textId="77777777" w:rsidR="00E516A2" w:rsidRPr="00E516A2" w:rsidRDefault="00E516A2" w:rsidP="00E516A2">
      <w:pPr>
        <w:pStyle w:val="EndNoteBibliography"/>
        <w:spacing w:after="0"/>
        <w:ind w:left="720" w:hanging="720"/>
        <w:rPr>
          <w:noProof/>
        </w:rPr>
      </w:pPr>
      <w:r w:rsidRPr="00E516A2">
        <w:rPr>
          <w:noProof/>
        </w:rPr>
        <w:t>114.</w:t>
      </w:r>
      <w:r w:rsidRPr="00E516A2">
        <w:rPr>
          <w:noProof/>
        </w:rPr>
        <w:tab/>
        <w:t xml:space="preserve">Joubert, A.R., et al., </w:t>
      </w:r>
      <w:r w:rsidRPr="00E516A2">
        <w:rPr>
          <w:i/>
          <w:noProof/>
        </w:rPr>
        <w:t>Fynbos (fine bush) vegetation and the supply of water: a comparison of multi-criteria decision analysis and cost-benefit analysis.</w:t>
      </w:r>
      <w:r w:rsidRPr="00E516A2">
        <w:rPr>
          <w:noProof/>
        </w:rPr>
        <w:t xml:space="preserve"> Ecological economics, 1997. </w:t>
      </w:r>
      <w:r w:rsidRPr="00E516A2">
        <w:rPr>
          <w:b/>
          <w:noProof/>
        </w:rPr>
        <w:t>22</w:t>
      </w:r>
      <w:r w:rsidRPr="00E516A2">
        <w:rPr>
          <w:noProof/>
        </w:rPr>
        <w:t>(2): p. 123-140.</w:t>
      </w:r>
    </w:p>
    <w:p w14:paraId="3E379E2D" w14:textId="77777777" w:rsidR="00E516A2" w:rsidRPr="00E516A2" w:rsidRDefault="00E516A2" w:rsidP="00E516A2">
      <w:pPr>
        <w:pStyle w:val="EndNoteBibliography"/>
        <w:spacing w:after="0"/>
        <w:ind w:left="720" w:hanging="720"/>
        <w:rPr>
          <w:noProof/>
        </w:rPr>
      </w:pPr>
      <w:r w:rsidRPr="00E516A2">
        <w:rPr>
          <w:noProof/>
        </w:rPr>
        <w:t>115.</w:t>
      </w:r>
      <w:r w:rsidRPr="00E516A2">
        <w:rPr>
          <w:noProof/>
        </w:rPr>
        <w:tab/>
        <w:t xml:space="preserve">Leys, M., </w:t>
      </w:r>
      <w:r w:rsidRPr="00E516A2">
        <w:rPr>
          <w:i/>
          <w:noProof/>
        </w:rPr>
        <w:t>Health care policy: qualitative evidence and health technology assessment.</w:t>
      </w:r>
      <w:r w:rsidRPr="00E516A2">
        <w:rPr>
          <w:noProof/>
        </w:rPr>
        <w:t xml:space="preserve"> Health Policy, 2003. </w:t>
      </w:r>
      <w:r w:rsidRPr="00E516A2">
        <w:rPr>
          <w:b/>
          <w:noProof/>
        </w:rPr>
        <w:t>65</w:t>
      </w:r>
      <w:r w:rsidRPr="00E516A2">
        <w:rPr>
          <w:noProof/>
        </w:rPr>
        <w:t>(3): p. 217-226.</w:t>
      </w:r>
    </w:p>
    <w:p w14:paraId="23475DCE" w14:textId="77777777" w:rsidR="00E516A2" w:rsidRPr="00E516A2" w:rsidRDefault="00E516A2" w:rsidP="00E516A2">
      <w:pPr>
        <w:pStyle w:val="EndNoteBibliography"/>
        <w:spacing w:after="0"/>
        <w:ind w:left="720" w:hanging="720"/>
        <w:rPr>
          <w:noProof/>
        </w:rPr>
      </w:pPr>
      <w:r w:rsidRPr="00E516A2">
        <w:rPr>
          <w:noProof/>
        </w:rPr>
        <w:t>116.</w:t>
      </w:r>
      <w:r w:rsidRPr="00E516A2">
        <w:rPr>
          <w:noProof/>
        </w:rPr>
        <w:tab/>
        <w:t xml:space="preserve">Baltussen, R. and L. Niessen, </w:t>
      </w:r>
      <w:r w:rsidRPr="00E516A2">
        <w:rPr>
          <w:i/>
          <w:noProof/>
        </w:rPr>
        <w:t>Priority setting of health interventions: the need for multi-criteria decision analysis.</w:t>
      </w:r>
      <w:r w:rsidRPr="00E516A2">
        <w:rPr>
          <w:noProof/>
        </w:rPr>
        <w:t xml:space="preserve"> Cost effectiveness and resource allocation, 2006. </w:t>
      </w:r>
      <w:r w:rsidRPr="00E516A2">
        <w:rPr>
          <w:b/>
          <w:noProof/>
        </w:rPr>
        <w:t>4</w:t>
      </w:r>
      <w:r w:rsidRPr="00E516A2">
        <w:rPr>
          <w:noProof/>
        </w:rPr>
        <w:t>(1): p. 2 of 9.</w:t>
      </w:r>
    </w:p>
    <w:p w14:paraId="491A5CA1" w14:textId="77777777" w:rsidR="00E516A2" w:rsidRPr="00E516A2" w:rsidRDefault="00E516A2" w:rsidP="00E516A2">
      <w:pPr>
        <w:pStyle w:val="EndNoteBibliography"/>
        <w:spacing w:after="0"/>
        <w:ind w:left="720" w:hanging="720"/>
        <w:rPr>
          <w:noProof/>
        </w:rPr>
      </w:pPr>
      <w:r w:rsidRPr="00E516A2">
        <w:rPr>
          <w:noProof/>
        </w:rPr>
        <w:t>117.</w:t>
      </w:r>
      <w:r w:rsidRPr="00E516A2">
        <w:rPr>
          <w:noProof/>
        </w:rPr>
        <w:tab/>
        <w:t xml:space="preserve">Belton, V. and T. Stewart, </w:t>
      </w:r>
      <w:r w:rsidRPr="00E516A2">
        <w:rPr>
          <w:i/>
          <w:noProof/>
        </w:rPr>
        <w:t xml:space="preserve">Multiple criteria decision analysis: an integrated approach. </w:t>
      </w:r>
      <w:r w:rsidRPr="00E516A2">
        <w:rPr>
          <w:noProof/>
        </w:rPr>
        <w:t>. 2002: Kluwer, Boston.</w:t>
      </w:r>
    </w:p>
    <w:p w14:paraId="71EF70F5" w14:textId="77777777" w:rsidR="00E516A2" w:rsidRPr="00E516A2" w:rsidRDefault="00E516A2" w:rsidP="00E516A2">
      <w:pPr>
        <w:pStyle w:val="EndNoteBibliography"/>
        <w:spacing w:after="0"/>
        <w:ind w:left="720" w:hanging="720"/>
        <w:rPr>
          <w:noProof/>
        </w:rPr>
      </w:pPr>
      <w:r w:rsidRPr="00E516A2">
        <w:rPr>
          <w:noProof/>
        </w:rPr>
        <w:t>118.</w:t>
      </w:r>
      <w:r w:rsidRPr="00E516A2">
        <w:rPr>
          <w:noProof/>
        </w:rPr>
        <w:tab/>
        <w:t xml:space="preserve">Gamper, C. and C. Turcanu, </w:t>
      </w:r>
      <w:r w:rsidRPr="00E516A2">
        <w:rPr>
          <w:i/>
          <w:noProof/>
        </w:rPr>
        <w:t>On the governmental use of multi-criteria analysis.</w:t>
      </w:r>
      <w:r w:rsidRPr="00E516A2">
        <w:rPr>
          <w:noProof/>
        </w:rPr>
        <w:t xml:space="preserve"> Ecological economics, 2007. </w:t>
      </w:r>
      <w:r w:rsidRPr="00E516A2">
        <w:rPr>
          <w:b/>
          <w:noProof/>
        </w:rPr>
        <w:t>62</w:t>
      </w:r>
      <w:r w:rsidRPr="00E516A2">
        <w:rPr>
          <w:noProof/>
        </w:rPr>
        <w:t>(2): p. 298-307.</w:t>
      </w:r>
    </w:p>
    <w:p w14:paraId="33AB3FA3" w14:textId="77777777" w:rsidR="00E516A2" w:rsidRPr="00E516A2" w:rsidRDefault="00E516A2" w:rsidP="00E516A2">
      <w:pPr>
        <w:pStyle w:val="EndNoteBibliography"/>
        <w:spacing w:after="0"/>
        <w:ind w:left="720" w:hanging="720"/>
        <w:rPr>
          <w:noProof/>
        </w:rPr>
      </w:pPr>
      <w:r w:rsidRPr="00E516A2">
        <w:rPr>
          <w:noProof/>
        </w:rPr>
        <w:t>119.</w:t>
      </w:r>
      <w:r w:rsidRPr="00E516A2">
        <w:rPr>
          <w:noProof/>
        </w:rPr>
        <w:tab/>
        <w:t>Beierle, T.C.</w:t>
      </w:r>
      <w:r w:rsidRPr="00E516A2">
        <w:rPr>
          <w:rFonts w:hint="eastAsia"/>
          <w:noProof/>
        </w:rPr>
        <w:t xml:space="preserve">, </w:t>
      </w:r>
      <w:r w:rsidRPr="00E516A2">
        <w:rPr>
          <w:rFonts w:hint="eastAsia"/>
          <w:i/>
          <w:noProof/>
        </w:rPr>
        <w:t>The quality of stakeholder</w:t>
      </w:r>
      <w:r w:rsidRPr="00E516A2">
        <w:rPr>
          <w:rFonts w:hint="eastAsia"/>
          <w:i/>
          <w:noProof/>
        </w:rPr>
        <w:t>‐</w:t>
      </w:r>
      <w:r w:rsidRPr="00E516A2">
        <w:rPr>
          <w:rFonts w:hint="eastAsia"/>
          <w:i/>
          <w:noProof/>
        </w:rPr>
        <w:t>based decisions.</w:t>
      </w:r>
      <w:r w:rsidRPr="00E516A2">
        <w:rPr>
          <w:rFonts w:hint="eastAsia"/>
          <w:noProof/>
        </w:rPr>
        <w:t xml:space="preserve"> Risk analysis, 2002. </w:t>
      </w:r>
      <w:r w:rsidRPr="00E516A2">
        <w:rPr>
          <w:rFonts w:hint="eastAsia"/>
          <w:b/>
          <w:noProof/>
        </w:rPr>
        <w:t>22</w:t>
      </w:r>
      <w:r w:rsidRPr="00E516A2">
        <w:rPr>
          <w:rFonts w:hint="eastAsia"/>
          <w:noProof/>
        </w:rPr>
        <w:t>(4): p. 739-749.</w:t>
      </w:r>
    </w:p>
    <w:p w14:paraId="2A0159F4" w14:textId="77777777" w:rsidR="00E516A2" w:rsidRPr="00E516A2" w:rsidRDefault="00E516A2" w:rsidP="00E516A2">
      <w:pPr>
        <w:pStyle w:val="EndNoteBibliography"/>
        <w:spacing w:after="0"/>
        <w:ind w:left="720" w:hanging="720"/>
        <w:rPr>
          <w:noProof/>
        </w:rPr>
      </w:pPr>
      <w:r w:rsidRPr="00E516A2">
        <w:rPr>
          <w:noProof/>
        </w:rPr>
        <w:t>120.</w:t>
      </w:r>
      <w:r w:rsidRPr="00E516A2">
        <w:rPr>
          <w:noProof/>
        </w:rPr>
        <w:tab/>
        <w:t xml:space="preserve">Golan, O., et al., </w:t>
      </w:r>
      <w:r w:rsidRPr="00E516A2">
        <w:rPr>
          <w:i/>
          <w:noProof/>
        </w:rPr>
        <w:t>Health technology prioritization: which criteria for prioritizing new technologies and what are their relative weights?</w:t>
      </w:r>
      <w:r w:rsidRPr="00E516A2">
        <w:rPr>
          <w:noProof/>
        </w:rPr>
        <w:t xml:space="preserve"> Health policy, 2011. </w:t>
      </w:r>
      <w:r w:rsidRPr="00E516A2">
        <w:rPr>
          <w:b/>
          <w:noProof/>
        </w:rPr>
        <w:t>102</w:t>
      </w:r>
      <w:r w:rsidRPr="00E516A2">
        <w:rPr>
          <w:noProof/>
        </w:rPr>
        <w:t>(2): p. 126-135.</w:t>
      </w:r>
    </w:p>
    <w:p w14:paraId="31003576" w14:textId="77777777" w:rsidR="00E516A2" w:rsidRPr="00E516A2" w:rsidRDefault="00E516A2" w:rsidP="00E516A2">
      <w:pPr>
        <w:pStyle w:val="EndNoteBibliography"/>
        <w:spacing w:after="0"/>
        <w:ind w:left="720" w:hanging="720"/>
        <w:rPr>
          <w:noProof/>
        </w:rPr>
      </w:pPr>
      <w:r w:rsidRPr="00E516A2">
        <w:rPr>
          <w:noProof/>
        </w:rPr>
        <w:t>121.</w:t>
      </w:r>
      <w:r w:rsidRPr="00E516A2">
        <w:rPr>
          <w:noProof/>
        </w:rPr>
        <w:tab/>
        <w:t xml:space="preserve">Phillips, L.D., </w:t>
      </w:r>
      <w:r w:rsidRPr="00E516A2">
        <w:rPr>
          <w:i/>
          <w:noProof/>
        </w:rPr>
        <w:t>A theory of requisite decision models.</w:t>
      </w:r>
      <w:r w:rsidRPr="00E516A2">
        <w:rPr>
          <w:noProof/>
        </w:rPr>
        <w:t xml:space="preserve"> Acta psychologica, 1984. </w:t>
      </w:r>
      <w:r w:rsidRPr="00E516A2">
        <w:rPr>
          <w:b/>
          <w:noProof/>
        </w:rPr>
        <w:t>56</w:t>
      </w:r>
      <w:r w:rsidRPr="00E516A2">
        <w:rPr>
          <w:noProof/>
        </w:rPr>
        <w:t>(1): p. 29-48.</w:t>
      </w:r>
    </w:p>
    <w:p w14:paraId="09095776" w14:textId="77777777" w:rsidR="00E516A2" w:rsidRPr="00E516A2" w:rsidRDefault="00E516A2" w:rsidP="00E516A2">
      <w:pPr>
        <w:pStyle w:val="EndNoteBibliography"/>
        <w:spacing w:after="0"/>
        <w:ind w:left="720" w:hanging="720"/>
        <w:rPr>
          <w:noProof/>
        </w:rPr>
      </w:pPr>
      <w:r w:rsidRPr="00E516A2">
        <w:rPr>
          <w:rFonts w:hint="eastAsia"/>
          <w:noProof/>
        </w:rPr>
        <w:t>122.</w:t>
      </w:r>
      <w:r w:rsidRPr="00E516A2">
        <w:rPr>
          <w:rFonts w:hint="eastAsia"/>
          <w:noProof/>
        </w:rPr>
        <w:tab/>
        <w:t xml:space="preserve">Bana E Costa, C.A., </w:t>
      </w:r>
      <w:r w:rsidRPr="00E516A2">
        <w:rPr>
          <w:rFonts w:hint="eastAsia"/>
          <w:i/>
          <w:noProof/>
        </w:rPr>
        <w:t>The use of multi</w:t>
      </w:r>
      <w:r w:rsidRPr="00E516A2">
        <w:rPr>
          <w:rFonts w:hint="eastAsia"/>
          <w:i/>
          <w:noProof/>
        </w:rPr>
        <w:t>‐</w:t>
      </w:r>
      <w:r w:rsidRPr="00E516A2">
        <w:rPr>
          <w:rFonts w:hint="eastAsia"/>
          <w:i/>
          <w:noProof/>
        </w:rPr>
        <w:t>criteria decision analysis to support the search for less conflicting policy options in a multi</w:t>
      </w:r>
      <w:r w:rsidRPr="00E516A2">
        <w:rPr>
          <w:rFonts w:hint="eastAsia"/>
          <w:i/>
          <w:noProof/>
        </w:rPr>
        <w:t>‐</w:t>
      </w:r>
      <w:r w:rsidRPr="00E516A2">
        <w:rPr>
          <w:rFonts w:hint="eastAsia"/>
          <w:i/>
          <w:noProof/>
        </w:rPr>
        <w:t>actor context: case study.</w:t>
      </w:r>
      <w:r w:rsidRPr="00E516A2">
        <w:rPr>
          <w:rFonts w:hint="eastAsia"/>
          <w:noProof/>
        </w:rPr>
        <w:t xml:space="preserve"> Journal of Multi</w:t>
      </w:r>
      <w:r w:rsidRPr="00E516A2">
        <w:rPr>
          <w:rFonts w:hint="eastAsia"/>
          <w:noProof/>
        </w:rPr>
        <w:t>‐</w:t>
      </w:r>
      <w:r w:rsidRPr="00E516A2">
        <w:rPr>
          <w:rFonts w:hint="eastAsia"/>
          <w:noProof/>
        </w:rPr>
        <w:t xml:space="preserve">Criteria Decision Analysis, 2001. </w:t>
      </w:r>
      <w:r w:rsidRPr="00E516A2">
        <w:rPr>
          <w:rFonts w:hint="eastAsia"/>
          <w:b/>
          <w:noProof/>
        </w:rPr>
        <w:t>10</w:t>
      </w:r>
      <w:r w:rsidRPr="00E516A2">
        <w:rPr>
          <w:rFonts w:hint="eastAsia"/>
          <w:noProof/>
        </w:rPr>
        <w:t>(2): p. 111-125.</w:t>
      </w:r>
    </w:p>
    <w:p w14:paraId="5D4B95A2" w14:textId="77777777" w:rsidR="00E516A2" w:rsidRPr="00E516A2" w:rsidRDefault="00E516A2" w:rsidP="00E516A2">
      <w:pPr>
        <w:pStyle w:val="EndNoteBibliography"/>
        <w:spacing w:after="0"/>
        <w:ind w:left="720" w:hanging="720"/>
        <w:rPr>
          <w:noProof/>
        </w:rPr>
      </w:pPr>
      <w:r w:rsidRPr="00E516A2">
        <w:rPr>
          <w:noProof/>
        </w:rPr>
        <w:t>123.</w:t>
      </w:r>
      <w:r w:rsidRPr="00E516A2">
        <w:rPr>
          <w:noProof/>
        </w:rPr>
        <w:tab/>
        <w:t xml:space="preserve">Daniels, N. and J.E. Sabin, </w:t>
      </w:r>
      <w:r w:rsidRPr="00E516A2">
        <w:rPr>
          <w:i/>
          <w:noProof/>
        </w:rPr>
        <w:t>Setting limits fairly: can we learn to share medical resources?</w:t>
      </w:r>
      <w:r w:rsidRPr="00E516A2">
        <w:rPr>
          <w:noProof/>
        </w:rPr>
        <w:t xml:space="preserve"> OUP Catalogue, 2002.</w:t>
      </w:r>
    </w:p>
    <w:p w14:paraId="5CD6092D" w14:textId="77777777" w:rsidR="00E516A2" w:rsidRPr="00E516A2" w:rsidRDefault="00E516A2" w:rsidP="00E516A2">
      <w:pPr>
        <w:pStyle w:val="EndNoteBibliography"/>
        <w:spacing w:after="0"/>
        <w:ind w:left="720" w:hanging="720"/>
        <w:rPr>
          <w:noProof/>
        </w:rPr>
      </w:pPr>
      <w:r w:rsidRPr="00E516A2">
        <w:rPr>
          <w:noProof/>
        </w:rPr>
        <w:t>124.</w:t>
      </w:r>
      <w:r w:rsidRPr="00E516A2">
        <w:rPr>
          <w:noProof/>
        </w:rPr>
        <w:tab/>
        <w:t xml:space="preserve">Clemen, R.T. and T. Reilly, </w:t>
      </w:r>
      <w:r w:rsidRPr="00E516A2">
        <w:rPr>
          <w:i/>
          <w:noProof/>
        </w:rPr>
        <w:t>Making hard decisions with DecisionTools Suite.</w:t>
      </w:r>
      <w:r w:rsidRPr="00E516A2">
        <w:rPr>
          <w:noProof/>
        </w:rPr>
        <w:t xml:space="preserve"> 1999.</w:t>
      </w:r>
    </w:p>
    <w:p w14:paraId="7B2378B5" w14:textId="77777777" w:rsidR="00E516A2" w:rsidRPr="00E516A2" w:rsidRDefault="00E516A2" w:rsidP="00E516A2">
      <w:pPr>
        <w:pStyle w:val="EndNoteBibliography"/>
        <w:spacing w:after="0"/>
        <w:ind w:left="720" w:hanging="720"/>
        <w:rPr>
          <w:noProof/>
        </w:rPr>
      </w:pPr>
      <w:r w:rsidRPr="00E516A2">
        <w:rPr>
          <w:noProof/>
        </w:rPr>
        <w:t>125.</w:t>
      </w:r>
      <w:r w:rsidRPr="00E516A2">
        <w:rPr>
          <w:noProof/>
        </w:rPr>
        <w:tab/>
        <w:t xml:space="preserve">Dodgson, J., et al., </w:t>
      </w:r>
      <w:r w:rsidRPr="00E516A2">
        <w:rPr>
          <w:i/>
          <w:noProof/>
        </w:rPr>
        <w:t>Multi-criteria analysis: a manual</w:t>
      </w:r>
      <w:r w:rsidRPr="00E516A2">
        <w:rPr>
          <w:noProof/>
        </w:rPr>
        <w:t>. 2009: Department for Communities and Local Government: London.</w:t>
      </w:r>
    </w:p>
    <w:p w14:paraId="5C92441B" w14:textId="77777777" w:rsidR="00E516A2" w:rsidRPr="00E516A2" w:rsidRDefault="00E516A2" w:rsidP="00E516A2">
      <w:pPr>
        <w:pStyle w:val="EndNoteBibliography"/>
        <w:spacing w:after="0"/>
        <w:ind w:left="720" w:hanging="720"/>
        <w:rPr>
          <w:noProof/>
        </w:rPr>
      </w:pPr>
      <w:r w:rsidRPr="00E516A2">
        <w:rPr>
          <w:noProof/>
        </w:rPr>
        <w:t>126.</w:t>
      </w:r>
      <w:r w:rsidRPr="00E516A2">
        <w:rPr>
          <w:noProof/>
        </w:rPr>
        <w:tab/>
        <w:t xml:space="preserve">Wilson, E.C., S.J. Peacock, and D. Ruta, </w:t>
      </w:r>
      <w:r w:rsidRPr="00E516A2">
        <w:rPr>
          <w:i/>
          <w:noProof/>
        </w:rPr>
        <w:t>Priority setting in practice: what is the best way to compare costs and benefits?</w:t>
      </w:r>
      <w:r w:rsidRPr="00E516A2">
        <w:rPr>
          <w:noProof/>
        </w:rPr>
        <w:t xml:space="preserve"> Health economics, 2009. </w:t>
      </w:r>
      <w:r w:rsidRPr="00E516A2">
        <w:rPr>
          <w:b/>
          <w:noProof/>
        </w:rPr>
        <w:t>18</w:t>
      </w:r>
      <w:r w:rsidRPr="00E516A2">
        <w:rPr>
          <w:noProof/>
        </w:rPr>
        <w:t>(4): p. 467-478.</w:t>
      </w:r>
    </w:p>
    <w:p w14:paraId="03864C2F" w14:textId="77777777" w:rsidR="00E516A2" w:rsidRPr="00E516A2" w:rsidRDefault="00E516A2" w:rsidP="00E516A2">
      <w:pPr>
        <w:pStyle w:val="EndNoteBibliography"/>
        <w:spacing w:after="0"/>
        <w:ind w:left="720" w:hanging="720"/>
        <w:rPr>
          <w:noProof/>
        </w:rPr>
      </w:pPr>
      <w:r w:rsidRPr="00E516A2">
        <w:rPr>
          <w:noProof/>
        </w:rPr>
        <w:t>127.</w:t>
      </w:r>
      <w:r w:rsidRPr="00E516A2">
        <w:rPr>
          <w:noProof/>
        </w:rPr>
        <w:tab/>
        <w:t xml:space="preserve">Phillips, L.D. and C.A. Bana e Costa, </w:t>
      </w:r>
      <w:r w:rsidRPr="00E516A2">
        <w:rPr>
          <w:i/>
          <w:noProof/>
        </w:rPr>
        <w:t>Transparent prioritisation, budgeting and resource allocation with multi-criteria decision analysis and decision conferencing.</w:t>
      </w:r>
      <w:r w:rsidRPr="00E516A2">
        <w:rPr>
          <w:noProof/>
        </w:rPr>
        <w:t xml:space="preserve"> Annals of Operations Research, 2007. </w:t>
      </w:r>
      <w:r w:rsidRPr="00E516A2">
        <w:rPr>
          <w:b/>
          <w:noProof/>
        </w:rPr>
        <w:t>154</w:t>
      </w:r>
      <w:r w:rsidRPr="00E516A2">
        <w:rPr>
          <w:noProof/>
        </w:rPr>
        <w:t>(1): p. 51-68.</w:t>
      </w:r>
    </w:p>
    <w:p w14:paraId="7B4F6493" w14:textId="77777777" w:rsidR="00E516A2" w:rsidRPr="00E516A2" w:rsidRDefault="00E516A2" w:rsidP="00E516A2">
      <w:pPr>
        <w:pStyle w:val="EndNoteBibliography"/>
        <w:spacing w:after="0"/>
        <w:ind w:left="720" w:hanging="720"/>
        <w:rPr>
          <w:noProof/>
        </w:rPr>
      </w:pPr>
      <w:r w:rsidRPr="00E516A2">
        <w:rPr>
          <w:noProof/>
        </w:rPr>
        <w:t>128.</w:t>
      </w:r>
      <w:r w:rsidRPr="00E516A2">
        <w:rPr>
          <w:noProof/>
        </w:rPr>
        <w:tab/>
        <w:t xml:space="preserve">Marsh, K., et al., </w:t>
      </w:r>
      <w:r w:rsidRPr="00E516A2">
        <w:rPr>
          <w:i/>
          <w:noProof/>
        </w:rPr>
        <w:t>Assessing the value of healthcare interventions using multi-criteria decision analysis: a review of the literature.</w:t>
      </w:r>
      <w:r w:rsidRPr="00E516A2">
        <w:rPr>
          <w:noProof/>
        </w:rPr>
        <w:t xml:space="preserve"> Pharmacoeconomics, 2014. </w:t>
      </w:r>
      <w:r w:rsidRPr="00E516A2">
        <w:rPr>
          <w:b/>
          <w:noProof/>
        </w:rPr>
        <w:t>32</w:t>
      </w:r>
      <w:r w:rsidRPr="00E516A2">
        <w:rPr>
          <w:noProof/>
        </w:rPr>
        <w:t>(4): p. 345-365.</w:t>
      </w:r>
    </w:p>
    <w:p w14:paraId="3073D969" w14:textId="77777777" w:rsidR="00E516A2" w:rsidRPr="00E516A2" w:rsidRDefault="00E516A2" w:rsidP="00E516A2">
      <w:pPr>
        <w:pStyle w:val="EndNoteBibliography"/>
        <w:spacing w:after="0"/>
        <w:ind w:left="720" w:hanging="720"/>
        <w:rPr>
          <w:noProof/>
        </w:rPr>
      </w:pPr>
      <w:r w:rsidRPr="00E516A2">
        <w:rPr>
          <w:noProof/>
        </w:rPr>
        <w:t>129.</w:t>
      </w:r>
      <w:r w:rsidRPr="00E516A2">
        <w:rPr>
          <w:noProof/>
        </w:rPr>
        <w:tab/>
        <w:t xml:space="preserve">Saaty, T.L., </w:t>
      </w:r>
      <w:r w:rsidRPr="00E516A2">
        <w:rPr>
          <w:i/>
          <w:noProof/>
        </w:rPr>
        <w:t>Decision making with the analytic hierarchy process.</w:t>
      </w:r>
      <w:r w:rsidRPr="00E516A2">
        <w:rPr>
          <w:noProof/>
        </w:rPr>
        <w:t xml:space="preserve"> International journal of services sciences, 2008. </w:t>
      </w:r>
      <w:r w:rsidRPr="00E516A2">
        <w:rPr>
          <w:b/>
          <w:noProof/>
        </w:rPr>
        <w:t>1</w:t>
      </w:r>
      <w:r w:rsidRPr="00E516A2">
        <w:rPr>
          <w:noProof/>
        </w:rPr>
        <w:t>(1): p. 83-98.</w:t>
      </w:r>
    </w:p>
    <w:p w14:paraId="23719FD0" w14:textId="77777777" w:rsidR="00E516A2" w:rsidRPr="00E516A2" w:rsidRDefault="00E516A2" w:rsidP="00E516A2">
      <w:pPr>
        <w:pStyle w:val="EndNoteBibliography"/>
        <w:spacing w:after="0"/>
        <w:ind w:left="720" w:hanging="720"/>
        <w:rPr>
          <w:noProof/>
        </w:rPr>
      </w:pPr>
      <w:r w:rsidRPr="00E516A2">
        <w:rPr>
          <w:noProof/>
        </w:rPr>
        <w:t>130.</w:t>
      </w:r>
      <w:r w:rsidRPr="00E516A2">
        <w:rPr>
          <w:noProof/>
        </w:rPr>
        <w:tab/>
        <w:t xml:space="preserve">Bridges, J., </w:t>
      </w:r>
      <w:r w:rsidRPr="00E516A2">
        <w:rPr>
          <w:i/>
          <w:noProof/>
        </w:rPr>
        <w:t>Stated preference methods in health care evaluation: an emerging methodological paradigm in health economics.</w:t>
      </w:r>
      <w:r w:rsidRPr="00E516A2">
        <w:rPr>
          <w:noProof/>
        </w:rPr>
        <w:t xml:space="preserve"> Applied health economics and health policy, 2003. </w:t>
      </w:r>
      <w:r w:rsidRPr="00E516A2">
        <w:rPr>
          <w:b/>
          <w:noProof/>
        </w:rPr>
        <w:t>2</w:t>
      </w:r>
      <w:r w:rsidRPr="00E516A2">
        <w:rPr>
          <w:noProof/>
        </w:rPr>
        <w:t>(4): p. 213-224.</w:t>
      </w:r>
    </w:p>
    <w:p w14:paraId="5993930C" w14:textId="77777777" w:rsidR="00E516A2" w:rsidRPr="00E516A2" w:rsidRDefault="00E516A2" w:rsidP="00E516A2">
      <w:pPr>
        <w:pStyle w:val="EndNoteBibliography"/>
        <w:spacing w:after="0"/>
        <w:ind w:left="720" w:hanging="720"/>
        <w:rPr>
          <w:noProof/>
        </w:rPr>
      </w:pPr>
      <w:r w:rsidRPr="00E516A2">
        <w:rPr>
          <w:noProof/>
        </w:rPr>
        <w:t>131.</w:t>
      </w:r>
      <w:r w:rsidRPr="00E516A2">
        <w:rPr>
          <w:noProof/>
        </w:rPr>
        <w:tab/>
        <w:t xml:space="preserve">Rowen, D., J. Brazier, and B. Van Hout, </w:t>
      </w:r>
      <w:r w:rsidRPr="00E516A2">
        <w:rPr>
          <w:i/>
          <w:noProof/>
        </w:rPr>
        <w:t>A comparison of methods for converting DCE values onto the full health-dead QALY scale.</w:t>
      </w:r>
      <w:r w:rsidRPr="00E516A2">
        <w:rPr>
          <w:noProof/>
        </w:rPr>
        <w:t xml:space="preserve"> Medical Decision Making, 2014: p. 0272989X14559542.</w:t>
      </w:r>
    </w:p>
    <w:p w14:paraId="62649460" w14:textId="77777777" w:rsidR="00E516A2" w:rsidRPr="00E516A2" w:rsidRDefault="00E516A2" w:rsidP="00E516A2">
      <w:pPr>
        <w:pStyle w:val="EndNoteBibliography"/>
        <w:spacing w:after="0"/>
        <w:ind w:left="720" w:hanging="720"/>
        <w:rPr>
          <w:noProof/>
        </w:rPr>
      </w:pPr>
      <w:r w:rsidRPr="00E516A2">
        <w:rPr>
          <w:noProof/>
        </w:rPr>
        <w:t>132.</w:t>
      </w:r>
      <w:r w:rsidRPr="00E516A2">
        <w:rPr>
          <w:noProof/>
        </w:rPr>
        <w:tab/>
        <w:t xml:space="preserve">Malhotra, C., et al., </w:t>
      </w:r>
      <w:r w:rsidRPr="00E516A2">
        <w:rPr>
          <w:i/>
          <w:noProof/>
        </w:rPr>
        <w:t>Comparison of preferences for end-of-life care among patients with advanced cancer and their caregivers: A discrete choice experiment.</w:t>
      </w:r>
      <w:r w:rsidRPr="00E516A2">
        <w:rPr>
          <w:noProof/>
        </w:rPr>
        <w:t xml:space="preserve"> Palliative medicine, 2015. </w:t>
      </w:r>
      <w:r w:rsidRPr="00E516A2">
        <w:rPr>
          <w:b/>
          <w:noProof/>
        </w:rPr>
        <w:t>29</w:t>
      </w:r>
      <w:r w:rsidRPr="00E516A2">
        <w:rPr>
          <w:noProof/>
        </w:rPr>
        <w:t>(9): p. 842-850.</w:t>
      </w:r>
    </w:p>
    <w:p w14:paraId="389D63C7" w14:textId="77777777" w:rsidR="00E516A2" w:rsidRPr="00E516A2" w:rsidRDefault="00E516A2" w:rsidP="00E516A2">
      <w:pPr>
        <w:pStyle w:val="EndNoteBibliography"/>
        <w:spacing w:after="0"/>
        <w:ind w:left="720" w:hanging="720"/>
        <w:rPr>
          <w:noProof/>
        </w:rPr>
      </w:pPr>
      <w:r w:rsidRPr="00E516A2">
        <w:rPr>
          <w:noProof/>
        </w:rPr>
        <w:t>133.</w:t>
      </w:r>
      <w:r w:rsidRPr="00E516A2">
        <w:rPr>
          <w:noProof/>
        </w:rPr>
        <w:tab/>
        <w:t xml:space="preserve">Finkelstein, E.A., et al., </w:t>
      </w:r>
      <w:r w:rsidRPr="00E516A2">
        <w:rPr>
          <w:i/>
          <w:noProof/>
        </w:rPr>
        <w:t>Preferences for end-of-life care among community-dwelling older adults and patients with advanced cancer: A discrete choice experiment.</w:t>
      </w:r>
      <w:r w:rsidRPr="00E516A2">
        <w:rPr>
          <w:noProof/>
        </w:rPr>
        <w:t xml:space="preserve"> Health Policy, 2015. </w:t>
      </w:r>
      <w:r w:rsidRPr="00E516A2">
        <w:rPr>
          <w:b/>
          <w:noProof/>
        </w:rPr>
        <w:t>119</w:t>
      </w:r>
      <w:r w:rsidRPr="00E516A2">
        <w:rPr>
          <w:noProof/>
        </w:rPr>
        <w:t>(11): p. 1482-1489.</w:t>
      </w:r>
    </w:p>
    <w:p w14:paraId="4717E680" w14:textId="77777777" w:rsidR="00E516A2" w:rsidRPr="00E516A2" w:rsidRDefault="00E516A2" w:rsidP="00E516A2">
      <w:pPr>
        <w:pStyle w:val="EndNoteBibliography"/>
        <w:spacing w:after="0"/>
        <w:ind w:left="720" w:hanging="720"/>
        <w:rPr>
          <w:noProof/>
        </w:rPr>
      </w:pPr>
      <w:r w:rsidRPr="00E516A2">
        <w:rPr>
          <w:noProof/>
        </w:rPr>
        <w:t>134.</w:t>
      </w:r>
      <w:r w:rsidRPr="00E516A2">
        <w:rPr>
          <w:noProof/>
        </w:rPr>
        <w:tab/>
        <w:t xml:space="preserve">Reed Johnson, F., et al., </w:t>
      </w:r>
      <w:r w:rsidRPr="00E516A2">
        <w:rPr>
          <w:i/>
          <w:noProof/>
        </w:rPr>
        <w:t>Constructing experimental designs for discrete-choice experiments: report of the ISPOR conjoint analysis experimental design good research practices task force.</w:t>
      </w:r>
      <w:r w:rsidRPr="00E516A2">
        <w:rPr>
          <w:noProof/>
        </w:rPr>
        <w:t xml:space="preserve"> Value in Health, 2013. </w:t>
      </w:r>
      <w:r w:rsidRPr="00E516A2">
        <w:rPr>
          <w:b/>
          <w:noProof/>
        </w:rPr>
        <w:t>16</w:t>
      </w:r>
      <w:r w:rsidRPr="00E516A2">
        <w:rPr>
          <w:noProof/>
        </w:rPr>
        <w:t>(1): p. 3-13.</w:t>
      </w:r>
    </w:p>
    <w:p w14:paraId="480B32F1" w14:textId="77777777" w:rsidR="00E516A2" w:rsidRPr="00E516A2" w:rsidRDefault="00E516A2" w:rsidP="00E516A2">
      <w:pPr>
        <w:pStyle w:val="EndNoteBibliography"/>
        <w:spacing w:after="0"/>
        <w:ind w:left="720" w:hanging="720"/>
        <w:rPr>
          <w:noProof/>
        </w:rPr>
      </w:pPr>
      <w:r w:rsidRPr="00E516A2">
        <w:rPr>
          <w:noProof/>
        </w:rPr>
        <w:t>135.</w:t>
      </w:r>
      <w:r w:rsidRPr="00E516A2">
        <w:rPr>
          <w:noProof/>
        </w:rPr>
        <w:tab/>
        <w:t xml:space="preserve">Taha, H.A., </w:t>
      </w:r>
      <w:r w:rsidRPr="00E516A2">
        <w:rPr>
          <w:i/>
          <w:noProof/>
        </w:rPr>
        <w:t>Operations Research: An introduction</w:t>
      </w:r>
      <w:r w:rsidRPr="00E516A2">
        <w:rPr>
          <w:noProof/>
        </w:rPr>
        <w:t>. 9th edition ed. 2011: Prentice Hall.</w:t>
      </w:r>
    </w:p>
    <w:p w14:paraId="6C4DAFD8" w14:textId="77777777" w:rsidR="00E516A2" w:rsidRPr="00E516A2" w:rsidRDefault="00E516A2" w:rsidP="00E516A2">
      <w:pPr>
        <w:pStyle w:val="EndNoteBibliography"/>
        <w:spacing w:after="0"/>
        <w:ind w:left="720" w:hanging="720"/>
        <w:rPr>
          <w:noProof/>
        </w:rPr>
      </w:pPr>
      <w:r w:rsidRPr="00E516A2">
        <w:rPr>
          <w:noProof/>
        </w:rPr>
        <w:t>136.</w:t>
      </w:r>
      <w:r w:rsidRPr="00E516A2">
        <w:rPr>
          <w:noProof/>
        </w:rPr>
        <w:tab/>
        <w:t xml:space="preserve">Tamiz, M., D. Jones, and E. El-Darzi, </w:t>
      </w:r>
      <w:r w:rsidRPr="00E516A2">
        <w:rPr>
          <w:i/>
          <w:noProof/>
        </w:rPr>
        <w:t>A review of goal programming and its applications.</w:t>
      </w:r>
      <w:r w:rsidRPr="00E516A2">
        <w:rPr>
          <w:noProof/>
        </w:rPr>
        <w:t xml:space="preserve"> Annals of Operations Research, 1995. </w:t>
      </w:r>
      <w:r w:rsidRPr="00E516A2">
        <w:rPr>
          <w:b/>
          <w:noProof/>
        </w:rPr>
        <w:t>58</w:t>
      </w:r>
      <w:r w:rsidRPr="00E516A2">
        <w:rPr>
          <w:noProof/>
        </w:rPr>
        <w:t>(1): p. 39-53.</w:t>
      </w:r>
    </w:p>
    <w:p w14:paraId="13C017E8" w14:textId="77777777" w:rsidR="00E516A2" w:rsidRPr="00E516A2" w:rsidRDefault="00E516A2" w:rsidP="00E516A2">
      <w:pPr>
        <w:pStyle w:val="EndNoteBibliography"/>
        <w:spacing w:after="0"/>
        <w:ind w:left="720" w:hanging="720"/>
        <w:rPr>
          <w:noProof/>
        </w:rPr>
      </w:pPr>
      <w:r w:rsidRPr="00E516A2">
        <w:rPr>
          <w:noProof/>
        </w:rPr>
        <w:t>137.</w:t>
      </w:r>
      <w:r w:rsidRPr="00E516A2">
        <w:rPr>
          <w:noProof/>
        </w:rPr>
        <w:tab/>
        <w:t xml:space="preserve">Madden, L., et al., </w:t>
      </w:r>
      <w:r w:rsidRPr="00E516A2">
        <w:rPr>
          <w:i/>
          <w:noProof/>
        </w:rPr>
        <w:t>Public health and economics in tandem: programme budgeting, marginal analysis and priority setting in practice.</w:t>
      </w:r>
      <w:r w:rsidRPr="00E516A2">
        <w:rPr>
          <w:noProof/>
        </w:rPr>
        <w:t xml:space="preserve"> Health Policy, 1995. </w:t>
      </w:r>
      <w:r w:rsidRPr="00E516A2">
        <w:rPr>
          <w:b/>
          <w:noProof/>
        </w:rPr>
        <w:t>33</w:t>
      </w:r>
      <w:r w:rsidRPr="00E516A2">
        <w:rPr>
          <w:noProof/>
        </w:rPr>
        <w:t>(2): p. 161-168.</w:t>
      </w:r>
    </w:p>
    <w:p w14:paraId="2367F7DF" w14:textId="77777777" w:rsidR="00E516A2" w:rsidRPr="00E516A2" w:rsidRDefault="00E516A2" w:rsidP="00E516A2">
      <w:pPr>
        <w:pStyle w:val="EndNoteBibliography"/>
        <w:spacing w:after="0"/>
        <w:ind w:left="720" w:hanging="720"/>
        <w:rPr>
          <w:noProof/>
        </w:rPr>
      </w:pPr>
      <w:r w:rsidRPr="00E516A2">
        <w:rPr>
          <w:noProof/>
        </w:rPr>
        <w:t>138.</w:t>
      </w:r>
      <w:r w:rsidRPr="00E516A2">
        <w:rPr>
          <w:noProof/>
        </w:rPr>
        <w:tab/>
        <w:t xml:space="preserve">Marks, L.O., C; Hunter, DJ; Thokala, P; Payne, N; Salway, S; Vale, L; Gray, J; McCafferty, S, </w:t>
      </w:r>
      <w:r w:rsidRPr="00E516A2">
        <w:rPr>
          <w:i/>
          <w:noProof/>
        </w:rPr>
        <w:t>Prioritising public health interventions in local authorities: a scoping study of approaches for decision support</w:t>
      </w:r>
      <w:r w:rsidRPr="00E516A2">
        <w:rPr>
          <w:noProof/>
        </w:rPr>
        <w:t>. 2013, Durham.</w:t>
      </w:r>
    </w:p>
    <w:p w14:paraId="2C55CACE" w14:textId="77777777" w:rsidR="00E516A2" w:rsidRPr="00E516A2" w:rsidRDefault="00E516A2" w:rsidP="00E516A2">
      <w:pPr>
        <w:pStyle w:val="EndNoteBibliography"/>
        <w:spacing w:after="0"/>
        <w:ind w:left="720" w:hanging="720"/>
        <w:rPr>
          <w:noProof/>
        </w:rPr>
      </w:pPr>
      <w:r w:rsidRPr="00E516A2">
        <w:rPr>
          <w:noProof/>
        </w:rPr>
        <w:t>139.</w:t>
      </w:r>
      <w:r w:rsidRPr="00E516A2">
        <w:rPr>
          <w:noProof/>
        </w:rPr>
        <w:tab/>
        <w:t xml:space="preserve">Mitton, C.R. and C. Donaldson, </w:t>
      </w:r>
      <w:r w:rsidRPr="00E516A2">
        <w:rPr>
          <w:i/>
          <w:noProof/>
        </w:rPr>
        <w:t>Setting priorities and allocating resources in health regions: lessons from a project evaluating program budgeting and marginal analysis (PBMA).</w:t>
      </w:r>
      <w:r w:rsidRPr="00E516A2">
        <w:rPr>
          <w:noProof/>
        </w:rPr>
        <w:t xml:space="preserve"> Health Policy, 2003. </w:t>
      </w:r>
      <w:r w:rsidRPr="00E516A2">
        <w:rPr>
          <w:b/>
          <w:noProof/>
        </w:rPr>
        <w:t>64</w:t>
      </w:r>
      <w:r w:rsidRPr="00E516A2">
        <w:rPr>
          <w:noProof/>
        </w:rPr>
        <w:t>(3): p. 335-348.</w:t>
      </w:r>
    </w:p>
    <w:p w14:paraId="511A972B" w14:textId="77777777" w:rsidR="00E516A2" w:rsidRPr="00E516A2" w:rsidRDefault="00E516A2" w:rsidP="00E516A2">
      <w:pPr>
        <w:pStyle w:val="EndNoteBibliography"/>
        <w:spacing w:after="0"/>
        <w:ind w:left="720" w:hanging="720"/>
        <w:rPr>
          <w:noProof/>
        </w:rPr>
      </w:pPr>
      <w:r w:rsidRPr="00E516A2">
        <w:rPr>
          <w:noProof/>
        </w:rPr>
        <w:t>140.</w:t>
      </w:r>
      <w:r w:rsidRPr="00E516A2">
        <w:rPr>
          <w:noProof/>
        </w:rPr>
        <w:tab/>
        <w:t xml:space="preserve">Brazier, J., </w:t>
      </w:r>
      <w:r w:rsidRPr="00E516A2">
        <w:rPr>
          <w:i/>
          <w:noProof/>
        </w:rPr>
        <w:t>Study of Accident and Emergency Services in East Yorkshire Health Authority,</w:t>
      </w:r>
      <w:r w:rsidRPr="00E516A2">
        <w:rPr>
          <w:noProof/>
        </w:rPr>
        <w:t>. 1987, Health Economics Consortium: UK.</w:t>
      </w:r>
    </w:p>
    <w:p w14:paraId="36712DD2" w14:textId="77777777" w:rsidR="00E516A2" w:rsidRPr="00E516A2" w:rsidRDefault="00E516A2" w:rsidP="00E516A2">
      <w:pPr>
        <w:pStyle w:val="EndNoteBibliography"/>
        <w:spacing w:after="0"/>
        <w:ind w:left="720" w:hanging="720"/>
        <w:rPr>
          <w:noProof/>
        </w:rPr>
      </w:pPr>
      <w:r w:rsidRPr="00E516A2">
        <w:rPr>
          <w:noProof/>
        </w:rPr>
        <w:t>141.</w:t>
      </w:r>
      <w:r w:rsidRPr="00E516A2">
        <w:rPr>
          <w:noProof/>
        </w:rPr>
        <w:tab/>
        <w:t xml:space="preserve">Akehurst R, B.J., Jeavans R, </w:t>
      </w:r>
      <w:r w:rsidRPr="00E516A2">
        <w:rPr>
          <w:i/>
          <w:noProof/>
        </w:rPr>
        <w:t>Prioritising schemes for inclusion in Yorkshire Capital Programme</w:t>
      </w:r>
      <w:r w:rsidRPr="00E516A2">
        <w:rPr>
          <w:noProof/>
        </w:rPr>
        <w:t>. 1988, UK: Health Economics Consortium.</w:t>
      </w:r>
    </w:p>
    <w:p w14:paraId="6B818448" w14:textId="77777777" w:rsidR="00E516A2" w:rsidRPr="00E516A2" w:rsidRDefault="00E516A2" w:rsidP="00E516A2">
      <w:pPr>
        <w:pStyle w:val="EndNoteBibliography"/>
        <w:spacing w:after="0"/>
        <w:ind w:left="720" w:hanging="720"/>
        <w:rPr>
          <w:noProof/>
        </w:rPr>
      </w:pPr>
      <w:r w:rsidRPr="00E516A2">
        <w:rPr>
          <w:noProof/>
        </w:rPr>
        <w:t>142.</w:t>
      </w:r>
      <w:r w:rsidRPr="00E516A2">
        <w:rPr>
          <w:noProof/>
        </w:rPr>
        <w:tab/>
        <w:t xml:space="preserve">Close, R., et al., </w:t>
      </w:r>
      <w:r w:rsidRPr="00E516A2">
        <w:rPr>
          <w:i/>
          <w:noProof/>
        </w:rPr>
        <w:t>Modelling risk for prioritisation of interventions for environmental hazards to human health using multicriteria decision analysis.</w:t>
      </w:r>
      <w:r w:rsidRPr="00E516A2">
        <w:rPr>
          <w:noProof/>
        </w:rPr>
        <w:t xml:space="preserve"> Chemical Hazards and Poisons Report, 2011: p. 29.</w:t>
      </w:r>
    </w:p>
    <w:p w14:paraId="6FA96F92" w14:textId="77777777" w:rsidR="00E516A2" w:rsidRPr="00E516A2" w:rsidRDefault="00E516A2" w:rsidP="00E516A2">
      <w:pPr>
        <w:pStyle w:val="EndNoteBibliography"/>
        <w:spacing w:after="0"/>
        <w:ind w:left="720" w:hanging="720"/>
        <w:rPr>
          <w:noProof/>
        </w:rPr>
      </w:pPr>
      <w:r w:rsidRPr="00E516A2">
        <w:rPr>
          <w:noProof/>
        </w:rPr>
        <w:t>143.</w:t>
      </w:r>
      <w:r w:rsidRPr="00E516A2">
        <w:rPr>
          <w:noProof/>
        </w:rPr>
        <w:tab/>
        <w:t xml:space="preserve">Mussen, F., S. Salek, and S. Walker, </w:t>
      </w:r>
      <w:r w:rsidRPr="00E516A2">
        <w:rPr>
          <w:i/>
          <w:noProof/>
        </w:rPr>
        <w:t>Benefit-Risk Appraisal of Medicines: A Systematic Approach to Decision-Making (2009 ed.)</w:t>
      </w:r>
      <w:r w:rsidRPr="00E516A2">
        <w:rPr>
          <w:noProof/>
        </w:rPr>
        <w:t>. 2009: John Wiley &amp; Sons, Chichester, West Sussex, United Kingdom.</w:t>
      </w:r>
    </w:p>
    <w:p w14:paraId="46487D58" w14:textId="77777777" w:rsidR="00E516A2" w:rsidRPr="00E516A2" w:rsidRDefault="00E516A2" w:rsidP="00E516A2">
      <w:pPr>
        <w:pStyle w:val="EndNoteBibliography"/>
        <w:spacing w:after="0"/>
        <w:ind w:left="720" w:hanging="720"/>
        <w:rPr>
          <w:noProof/>
        </w:rPr>
      </w:pPr>
      <w:r w:rsidRPr="00E516A2">
        <w:rPr>
          <w:noProof/>
        </w:rPr>
        <w:t>144.</w:t>
      </w:r>
      <w:r w:rsidRPr="00E516A2">
        <w:rPr>
          <w:noProof/>
        </w:rPr>
        <w:tab/>
        <w:t xml:space="preserve">UNFCCC, </w:t>
      </w:r>
      <w:r w:rsidRPr="00E516A2">
        <w:rPr>
          <w:i/>
          <w:noProof/>
        </w:rPr>
        <w:t>Annotated guidelines for the preparation of national adaptation programmes of action.</w:t>
      </w:r>
      <w:r w:rsidRPr="00E516A2">
        <w:rPr>
          <w:noProof/>
        </w:rPr>
        <w:t xml:space="preserve"> 2002. p. 33.</w:t>
      </w:r>
    </w:p>
    <w:p w14:paraId="49F8E08A" w14:textId="77777777" w:rsidR="00E516A2" w:rsidRPr="00E516A2" w:rsidRDefault="00E516A2" w:rsidP="00E516A2">
      <w:pPr>
        <w:pStyle w:val="EndNoteBibliography"/>
        <w:spacing w:after="0"/>
        <w:ind w:left="720" w:hanging="720"/>
        <w:rPr>
          <w:noProof/>
        </w:rPr>
      </w:pPr>
      <w:r w:rsidRPr="00E516A2">
        <w:rPr>
          <w:noProof/>
        </w:rPr>
        <w:t>145.</w:t>
      </w:r>
      <w:r w:rsidRPr="00E516A2">
        <w:rPr>
          <w:noProof/>
        </w:rPr>
        <w:tab/>
        <w:t xml:space="preserve">Phillips, L., </w:t>
      </w:r>
      <w:r w:rsidRPr="00E516A2">
        <w:rPr>
          <w:i/>
          <w:noProof/>
        </w:rPr>
        <w:t>Decision analysis for group support</w:t>
      </w:r>
      <w:r w:rsidRPr="00E516A2">
        <w:rPr>
          <w:noProof/>
        </w:rPr>
        <w:t xml:space="preserve">, in </w:t>
      </w:r>
      <w:r w:rsidRPr="00E516A2">
        <w:rPr>
          <w:i/>
          <w:noProof/>
        </w:rPr>
        <w:t>Tackling strategic problems</w:t>
      </w:r>
      <w:r w:rsidRPr="00E516A2">
        <w:rPr>
          <w:noProof/>
        </w:rPr>
        <w:t>, C.R. Eden, J, Editor. 1990, Sage: London.</w:t>
      </w:r>
    </w:p>
    <w:p w14:paraId="7FE2A517" w14:textId="77777777" w:rsidR="00E516A2" w:rsidRPr="00E516A2" w:rsidRDefault="00E516A2" w:rsidP="00E516A2">
      <w:pPr>
        <w:pStyle w:val="EndNoteBibliography"/>
        <w:spacing w:after="0"/>
        <w:ind w:left="720" w:hanging="720"/>
        <w:rPr>
          <w:noProof/>
        </w:rPr>
      </w:pPr>
      <w:r w:rsidRPr="00E516A2">
        <w:rPr>
          <w:noProof/>
        </w:rPr>
        <w:t>146.</w:t>
      </w:r>
      <w:r w:rsidRPr="00E516A2">
        <w:rPr>
          <w:noProof/>
        </w:rPr>
        <w:tab/>
        <w:t xml:space="preserve">Von Winterfeldt, D. and W. Edwards, </w:t>
      </w:r>
      <w:r w:rsidRPr="00E516A2">
        <w:rPr>
          <w:i/>
          <w:noProof/>
        </w:rPr>
        <w:t>Decision analysis and behavioral research</w:t>
      </w:r>
      <w:r w:rsidRPr="00E516A2">
        <w:rPr>
          <w:noProof/>
        </w:rPr>
        <w:t>. Vol. 604. 1986: Cambridge University Press Cambridge.</w:t>
      </w:r>
    </w:p>
    <w:p w14:paraId="3736E902" w14:textId="77777777" w:rsidR="00E516A2" w:rsidRPr="00E516A2" w:rsidRDefault="00E516A2" w:rsidP="00E516A2">
      <w:pPr>
        <w:pStyle w:val="EndNoteBibliography"/>
        <w:spacing w:after="0"/>
        <w:ind w:left="720" w:hanging="720"/>
        <w:rPr>
          <w:noProof/>
        </w:rPr>
      </w:pPr>
      <w:r w:rsidRPr="00E516A2">
        <w:rPr>
          <w:noProof/>
        </w:rPr>
        <w:t>147.</w:t>
      </w:r>
      <w:r w:rsidRPr="00E516A2">
        <w:rPr>
          <w:noProof/>
        </w:rPr>
        <w:tab/>
        <w:t xml:space="preserve">Popay, J., et al., </w:t>
      </w:r>
      <w:r w:rsidRPr="00E516A2">
        <w:rPr>
          <w:i/>
          <w:noProof/>
        </w:rPr>
        <w:t>Guidance on the conduct of narrative synthesis in systematic reviews.</w:t>
      </w:r>
      <w:r w:rsidRPr="00E516A2">
        <w:rPr>
          <w:noProof/>
        </w:rPr>
        <w:t xml:space="preserve"> ESRC methods programme, 2006. </w:t>
      </w:r>
      <w:r w:rsidRPr="00E516A2">
        <w:rPr>
          <w:b/>
          <w:noProof/>
        </w:rPr>
        <w:t>15</w:t>
      </w:r>
      <w:r w:rsidRPr="00E516A2">
        <w:rPr>
          <w:noProof/>
        </w:rPr>
        <w:t>(1): p. 047-71.</w:t>
      </w:r>
    </w:p>
    <w:p w14:paraId="343A20D2" w14:textId="77777777" w:rsidR="00E516A2" w:rsidRPr="00E516A2" w:rsidRDefault="00E516A2" w:rsidP="00E516A2">
      <w:pPr>
        <w:pStyle w:val="EndNoteBibliography"/>
        <w:spacing w:after="0"/>
        <w:ind w:left="720" w:hanging="720"/>
        <w:rPr>
          <w:noProof/>
        </w:rPr>
      </w:pPr>
      <w:r w:rsidRPr="00E516A2">
        <w:rPr>
          <w:noProof/>
        </w:rPr>
        <w:t>148.</w:t>
      </w:r>
      <w:r w:rsidRPr="00E516A2">
        <w:rPr>
          <w:noProof/>
        </w:rPr>
        <w:tab/>
        <w:t xml:space="preserve">Booth, A., D. Papaioannou, and A. Sutton, </w:t>
      </w:r>
      <w:r w:rsidRPr="00E516A2">
        <w:rPr>
          <w:i/>
          <w:noProof/>
        </w:rPr>
        <w:t>Systematic approaches to a successful literature review</w:t>
      </w:r>
      <w:r w:rsidRPr="00E516A2">
        <w:rPr>
          <w:noProof/>
        </w:rPr>
        <w:t>. 2011: Sage.</w:t>
      </w:r>
    </w:p>
    <w:p w14:paraId="5AAEA13E" w14:textId="77777777" w:rsidR="00E516A2" w:rsidRPr="00E516A2" w:rsidRDefault="00E516A2" w:rsidP="00E516A2">
      <w:pPr>
        <w:pStyle w:val="EndNoteBibliography"/>
        <w:spacing w:after="0"/>
        <w:ind w:left="720" w:hanging="720"/>
        <w:rPr>
          <w:noProof/>
        </w:rPr>
      </w:pPr>
      <w:r w:rsidRPr="00E516A2">
        <w:rPr>
          <w:noProof/>
        </w:rPr>
        <w:t>149.</w:t>
      </w:r>
      <w:r w:rsidRPr="00E516A2">
        <w:rPr>
          <w:noProof/>
        </w:rPr>
        <w:tab/>
        <w:t xml:space="preserve">Cooper, H.M., </w:t>
      </w:r>
      <w:r w:rsidRPr="00E516A2">
        <w:rPr>
          <w:i/>
          <w:noProof/>
        </w:rPr>
        <w:t>Organizing knowledge syntheses: A taxonomy of literature reviews.</w:t>
      </w:r>
      <w:r w:rsidRPr="00E516A2">
        <w:rPr>
          <w:noProof/>
        </w:rPr>
        <w:t xml:space="preserve"> Knowledge in Society, 1988. </w:t>
      </w:r>
      <w:r w:rsidRPr="00E516A2">
        <w:rPr>
          <w:b/>
          <w:noProof/>
        </w:rPr>
        <w:t>1</w:t>
      </w:r>
      <w:r w:rsidRPr="00E516A2">
        <w:rPr>
          <w:noProof/>
        </w:rPr>
        <w:t>(1): p. 104-126.</w:t>
      </w:r>
    </w:p>
    <w:p w14:paraId="56CF0610" w14:textId="77777777" w:rsidR="00E516A2" w:rsidRPr="00E516A2" w:rsidRDefault="00E516A2" w:rsidP="00E516A2">
      <w:pPr>
        <w:pStyle w:val="EndNoteBibliography"/>
        <w:spacing w:after="0"/>
        <w:ind w:left="720" w:hanging="720"/>
        <w:rPr>
          <w:noProof/>
        </w:rPr>
      </w:pPr>
      <w:r w:rsidRPr="00E516A2">
        <w:rPr>
          <w:noProof/>
        </w:rPr>
        <w:t>150.</w:t>
      </w:r>
      <w:r w:rsidRPr="00E516A2">
        <w:rPr>
          <w:noProof/>
        </w:rPr>
        <w:tab/>
        <w:t xml:space="preserve">Carney SM, G.J., </w:t>
      </w:r>
      <w:r w:rsidRPr="00E516A2">
        <w:rPr>
          <w:i/>
          <w:noProof/>
        </w:rPr>
        <w:t>Systematic Reviews and Meta-analyses</w:t>
      </w:r>
      <w:r w:rsidRPr="00E516A2">
        <w:rPr>
          <w:noProof/>
        </w:rPr>
        <w:t>, in</w:t>
      </w:r>
      <w:r w:rsidRPr="00E516A2">
        <w:rPr>
          <w:i/>
          <w:noProof/>
        </w:rPr>
        <w:t xml:space="preserve"> Evidence in Mental Health Care</w:t>
      </w:r>
      <w:r w:rsidRPr="00E516A2">
        <w:rPr>
          <w:noProof/>
        </w:rPr>
        <w:t>, S.M. Priebe S, Editor. 2002, Brunner Routledge: Hove.</w:t>
      </w:r>
    </w:p>
    <w:p w14:paraId="2D766C2B" w14:textId="77777777" w:rsidR="00E516A2" w:rsidRPr="00E516A2" w:rsidRDefault="00E516A2" w:rsidP="00E516A2">
      <w:pPr>
        <w:pStyle w:val="EndNoteBibliography"/>
        <w:spacing w:after="0"/>
        <w:ind w:left="720" w:hanging="720"/>
        <w:rPr>
          <w:noProof/>
        </w:rPr>
      </w:pPr>
      <w:r w:rsidRPr="00E516A2">
        <w:rPr>
          <w:noProof/>
        </w:rPr>
        <w:t>151.</w:t>
      </w:r>
      <w:r w:rsidRPr="00E516A2">
        <w:rPr>
          <w:noProof/>
        </w:rPr>
        <w:tab/>
        <w:t xml:space="preserve">Marks, L., et al., </w:t>
      </w:r>
      <w:r w:rsidRPr="00E516A2">
        <w:rPr>
          <w:i/>
          <w:noProof/>
        </w:rPr>
        <w:t>The return of public health to local government in England: changing the parameters of the public health prioritization debate?</w:t>
      </w:r>
      <w:r w:rsidRPr="00E516A2">
        <w:rPr>
          <w:noProof/>
        </w:rPr>
        <w:t xml:space="preserve"> Public health, 2015. </w:t>
      </w:r>
      <w:r w:rsidRPr="00E516A2">
        <w:rPr>
          <w:b/>
          <w:noProof/>
        </w:rPr>
        <w:t>129</w:t>
      </w:r>
      <w:r w:rsidRPr="00E516A2">
        <w:rPr>
          <w:noProof/>
        </w:rPr>
        <w:t>(9): p. 1194-1203.</w:t>
      </w:r>
    </w:p>
    <w:p w14:paraId="4DF5ABCC" w14:textId="77777777" w:rsidR="00E516A2" w:rsidRPr="00E516A2" w:rsidRDefault="00E516A2" w:rsidP="00E516A2">
      <w:pPr>
        <w:pStyle w:val="EndNoteBibliography"/>
        <w:spacing w:after="0"/>
        <w:ind w:left="720" w:hanging="720"/>
        <w:rPr>
          <w:noProof/>
        </w:rPr>
      </w:pPr>
      <w:r w:rsidRPr="00E516A2">
        <w:rPr>
          <w:noProof/>
        </w:rPr>
        <w:t>152.</w:t>
      </w:r>
      <w:r w:rsidRPr="00E516A2">
        <w:rPr>
          <w:noProof/>
        </w:rPr>
        <w:tab/>
        <w:t xml:space="preserve">South, J., D. Hunter, and M. Gamsu, </w:t>
      </w:r>
      <w:r w:rsidRPr="00E516A2">
        <w:rPr>
          <w:i/>
          <w:noProof/>
        </w:rPr>
        <w:t>Need to Know Review Number two: What Local Government Needs to Know about Public Health.</w:t>
      </w:r>
      <w:r w:rsidRPr="00E516A2">
        <w:rPr>
          <w:noProof/>
        </w:rPr>
        <w:t xml:space="preserve"> 2014.</w:t>
      </w:r>
    </w:p>
    <w:p w14:paraId="7132A132" w14:textId="77777777" w:rsidR="00E516A2" w:rsidRPr="00E516A2" w:rsidRDefault="00E516A2" w:rsidP="00E516A2">
      <w:pPr>
        <w:pStyle w:val="EndNoteBibliography"/>
        <w:spacing w:after="0"/>
        <w:ind w:left="720" w:hanging="720"/>
        <w:rPr>
          <w:noProof/>
        </w:rPr>
      </w:pPr>
      <w:r w:rsidRPr="00E516A2">
        <w:rPr>
          <w:noProof/>
        </w:rPr>
        <w:t>153.</w:t>
      </w:r>
      <w:r w:rsidRPr="00E516A2">
        <w:rPr>
          <w:noProof/>
        </w:rPr>
        <w:tab/>
        <w:t xml:space="preserve">Papaioannou, D., et al., </w:t>
      </w:r>
      <w:r w:rsidRPr="00E516A2">
        <w:rPr>
          <w:i/>
          <w:noProof/>
        </w:rPr>
        <w:t>Literature searching for social science systematic reviews: consideration of a range of search techniques.</w:t>
      </w:r>
      <w:r w:rsidRPr="00E516A2">
        <w:rPr>
          <w:noProof/>
        </w:rPr>
        <w:t xml:space="preserve"> Health Information &amp; Libraries Journal, 2010. </w:t>
      </w:r>
      <w:r w:rsidRPr="00E516A2">
        <w:rPr>
          <w:b/>
          <w:noProof/>
        </w:rPr>
        <w:t>27</w:t>
      </w:r>
      <w:r w:rsidRPr="00E516A2">
        <w:rPr>
          <w:noProof/>
        </w:rPr>
        <w:t>(2): p. 114-122.</w:t>
      </w:r>
    </w:p>
    <w:p w14:paraId="5BF8213D" w14:textId="77777777" w:rsidR="00E516A2" w:rsidRPr="00E516A2" w:rsidRDefault="00E516A2" w:rsidP="00E516A2">
      <w:pPr>
        <w:pStyle w:val="EndNoteBibliography"/>
        <w:spacing w:after="0"/>
        <w:ind w:left="720" w:hanging="720"/>
        <w:rPr>
          <w:noProof/>
        </w:rPr>
      </w:pPr>
      <w:r w:rsidRPr="00E516A2">
        <w:rPr>
          <w:noProof/>
        </w:rPr>
        <w:t>154.</w:t>
      </w:r>
      <w:r w:rsidRPr="00E516A2">
        <w:rPr>
          <w:noProof/>
        </w:rPr>
        <w:tab/>
        <w:t xml:space="preserve">Nutbeam, D., </w:t>
      </w:r>
      <w:r w:rsidRPr="00E516A2">
        <w:rPr>
          <w:i/>
          <w:noProof/>
        </w:rPr>
        <w:t>Health promotion glossary1.</w:t>
      </w:r>
      <w:r w:rsidRPr="00E516A2">
        <w:rPr>
          <w:noProof/>
        </w:rPr>
        <w:t xml:space="preserve"> Health promotion international, 1998. </w:t>
      </w:r>
      <w:r w:rsidRPr="00E516A2">
        <w:rPr>
          <w:b/>
          <w:noProof/>
        </w:rPr>
        <w:t>13</w:t>
      </w:r>
      <w:r w:rsidRPr="00E516A2">
        <w:rPr>
          <w:noProof/>
        </w:rPr>
        <w:t>(4).</w:t>
      </w:r>
    </w:p>
    <w:p w14:paraId="1ECB5B20" w14:textId="77777777" w:rsidR="00E516A2" w:rsidRPr="00E516A2" w:rsidRDefault="00E516A2" w:rsidP="00E516A2">
      <w:pPr>
        <w:pStyle w:val="EndNoteBibliography"/>
        <w:spacing w:after="0"/>
        <w:ind w:left="720" w:hanging="720"/>
        <w:rPr>
          <w:noProof/>
        </w:rPr>
      </w:pPr>
      <w:r w:rsidRPr="00E516A2">
        <w:rPr>
          <w:noProof/>
        </w:rPr>
        <w:t>155.</w:t>
      </w:r>
      <w:r w:rsidRPr="00E516A2">
        <w:rPr>
          <w:noProof/>
        </w:rPr>
        <w:tab/>
        <w:t xml:space="preserve">Joyce, K., et al., </w:t>
      </w:r>
      <w:r w:rsidRPr="00E516A2">
        <w:rPr>
          <w:i/>
          <w:noProof/>
        </w:rPr>
        <w:t>Flexible working conditions and their effects on employee health and wellbeing.</w:t>
      </w:r>
      <w:r w:rsidRPr="00E516A2">
        <w:rPr>
          <w:noProof/>
        </w:rPr>
        <w:t xml:space="preserve"> Cochrane Database Syst Rev, 2010. </w:t>
      </w:r>
      <w:r w:rsidRPr="00E516A2">
        <w:rPr>
          <w:b/>
          <w:noProof/>
        </w:rPr>
        <w:t>2</w:t>
      </w:r>
      <w:r w:rsidRPr="00E516A2">
        <w:rPr>
          <w:noProof/>
        </w:rPr>
        <w:t>.</w:t>
      </w:r>
    </w:p>
    <w:p w14:paraId="0A7B8494" w14:textId="77777777" w:rsidR="00E516A2" w:rsidRPr="00E516A2" w:rsidRDefault="00E516A2" w:rsidP="00E516A2">
      <w:pPr>
        <w:pStyle w:val="EndNoteBibliography"/>
        <w:spacing w:after="0"/>
        <w:ind w:left="720" w:hanging="720"/>
        <w:rPr>
          <w:noProof/>
        </w:rPr>
      </w:pPr>
      <w:r w:rsidRPr="00E516A2">
        <w:rPr>
          <w:noProof/>
        </w:rPr>
        <w:t>156.</w:t>
      </w:r>
      <w:r w:rsidRPr="00E516A2">
        <w:rPr>
          <w:noProof/>
        </w:rPr>
        <w:tab/>
        <w:t xml:space="preserve">Wahlster, P., et al., </w:t>
      </w:r>
      <w:r w:rsidRPr="00E516A2">
        <w:rPr>
          <w:i/>
          <w:noProof/>
        </w:rPr>
        <w:t>Balancing costs and benefits at different stages of medical innovation: a systematic review of Multi-criteria decision analysis (MCDA).</w:t>
      </w:r>
      <w:r w:rsidRPr="00E516A2">
        <w:rPr>
          <w:noProof/>
        </w:rPr>
        <w:t xml:space="preserve"> BMC health services research, 2015. </w:t>
      </w:r>
      <w:r w:rsidRPr="00E516A2">
        <w:rPr>
          <w:b/>
          <w:noProof/>
        </w:rPr>
        <w:t>15</w:t>
      </w:r>
      <w:r w:rsidRPr="00E516A2">
        <w:rPr>
          <w:noProof/>
        </w:rPr>
        <w:t>(1): p. 1.</w:t>
      </w:r>
    </w:p>
    <w:p w14:paraId="0982B520" w14:textId="77777777" w:rsidR="00E516A2" w:rsidRPr="00E516A2" w:rsidRDefault="00E516A2" w:rsidP="00E516A2">
      <w:pPr>
        <w:pStyle w:val="EndNoteBibliography"/>
        <w:spacing w:after="0"/>
        <w:ind w:left="720" w:hanging="720"/>
        <w:rPr>
          <w:noProof/>
        </w:rPr>
      </w:pPr>
      <w:r w:rsidRPr="00E516A2">
        <w:rPr>
          <w:noProof/>
        </w:rPr>
        <w:t>157.</w:t>
      </w:r>
      <w:r w:rsidRPr="00E516A2">
        <w:rPr>
          <w:noProof/>
        </w:rPr>
        <w:tab/>
        <w:t xml:space="preserve">Borsuk, M.E., et al., </w:t>
      </w:r>
      <w:r w:rsidRPr="00E516A2">
        <w:rPr>
          <w:i/>
          <w:noProof/>
        </w:rPr>
        <w:t>Charting a path for innovative toilet technology using multicriteria decision analysis.</w:t>
      </w:r>
      <w:r w:rsidRPr="00E516A2">
        <w:rPr>
          <w:noProof/>
        </w:rPr>
        <w:t xml:space="preserve"> Environ Sci Technol, 2008. </w:t>
      </w:r>
      <w:r w:rsidRPr="00E516A2">
        <w:rPr>
          <w:b/>
          <w:noProof/>
        </w:rPr>
        <w:t>42</w:t>
      </w:r>
      <w:r w:rsidRPr="00E516A2">
        <w:rPr>
          <w:noProof/>
        </w:rPr>
        <w:t>(6): p. 1855-62.</w:t>
      </w:r>
    </w:p>
    <w:p w14:paraId="3E3BB520" w14:textId="77777777" w:rsidR="00E516A2" w:rsidRPr="00E516A2" w:rsidRDefault="00E516A2" w:rsidP="00E516A2">
      <w:pPr>
        <w:pStyle w:val="EndNoteBibliography"/>
        <w:spacing w:after="0"/>
        <w:ind w:left="720" w:hanging="720"/>
        <w:rPr>
          <w:noProof/>
        </w:rPr>
      </w:pPr>
      <w:r w:rsidRPr="00E516A2">
        <w:rPr>
          <w:noProof/>
        </w:rPr>
        <w:t>158.</w:t>
      </w:r>
      <w:r w:rsidRPr="00E516A2">
        <w:rPr>
          <w:noProof/>
        </w:rPr>
        <w:tab/>
        <w:t xml:space="preserve">Lim, M.C., et al., </w:t>
      </w:r>
      <w:r w:rsidRPr="00E516A2">
        <w:rPr>
          <w:i/>
          <w:noProof/>
        </w:rPr>
        <w:t>A comparative study of the elemental composition of the exhaust emissions of cars powered by liquefied petroleum gas and unleaded petrol.</w:t>
      </w:r>
      <w:r w:rsidRPr="00E516A2">
        <w:rPr>
          <w:noProof/>
        </w:rPr>
        <w:t xml:space="preserve"> Atmospheric Environment, 2006. </w:t>
      </w:r>
      <w:r w:rsidRPr="00E516A2">
        <w:rPr>
          <w:b/>
          <w:noProof/>
        </w:rPr>
        <w:t>40</w:t>
      </w:r>
      <w:r w:rsidRPr="00E516A2">
        <w:rPr>
          <w:noProof/>
        </w:rPr>
        <w:t>(17): p. 3111-3122.</w:t>
      </w:r>
    </w:p>
    <w:p w14:paraId="5C5526EB" w14:textId="77777777" w:rsidR="00E516A2" w:rsidRPr="00E516A2" w:rsidRDefault="00E516A2" w:rsidP="00E516A2">
      <w:pPr>
        <w:pStyle w:val="EndNoteBibliography"/>
        <w:spacing w:after="0"/>
        <w:ind w:left="720" w:hanging="720"/>
        <w:rPr>
          <w:noProof/>
        </w:rPr>
      </w:pPr>
      <w:r w:rsidRPr="00E516A2">
        <w:rPr>
          <w:noProof/>
        </w:rPr>
        <w:t>159.</w:t>
      </w:r>
      <w:r w:rsidRPr="00E516A2">
        <w:rPr>
          <w:noProof/>
        </w:rPr>
        <w:tab/>
        <w:t xml:space="preserve">Vasconcelos, A.G., R. Almeida, and F.F. Nobre, </w:t>
      </w:r>
      <w:r w:rsidRPr="00E516A2">
        <w:rPr>
          <w:i/>
          <w:noProof/>
        </w:rPr>
        <w:t>Path analysis and multi-criteria decision making: an approach for multivariate model selection and analysis in health.</w:t>
      </w:r>
      <w:r w:rsidRPr="00E516A2">
        <w:rPr>
          <w:noProof/>
        </w:rPr>
        <w:t xml:space="preserve"> Annals of epidemiology, 2001. </w:t>
      </w:r>
      <w:r w:rsidRPr="00E516A2">
        <w:rPr>
          <w:b/>
          <w:noProof/>
        </w:rPr>
        <w:t>11</w:t>
      </w:r>
      <w:r w:rsidRPr="00E516A2">
        <w:rPr>
          <w:noProof/>
        </w:rPr>
        <w:t>(6): p. 377-384.</w:t>
      </w:r>
    </w:p>
    <w:p w14:paraId="0DEF094A" w14:textId="77777777" w:rsidR="00E516A2" w:rsidRPr="00E516A2" w:rsidRDefault="00E516A2" w:rsidP="00E516A2">
      <w:pPr>
        <w:pStyle w:val="EndNoteBibliography"/>
        <w:spacing w:after="0"/>
        <w:ind w:left="720" w:hanging="720"/>
        <w:rPr>
          <w:noProof/>
        </w:rPr>
      </w:pPr>
      <w:r w:rsidRPr="00E516A2">
        <w:rPr>
          <w:noProof/>
        </w:rPr>
        <w:t>160.</w:t>
      </w:r>
      <w:r w:rsidRPr="00E516A2">
        <w:rPr>
          <w:noProof/>
        </w:rPr>
        <w:tab/>
        <w:t xml:space="preserve">Mourits, M., M. Van Asseldonk, and R. Huirne, </w:t>
      </w:r>
      <w:r w:rsidRPr="00E516A2">
        <w:rPr>
          <w:i/>
          <w:noProof/>
        </w:rPr>
        <w:t>Multi Criteria Decision Making to evaluate control strategies of contagious animal diseases.</w:t>
      </w:r>
      <w:r w:rsidRPr="00E516A2">
        <w:rPr>
          <w:noProof/>
        </w:rPr>
        <w:t xml:space="preserve"> Preventive veterinary medicine, 2010. </w:t>
      </w:r>
      <w:r w:rsidRPr="00E516A2">
        <w:rPr>
          <w:b/>
          <w:noProof/>
        </w:rPr>
        <w:t>96</w:t>
      </w:r>
      <w:r w:rsidRPr="00E516A2">
        <w:rPr>
          <w:noProof/>
        </w:rPr>
        <w:t>(3): p. 201-210.</w:t>
      </w:r>
    </w:p>
    <w:p w14:paraId="1B0879DD" w14:textId="77777777" w:rsidR="00E516A2" w:rsidRPr="00E516A2" w:rsidRDefault="00E516A2" w:rsidP="00E516A2">
      <w:pPr>
        <w:pStyle w:val="EndNoteBibliography"/>
        <w:spacing w:after="0"/>
        <w:ind w:left="720" w:hanging="720"/>
        <w:rPr>
          <w:noProof/>
        </w:rPr>
      </w:pPr>
      <w:r w:rsidRPr="00E516A2">
        <w:rPr>
          <w:noProof/>
        </w:rPr>
        <w:t>161.</w:t>
      </w:r>
      <w:r w:rsidRPr="00E516A2">
        <w:rPr>
          <w:noProof/>
        </w:rPr>
        <w:tab/>
        <w:t xml:space="preserve">Mooney, G., </w:t>
      </w:r>
      <w:r w:rsidRPr="00E516A2">
        <w:rPr>
          <w:i/>
          <w:noProof/>
        </w:rPr>
        <w:t>Communitarian claims and community capabilities: furthering priority setting?</w:t>
      </w:r>
      <w:r w:rsidRPr="00E516A2">
        <w:rPr>
          <w:noProof/>
        </w:rPr>
        <w:t xml:space="preserve"> Social Science &amp; Medicine, 2005. </w:t>
      </w:r>
      <w:r w:rsidRPr="00E516A2">
        <w:rPr>
          <w:b/>
          <w:noProof/>
        </w:rPr>
        <w:t>60</w:t>
      </w:r>
      <w:r w:rsidRPr="00E516A2">
        <w:rPr>
          <w:noProof/>
        </w:rPr>
        <w:t>(2): p. 247-255.</w:t>
      </w:r>
    </w:p>
    <w:p w14:paraId="1E664E3B" w14:textId="77777777" w:rsidR="00E516A2" w:rsidRPr="00E516A2" w:rsidRDefault="00E516A2" w:rsidP="00E516A2">
      <w:pPr>
        <w:pStyle w:val="EndNoteBibliography"/>
        <w:spacing w:after="0"/>
        <w:ind w:left="720" w:hanging="720"/>
        <w:rPr>
          <w:noProof/>
        </w:rPr>
      </w:pPr>
      <w:r w:rsidRPr="00E516A2">
        <w:rPr>
          <w:noProof/>
        </w:rPr>
        <w:t>162.</w:t>
      </w:r>
      <w:r w:rsidRPr="00E516A2">
        <w:rPr>
          <w:noProof/>
        </w:rPr>
        <w:tab/>
        <w:t xml:space="preserve">Mitton, C. and C. Donaldson, </w:t>
      </w:r>
      <w:r w:rsidRPr="00E516A2">
        <w:rPr>
          <w:i/>
          <w:noProof/>
        </w:rPr>
        <w:t>Resource allocation in health care: health economics and beyond.</w:t>
      </w:r>
      <w:r w:rsidRPr="00E516A2">
        <w:rPr>
          <w:noProof/>
        </w:rPr>
        <w:t xml:space="preserve"> Health Care Analysis, 2003. </w:t>
      </w:r>
      <w:r w:rsidRPr="00E516A2">
        <w:rPr>
          <w:b/>
          <w:noProof/>
        </w:rPr>
        <w:t>11</w:t>
      </w:r>
      <w:r w:rsidRPr="00E516A2">
        <w:rPr>
          <w:noProof/>
        </w:rPr>
        <w:t>(3): p. 245-257.</w:t>
      </w:r>
    </w:p>
    <w:p w14:paraId="39B05BF3" w14:textId="77777777" w:rsidR="00E516A2" w:rsidRPr="00E516A2" w:rsidRDefault="00E516A2" w:rsidP="00E516A2">
      <w:pPr>
        <w:pStyle w:val="EndNoteBibliography"/>
        <w:spacing w:after="0"/>
        <w:ind w:left="720" w:hanging="720"/>
        <w:rPr>
          <w:noProof/>
        </w:rPr>
      </w:pPr>
      <w:r w:rsidRPr="00E516A2">
        <w:rPr>
          <w:rFonts w:hint="eastAsia"/>
          <w:noProof/>
        </w:rPr>
        <w:t>163.</w:t>
      </w:r>
      <w:r w:rsidRPr="00E516A2">
        <w:rPr>
          <w:rFonts w:hint="eastAsia"/>
          <w:noProof/>
        </w:rPr>
        <w:tab/>
        <w:t xml:space="preserve">Nobre, F.F., L.T.F. Trotta, and L.F.A.M. Gomes, </w:t>
      </w:r>
      <w:r w:rsidRPr="00E516A2">
        <w:rPr>
          <w:rFonts w:hint="eastAsia"/>
          <w:i/>
          <w:noProof/>
        </w:rPr>
        <w:t>Multi</w:t>
      </w:r>
      <w:r w:rsidRPr="00E516A2">
        <w:rPr>
          <w:rFonts w:hint="eastAsia"/>
          <w:i/>
          <w:noProof/>
        </w:rPr>
        <w:t>‐</w:t>
      </w:r>
      <w:r w:rsidRPr="00E516A2">
        <w:rPr>
          <w:rFonts w:hint="eastAsia"/>
          <w:i/>
          <w:noProof/>
        </w:rPr>
        <w:t>criteria decision making</w:t>
      </w:r>
      <w:r w:rsidRPr="00E516A2">
        <w:rPr>
          <w:rFonts w:hint="eastAsia"/>
          <w:i/>
          <w:noProof/>
        </w:rPr>
        <w:t>–</w:t>
      </w:r>
      <w:r w:rsidRPr="00E516A2">
        <w:rPr>
          <w:rFonts w:hint="eastAsia"/>
          <w:i/>
          <w:noProof/>
        </w:rPr>
        <w:t xml:space="preserve"> an approach to setting priorities in health care.</w:t>
      </w:r>
      <w:r w:rsidRPr="00E516A2">
        <w:rPr>
          <w:rFonts w:hint="eastAsia"/>
          <w:noProof/>
        </w:rPr>
        <w:t xml:space="preserve"> Statistics in medicine, 1999. </w:t>
      </w:r>
      <w:r w:rsidRPr="00E516A2">
        <w:rPr>
          <w:rFonts w:hint="eastAsia"/>
          <w:b/>
          <w:noProof/>
        </w:rPr>
        <w:t>18</w:t>
      </w:r>
      <w:r w:rsidRPr="00E516A2">
        <w:rPr>
          <w:rFonts w:hint="eastAsia"/>
          <w:noProof/>
        </w:rPr>
        <w:t>(23): p. 334</w:t>
      </w:r>
      <w:r w:rsidRPr="00E516A2">
        <w:rPr>
          <w:noProof/>
        </w:rPr>
        <w:t>5-3354.</w:t>
      </w:r>
    </w:p>
    <w:p w14:paraId="314AC556" w14:textId="77777777" w:rsidR="00E516A2" w:rsidRPr="00E516A2" w:rsidRDefault="00E516A2" w:rsidP="00E516A2">
      <w:pPr>
        <w:pStyle w:val="EndNoteBibliography"/>
        <w:spacing w:after="0"/>
        <w:ind w:left="720" w:hanging="720"/>
        <w:rPr>
          <w:noProof/>
        </w:rPr>
      </w:pPr>
      <w:r w:rsidRPr="00E516A2">
        <w:rPr>
          <w:noProof/>
        </w:rPr>
        <w:t>164.</w:t>
      </w:r>
      <w:r w:rsidRPr="00E516A2">
        <w:rPr>
          <w:noProof/>
        </w:rPr>
        <w:tab/>
        <w:t xml:space="preserve">Vahidnia, M.A., AA; Alimohammadi, A, </w:t>
      </w:r>
      <w:r w:rsidRPr="00E516A2">
        <w:rPr>
          <w:i/>
          <w:noProof/>
        </w:rPr>
        <w:t>Hospital site selection using fuzzy AHP and its derivatives. .</w:t>
      </w:r>
      <w:r w:rsidRPr="00E516A2">
        <w:rPr>
          <w:noProof/>
        </w:rPr>
        <w:t xml:space="preserve"> Journal of Environmental Management, 2009. </w:t>
      </w:r>
      <w:r w:rsidRPr="00E516A2">
        <w:rPr>
          <w:b/>
          <w:noProof/>
        </w:rPr>
        <w:t>90</w:t>
      </w:r>
      <w:r w:rsidRPr="00E516A2">
        <w:rPr>
          <w:noProof/>
        </w:rPr>
        <w:t xml:space="preserve">(10): p. 3048-3056 </w:t>
      </w:r>
    </w:p>
    <w:p w14:paraId="7463DB37" w14:textId="77777777" w:rsidR="00E516A2" w:rsidRPr="00E516A2" w:rsidRDefault="00E516A2" w:rsidP="00E516A2">
      <w:pPr>
        <w:pStyle w:val="EndNoteBibliography"/>
        <w:spacing w:after="0"/>
        <w:ind w:left="720" w:hanging="720"/>
        <w:rPr>
          <w:noProof/>
        </w:rPr>
      </w:pPr>
      <w:r w:rsidRPr="00E516A2">
        <w:rPr>
          <w:noProof/>
        </w:rPr>
        <w:t>165.</w:t>
      </w:r>
      <w:r w:rsidRPr="00E516A2">
        <w:rPr>
          <w:noProof/>
        </w:rPr>
        <w:tab/>
        <w:t xml:space="preserve">Baltussen, R., et al., </w:t>
      </w:r>
      <w:r w:rsidRPr="00E516A2">
        <w:rPr>
          <w:i/>
          <w:noProof/>
        </w:rPr>
        <w:t>Multi-criteria decision analysis to prioritize health interventions: Capitalizing on first experiences.</w:t>
      </w:r>
      <w:r w:rsidRPr="00E516A2">
        <w:rPr>
          <w:noProof/>
        </w:rPr>
        <w:t xml:space="preserve"> Health Policy, 2010. </w:t>
      </w:r>
      <w:r w:rsidRPr="00E516A2">
        <w:rPr>
          <w:b/>
          <w:noProof/>
        </w:rPr>
        <w:t>96</w:t>
      </w:r>
      <w:r w:rsidRPr="00E516A2">
        <w:rPr>
          <w:noProof/>
        </w:rPr>
        <w:t>(3): p. 262-264.</w:t>
      </w:r>
    </w:p>
    <w:p w14:paraId="35565EE5" w14:textId="77777777" w:rsidR="00E516A2" w:rsidRPr="00E516A2" w:rsidRDefault="00E516A2" w:rsidP="00E516A2">
      <w:pPr>
        <w:pStyle w:val="EndNoteBibliography"/>
        <w:spacing w:after="0"/>
        <w:ind w:left="720" w:hanging="720"/>
        <w:rPr>
          <w:noProof/>
        </w:rPr>
      </w:pPr>
      <w:r w:rsidRPr="00E516A2">
        <w:rPr>
          <w:noProof/>
        </w:rPr>
        <w:t>166.</w:t>
      </w:r>
      <w:r w:rsidRPr="00E516A2">
        <w:rPr>
          <w:noProof/>
        </w:rPr>
        <w:tab/>
        <w:t xml:space="preserve">Morgan A, E.S., Field J, Owen L, Jones D, Minchin M, McArthur C, Doohan E, Hodgson G, Pickard L. . 2011, NICE.*, </w:t>
      </w:r>
      <w:r w:rsidRPr="00E516A2">
        <w:rPr>
          <w:i/>
          <w:noProof/>
        </w:rPr>
        <w:t>Supporting investment in public health: Review of methods for assessing cost effectiveness, cost impact and return on investment</w:t>
      </w:r>
      <w:r w:rsidRPr="00E516A2">
        <w:rPr>
          <w:noProof/>
        </w:rPr>
        <w:t>. 2011, NICE: London.</w:t>
      </w:r>
    </w:p>
    <w:p w14:paraId="76C7B960" w14:textId="77777777" w:rsidR="00E516A2" w:rsidRPr="00E516A2" w:rsidRDefault="00E516A2" w:rsidP="00E516A2">
      <w:pPr>
        <w:pStyle w:val="EndNoteBibliography"/>
        <w:spacing w:after="0"/>
        <w:ind w:left="720" w:hanging="720"/>
        <w:rPr>
          <w:noProof/>
        </w:rPr>
      </w:pPr>
      <w:r w:rsidRPr="00E516A2">
        <w:rPr>
          <w:noProof/>
        </w:rPr>
        <w:t>167.</w:t>
      </w:r>
      <w:r w:rsidRPr="00E516A2">
        <w:rPr>
          <w:noProof/>
        </w:rPr>
        <w:tab/>
        <w:t xml:space="preserve">Marsh, K., et al., </w:t>
      </w:r>
      <w:r w:rsidRPr="00E516A2">
        <w:rPr>
          <w:i/>
          <w:noProof/>
        </w:rPr>
        <w:t>Prioritizing investments in public health: a multi-criteria decision analysis.</w:t>
      </w:r>
      <w:r w:rsidRPr="00E516A2">
        <w:rPr>
          <w:noProof/>
        </w:rPr>
        <w:t xml:space="preserve"> Journal of public health, 2013. </w:t>
      </w:r>
      <w:r w:rsidRPr="00E516A2">
        <w:rPr>
          <w:b/>
          <w:noProof/>
        </w:rPr>
        <w:t>35</w:t>
      </w:r>
      <w:r w:rsidRPr="00E516A2">
        <w:rPr>
          <w:noProof/>
        </w:rPr>
        <w:t>(3): p. 460-466.</w:t>
      </w:r>
    </w:p>
    <w:p w14:paraId="3E17D742" w14:textId="77777777" w:rsidR="00E516A2" w:rsidRPr="00E516A2" w:rsidRDefault="00E516A2" w:rsidP="00E516A2">
      <w:pPr>
        <w:pStyle w:val="EndNoteBibliography"/>
        <w:spacing w:after="0"/>
        <w:ind w:left="720" w:hanging="720"/>
        <w:rPr>
          <w:noProof/>
        </w:rPr>
      </w:pPr>
      <w:r w:rsidRPr="00E516A2">
        <w:rPr>
          <w:noProof/>
        </w:rPr>
        <w:t>168.</w:t>
      </w:r>
      <w:r w:rsidRPr="00E516A2">
        <w:rPr>
          <w:noProof/>
        </w:rPr>
        <w:tab/>
        <w:t xml:space="preserve">Matrix Insight, </w:t>
      </w:r>
      <w:r w:rsidRPr="00E516A2">
        <w:rPr>
          <w:i/>
          <w:noProof/>
        </w:rPr>
        <w:t>Prioritising investments in preventative health.</w:t>
      </w:r>
      <w:r w:rsidRPr="00E516A2">
        <w:rPr>
          <w:noProof/>
        </w:rPr>
        <w:t xml:space="preserve"> Health England, 2009.</w:t>
      </w:r>
    </w:p>
    <w:p w14:paraId="3C1BCCB3" w14:textId="77777777" w:rsidR="00E516A2" w:rsidRPr="00E516A2" w:rsidRDefault="00E516A2" w:rsidP="00E516A2">
      <w:pPr>
        <w:pStyle w:val="EndNoteBibliography"/>
        <w:spacing w:after="0"/>
        <w:ind w:left="720" w:hanging="720"/>
        <w:rPr>
          <w:noProof/>
        </w:rPr>
      </w:pPr>
      <w:r w:rsidRPr="00E516A2">
        <w:rPr>
          <w:noProof/>
        </w:rPr>
        <w:t>169.</w:t>
      </w:r>
      <w:r w:rsidRPr="00E516A2">
        <w:rPr>
          <w:noProof/>
        </w:rPr>
        <w:tab/>
        <w:t xml:space="preserve">Van Gennip, C., J. Hulshof, and F. Lootsma, </w:t>
      </w:r>
      <w:r w:rsidRPr="00E516A2">
        <w:rPr>
          <w:i/>
          <w:noProof/>
        </w:rPr>
        <w:t>A multi-criteria evaluation of diseases in a study for public-health planning.</w:t>
      </w:r>
      <w:r w:rsidRPr="00E516A2">
        <w:rPr>
          <w:noProof/>
        </w:rPr>
        <w:t xml:space="preserve"> European Journal of Operational Research, 1997. </w:t>
      </w:r>
      <w:r w:rsidRPr="00E516A2">
        <w:rPr>
          <w:b/>
          <w:noProof/>
        </w:rPr>
        <w:t>99</w:t>
      </w:r>
      <w:r w:rsidRPr="00E516A2">
        <w:rPr>
          <w:noProof/>
        </w:rPr>
        <w:t>(2): p. 236-240.</w:t>
      </w:r>
    </w:p>
    <w:p w14:paraId="48B9B0DF" w14:textId="77777777" w:rsidR="00E516A2" w:rsidRPr="00E516A2" w:rsidRDefault="00E516A2" w:rsidP="00E516A2">
      <w:pPr>
        <w:pStyle w:val="EndNoteBibliography"/>
        <w:spacing w:after="0"/>
        <w:ind w:left="720" w:hanging="720"/>
        <w:rPr>
          <w:noProof/>
        </w:rPr>
      </w:pPr>
      <w:r w:rsidRPr="00E516A2">
        <w:rPr>
          <w:noProof/>
        </w:rPr>
        <w:t>170.</w:t>
      </w:r>
      <w:r w:rsidRPr="00E516A2">
        <w:rPr>
          <w:noProof/>
        </w:rPr>
        <w:tab/>
        <w:t xml:space="preserve">Matrix Evidence, </w:t>
      </w:r>
      <w:r w:rsidRPr="00E516A2">
        <w:rPr>
          <w:i/>
          <w:noProof/>
        </w:rPr>
        <w:t>Valuing Health: developing a business case for health improvement - Final report.</w:t>
      </w:r>
      <w:r w:rsidRPr="00E516A2">
        <w:rPr>
          <w:noProof/>
        </w:rPr>
        <w:t xml:space="preserve"> 2009, Improvement and Development Agency.</w:t>
      </w:r>
    </w:p>
    <w:p w14:paraId="05E91C52" w14:textId="77777777" w:rsidR="00E516A2" w:rsidRPr="00E516A2" w:rsidRDefault="00E516A2" w:rsidP="00E516A2">
      <w:pPr>
        <w:pStyle w:val="EndNoteBibliography"/>
        <w:spacing w:after="0"/>
        <w:ind w:left="720" w:hanging="720"/>
        <w:rPr>
          <w:noProof/>
        </w:rPr>
      </w:pPr>
      <w:r w:rsidRPr="00E516A2">
        <w:rPr>
          <w:noProof/>
        </w:rPr>
        <w:t>171.</w:t>
      </w:r>
      <w:r w:rsidRPr="00E516A2">
        <w:rPr>
          <w:noProof/>
        </w:rPr>
        <w:tab/>
        <w:t xml:space="preserve">Matrix Insight, </w:t>
      </w:r>
      <w:r w:rsidRPr="00E516A2">
        <w:rPr>
          <w:i/>
          <w:noProof/>
        </w:rPr>
        <w:t>Business Case for Health and Wellbeing Pilot Programme - Final report</w:t>
      </w:r>
      <w:r w:rsidRPr="00E516A2">
        <w:rPr>
          <w:noProof/>
        </w:rPr>
        <w:t>. 2011, Local Government Association.</w:t>
      </w:r>
    </w:p>
    <w:p w14:paraId="492715FD" w14:textId="77777777" w:rsidR="00E516A2" w:rsidRPr="00E516A2" w:rsidRDefault="00E516A2" w:rsidP="00E516A2">
      <w:pPr>
        <w:pStyle w:val="EndNoteBibliography"/>
        <w:spacing w:after="0"/>
        <w:ind w:left="720" w:hanging="720"/>
        <w:rPr>
          <w:noProof/>
        </w:rPr>
      </w:pPr>
      <w:r w:rsidRPr="00E516A2">
        <w:rPr>
          <w:noProof/>
        </w:rPr>
        <w:t>172.</w:t>
      </w:r>
      <w:r w:rsidRPr="00E516A2">
        <w:rPr>
          <w:noProof/>
        </w:rPr>
        <w:tab/>
        <w:t xml:space="preserve">Nutt, D.J., L.A. King, and L.D. Phillips, </w:t>
      </w:r>
      <w:r w:rsidRPr="00E516A2">
        <w:rPr>
          <w:i/>
          <w:noProof/>
        </w:rPr>
        <w:t>Drug harms in the UK: a multicriteria decision analysis.</w:t>
      </w:r>
      <w:r w:rsidRPr="00E516A2">
        <w:rPr>
          <w:noProof/>
        </w:rPr>
        <w:t xml:space="preserve"> The Lancet, 2010. </w:t>
      </w:r>
      <w:r w:rsidRPr="00E516A2">
        <w:rPr>
          <w:b/>
          <w:noProof/>
        </w:rPr>
        <w:t>376</w:t>
      </w:r>
      <w:r w:rsidRPr="00E516A2">
        <w:rPr>
          <w:noProof/>
        </w:rPr>
        <w:t>(9752): p. 1558-1565.</w:t>
      </w:r>
    </w:p>
    <w:p w14:paraId="3C814A98" w14:textId="77777777" w:rsidR="00E516A2" w:rsidRPr="00E516A2" w:rsidRDefault="00E516A2" w:rsidP="00E516A2">
      <w:pPr>
        <w:pStyle w:val="EndNoteBibliography"/>
        <w:spacing w:after="0"/>
        <w:ind w:left="720" w:hanging="720"/>
        <w:rPr>
          <w:noProof/>
        </w:rPr>
      </w:pPr>
      <w:r w:rsidRPr="00E516A2">
        <w:rPr>
          <w:noProof/>
        </w:rPr>
        <w:t>173.</w:t>
      </w:r>
      <w:r w:rsidRPr="00E516A2">
        <w:rPr>
          <w:noProof/>
        </w:rPr>
        <w:tab/>
        <w:t xml:space="preserve">Ruzante, J.M., et al., </w:t>
      </w:r>
      <w:r w:rsidRPr="00E516A2">
        <w:rPr>
          <w:i/>
          <w:noProof/>
        </w:rPr>
        <w:t>A multifactorial risk prioritization framework for foodborne pathogens.</w:t>
      </w:r>
      <w:r w:rsidRPr="00E516A2">
        <w:rPr>
          <w:noProof/>
        </w:rPr>
        <w:t xml:space="preserve"> Risk Analysis, 2010. </w:t>
      </w:r>
      <w:r w:rsidRPr="00E516A2">
        <w:rPr>
          <w:b/>
          <w:noProof/>
        </w:rPr>
        <w:t>30</w:t>
      </w:r>
      <w:r w:rsidRPr="00E516A2">
        <w:rPr>
          <w:noProof/>
        </w:rPr>
        <w:t>(5): p. 724-742.</w:t>
      </w:r>
    </w:p>
    <w:p w14:paraId="6942C831" w14:textId="77777777" w:rsidR="00E516A2" w:rsidRPr="00E516A2" w:rsidRDefault="00E516A2" w:rsidP="00E516A2">
      <w:pPr>
        <w:pStyle w:val="EndNoteBibliography"/>
        <w:spacing w:after="0"/>
        <w:ind w:left="720" w:hanging="720"/>
        <w:rPr>
          <w:noProof/>
        </w:rPr>
      </w:pPr>
      <w:r w:rsidRPr="00E516A2">
        <w:rPr>
          <w:noProof/>
        </w:rPr>
        <w:t>174.</w:t>
      </w:r>
      <w:r w:rsidRPr="00E516A2">
        <w:rPr>
          <w:noProof/>
        </w:rPr>
        <w:tab/>
        <w:t xml:space="preserve">Wilson, H. and S. Scott, </w:t>
      </w:r>
      <w:r w:rsidRPr="00E516A2">
        <w:rPr>
          <w:i/>
          <w:noProof/>
        </w:rPr>
        <w:t>PBMA—its role in the future purchasing arrangements for health care services.</w:t>
      </w:r>
      <w:r w:rsidRPr="00E516A2">
        <w:rPr>
          <w:noProof/>
        </w:rPr>
        <w:t xml:space="preserve"> Health policy, 1995. </w:t>
      </w:r>
      <w:r w:rsidRPr="00E516A2">
        <w:rPr>
          <w:b/>
          <w:noProof/>
        </w:rPr>
        <w:t>33</w:t>
      </w:r>
      <w:r w:rsidRPr="00E516A2">
        <w:rPr>
          <w:noProof/>
        </w:rPr>
        <w:t>(2): p. 157-160.</w:t>
      </w:r>
    </w:p>
    <w:p w14:paraId="05D0B370" w14:textId="77777777" w:rsidR="00E516A2" w:rsidRPr="00E516A2" w:rsidRDefault="00E516A2" w:rsidP="00E516A2">
      <w:pPr>
        <w:pStyle w:val="EndNoteBibliography"/>
        <w:spacing w:after="0"/>
        <w:ind w:left="720" w:hanging="720"/>
        <w:rPr>
          <w:noProof/>
        </w:rPr>
      </w:pPr>
      <w:r w:rsidRPr="00E516A2">
        <w:rPr>
          <w:noProof/>
        </w:rPr>
        <w:t>175.</w:t>
      </w:r>
      <w:r w:rsidRPr="00E516A2">
        <w:rPr>
          <w:noProof/>
        </w:rPr>
        <w:tab/>
        <w:t xml:space="preserve">Donaldson, C., </w:t>
      </w:r>
      <w:r w:rsidRPr="00E516A2">
        <w:rPr>
          <w:i/>
          <w:noProof/>
        </w:rPr>
        <w:t>Economics, public health and health care purchasing: reinventing the wheel?</w:t>
      </w:r>
      <w:r w:rsidRPr="00E516A2">
        <w:rPr>
          <w:noProof/>
        </w:rPr>
        <w:t xml:space="preserve"> Health Policy, 1995. </w:t>
      </w:r>
      <w:r w:rsidRPr="00E516A2">
        <w:rPr>
          <w:b/>
          <w:noProof/>
        </w:rPr>
        <w:t>33</w:t>
      </w:r>
      <w:r w:rsidRPr="00E516A2">
        <w:rPr>
          <w:noProof/>
        </w:rPr>
        <w:t>(2): p. 79-90.</w:t>
      </w:r>
    </w:p>
    <w:p w14:paraId="27A009B5" w14:textId="77777777" w:rsidR="00E516A2" w:rsidRPr="00E516A2" w:rsidRDefault="00E516A2" w:rsidP="00E516A2">
      <w:pPr>
        <w:pStyle w:val="EndNoteBibliography"/>
        <w:spacing w:after="0"/>
        <w:ind w:left="720" w:hanging="720"/>
        <w:rPr>
          <w:noProof/>
        </w:rPr>
      </w:pPr>
      <w:r w:rsidRPr="00E516A2">
        <w:rPr>
          <w:noProof/>
        </w:rPr>
        <w:t>176.</w:t>
      </w:r>
      <w:r w:rsidRPr="00E516A2">
        <w:rPr>
          <w:noProof/>
        </w:rPr>
        <w:tab/>
        <w:t xml:space="preserve">Jan, S., </w:t>
      </w:r>
      <w:r w:rsidRPr="00E516A2">
        <w:rPr>
          <w:i/>
          <w:noProof/>
        </w:rPr>
        <w:t>Institutional considerations in priority setting: transactions cost perspective on PBMA.</w:t>
      </w:r>
      <w:r w:rsidRPr="00E516A2">
        <w:rPr>
          <w:noProof/>
        </w:rPr>
        <w:t xml:space="preserve"> Health Economics, 2000. </w:t>
      </w:r>
      <w:r w:rsidRPr="00E516A2">
        <w:rPr>
          <w:b/>
          <w:noProof/>
        </w:rPr>
        <w:t>9</w:t>
      </w:r>
      <w:r w:rsidRPr="00E516A2">
        <w:rPr>
          <w:noProof/>
        </w:rPr>
        <w:t>(7): p. 631-641.</w:t>
      </w:r>
    </w:p>
    <w:p w14:paraId="61612519" w14:textId="77777777" w:rsidR="00E516A2" w:rsidRPr="00E516A2" w:rsidRDefault="00E516A2" w:rsidP="00E516A2">
      <w:pPr>
        <w:pStyle w:val="EndNoteBibliography"/>
        <w:spacing w:after="0"/>
        <w:ind w:left="720" w:hanging="720"/>
        <w:rPr>
          <w:noProof/>
        </w:rPr>
      </w:pPr>
      <w:r w:rsidRPr="00E516A2">
        <w:rPr>
          <w:noProof/>
        </w:rPr>
        <w:t>177.</w:t>
      </w:r>
      <w:r w:rsidRPr="00E516A2">
        <w:rPr>
          <w:noProof/>
        </w:rPr>
        <w:tab/>
        <w:t xml:space="preserve">Twaddle, S. and A. Walker, </w:t>
      </w:r>
      <w:r w:rsidRPr="00E516A2">
        <w:rPr>
          <w:i/>
          <w:noProof/>
        </w:rPr>
        <w:t>Programme budgeting and marginal analysis: application within programmes to assist purchasing in Greater Glasgow Health Board.</w:t>
      </w:r>
      <w:r w:rsidRPr="00E516A2">
        <w:rPr>
          <w:noProof/>
        </w:rPr>
        <w:t xml:space="preserve"> Health Policy, 1995. </w:t>
      </w:r>
      <w:r w:rsidRPr="00E516A2">
        <w:rPr>
          <w:b/>
          <w:noProof/>
        </w:rPr>
        <w:t>33</w:t>
      </w:r>
      <w:r w:rsidRPr="00E516A2">
        <w:rPr>
          <w:noProof/>
        </w:rPr>
        <w:t>(2): p. 91-105.</w:t>
      </w:r>
    </w:p>
    <w:p w14:paraId="35FF2F15" w14:textId="77777777" w:rsidR="00E516A2" w:rsidRPr="00E516A2" w:rsidRDefault="00E516A2" w:rsidP="00E516A2">
      <w:pPr>
        <w:pStyle w:val="EndNoteBibliography"/>
        <w:spacing w:after="0"/>
        <w:ind w:left="720" w:hanging="720"/>
        <w:rPr>
          <w:noProof/>
        </w:rPr>
      </w:pPr>
      <w:r w:rsidRPr="00E516A2">
        <w:rPr>
          <w:noProof/>
        </w:rPr>
        <w:t>178.</w:t>
      </w:r>
      <w:r w:rsidRPr="00E516A2">
        <w:rPr>
          <w:noProof/>
        </w:rPr>
        <w:tab/>
        <w:t xml:space="preserve">Scott, A., N. Currie, and C. Donaldson, </w:t>
      </w:r>
      <w:r w:rsidRPr="00E516A2">
        <w:rPr>
          <w:i/>
          <w:noProof/>
        </w:rPr>
        <w:t>Evaluating innovation in general practice: a pragmatic framework using programme budgeting and marginal analysis.</w:t>
      </w:r>
      <w:r w:rsidRPr="00E516A2">
        <w:rPr>
          <w:noProof/>
        </w:rPr>
        <w:t xml:space="preserve"> Family Practice, 1998. </w:t>
      </w:r>
      <w:r w:rsidRPr="00E516A2">
        <w:rPr>
          <w:b/>
          <w:noProof/>
        </w:rPr>
        <w:t>15</w:t>
      </w:r>
      <w:r w:rsidRPr="00E516A2">
        <w:rPr>
          <w:noProof/>
        </w:rPr>
        <w:t>(3): p. 216-222.</w:t>
      </w:r>
    </w:p>
    <w:p w14:paraId="0F8ACB92" w14:textId="77777777" w:rsidR="00E516A2" w:rsidRPr="00E516A2" w:rsidRDefault="00E516A2" w:rsidP="00E516A2">
      <w:pPr>
        <w:pStyle w:val="EndNoteBibliography"/>
        <w:spacing w:after="0"/>
        <w:ind w:left="720" w:hanging="720"/>
        <w:rPr>
          <w:noProof/>
        </w:rPr>
      </w:pPr>
      <w:r w:rsidRPr="00E516A2">
        <w:rPr>
          <w:noProof/>
        </w:rPr>
        <w:t>179.</w:t>
      </w:r>
      <w:r w:rsidRPr="00E516A2">
        <w:rPr>
          <w:noProof/>
        </w:rPr>
        <w:tab/>
        <w:t xml:space="preserve">Bohmer, P., et al., </w:t>
      </w:r>
      <w:r w:rsidRPr="00E516A2">
        <w:rPr>
          <w:i/>
          <w:noProof/>
        </w:rPr>
        <w:t>Maximising health gain within available resources in the New Zealand public health system.</w:t>
      </w:r>
      <w:r w:rsidRPr="00E516A2">
        <w:rPr>
          <w:noProof/>
        </w:rPr>
        <w:t xml:space="preserve"> Health Policy, 2001. </w:t>
      </w:r>
      <w:r w:rsidRPr="00E516A2">
        <w:rPr>
          <w:b/>
          <w:noProof/>
        </w:rPr>
        <w:t>55</w:t>
      </w:r>
      <w:r w:rsidRPr="00E516A2">
        <w:rPr>
          <w:noProof/>
        </w:rPr>
        <w:t>(1): p. 37-50.</w:t>
      </w:r>
    </w:p>
    <w:p w14:paraId="3855CE13" w14:textId="77777777" w:rsidR="00E516A2" w:rsidRPr="00E516A2" w:rsidRDefault="00E516A2" w:rsidP="00E516A2">
      <w:pPr>
        <w:pStyle w:val="EndNoteBibliography"/>
        <w:spacing w:after="0"/>
        <w:ind w:left="720" w:hanging="720"/>
        <w:rPr>
          <w:noProof/>
        </w:rPr>
      </w:pPr>
      <w:r w:rsidRPr="00E516A2">
        <w:rPr>
          <w:noProof/>
        </w:rPr>
        <w:t>180.</w:t>
      </w:r>
      <w:r w:rsidRPr="00E516A2">
        <w:rPr>
          <w:noProof/>
        </w:rPr>
        <w:tab/>
        <w:t xml:space="preserve">Haas, M., et al., </w:t>
      </w:r>
      <w:r w:rsidRPr="00E516A2">
        <w:rPr>
          <w:i/>
          <w:noProof/>
        </w:rPr>
        <w:t>Using programme budgeting and marginal analysis to assist population based strategic planning for coronary heart disease.</w:t>
      </w:r>
      <w:r w:rsidRPr="00E516A2">
        <w:rPr>
          <w:noProof/>
        </w:rPr>
        <w:t xml:space="preserve"> Health Policy, 2001. </w:t>
      </w:r>
      <w:r w:rsidRPr="00E516A2">
        <w:rPr>
          <w:b/>
          <w:noProof/>
        </w:rPr>
        <w:t>55</w:t>
      </w:r>
      <w:r w:rsidRPr="00E516A2">
        <w:rPr>
          <w:noProof/>
        </w:rPr>
        <w:t>(3): p. 173-186.</w:t>
      </w:r>
    </w:p>
    <w:p w14:paraId="7D0B1B16" w14:textId="77777777" w:rsidR="00E516A2" w:rsidRPr="00E516A2" w:rsidRDefault="00E516A2" w:rsidP="00E516A2">
      <w:pPr>
        <w:pStyle w:val="EndNoteBibliography"/>
        <w:spacing w:after="0"/>
        <w:ind w:left="720" w:hanging="720"/>
        <w:rPr>
          <w:noProof/>
        </w:rPr>
      </w:pPr>
      <w:r w:rsidRPr="00E516A2">
        <w:rPr>
          <w:noProof/>
        </w:rPr>
        <w:t>181.</w:t>
      </w:r>
      <w:r w:rsidRPr="00E516A2">
        <w:rPr>
          <w:noProof/>
        </w:rPr>
        <w:tab/>
        <w:t xml:space="preserve">Higgins, J.P. and S. Green, </w:t>
      </w:r>
      <w:r w:rsidRPr="00E516A2">
        <w:rPr>
          <w:i/>
          <w:noProof/>
        </w:rPr>
        <w:t>Cochrane handbook for systematic reviews of interventions</w:t>
      </w:r>
      <w:r w:rsidRPr="00E516A2">
        <w:rPr>
          <w:noProof/>
        </w:rPr>
        <w:t>. Vol. 5. 2008: Wiley Online Library.</w:t>
      </w:r>
    </w:p>
    <w:p w14:paraId="1BD442FA" w14:textId="77777777" w:rsidR="00E516A2" w:rsidRPr="00E516A2" w:rsidRDefault="00E516A2" w:rsidP="00E516A2">
      <w:pPr>
        <w:pStyle w:val="EndNoteBibliography"/>
        <w:spacing w:after="0"/>
        <w:ind w:left="720" w:hanging="720"/>
        <w:rPr>
          <w:noProof/>
        </w:rPr>
      </w:pPr>
      <w:r w:rsidRPr="00E516A2">
        <w:rPr>
          <w:noProof/>
        </w:rPr>
        <w:t>182.</w:t>
      </w:r>
      <w:r w:rsidRPr="00E516A2">
        <w:rPr>
          <w:noProof/>
        </w:rPr>
        <w:tab/>
        <w:t xml:space="preserve">Fischer, A.P., C; Varney, J, </w:t>
      </w:r>
      <w:r w:rsidRPr="00E516A2">
        <w:rPr>
          <w:i/>
          <w:noProof/>
        </w:rPr>
        <w:t xml:space="preserve">Obesity – working with local communities economic modelling; Cost-effectiveness analysis in partnership working for reducing obesity and other long-term conditions. </w:t>
      </w:r>
      <w:r w:rsidRPr="00E516A2">
        <w:rPr>
          <w:noProof/>
        </w:rPr>
        <w:t xml:space="preserve">, in </w:t>
      </w:r>
      <w:r w:rsidRPr="00E516A2">
        <w:rPr>
          <w:i/>
          <w:noProof/>
        </w:rPr>
        <w:t>Obesity – working with local communities</w:t>
      </w:r>
      <w:r w:rsidRPr="00E516A2">
        <w:rPr>
          <w:noProof/>
        </w:rPr>
        <w:t>. 2012, National Institute for Health and Care Excellence.: London.</w:t>
      </w:r>
    </w:p>
    <w:p w14:paraId="01015E15" w14:textId="77777777" w:rsidR="00E516A2" w:rsidRPr="00E516A2" w:rsidRDefault="00E516A2" w:rsidP="00E516A2">
      <w:pPr>
        <w:pStyle w:val="EndNoteBibliography"/>
        <w:spacing w:after="0"/>
        <w:ind w:left="720" w:hanging="720"/>
        <w:rPr>
          <w:noProof/>
        </w:rPr>
      </w:pPr>
      <w:r w:rsidRPr="00E516A2">
        <w:rPr>
          <w:noProof/>
        </w:rPr>
        <w:t>183.</w:t>
      </w:r>
      <w:r w:rsidRPr="00E516A2">
        <w:rPr>
          <w:noProof/>
        </w:rPr>
        <w:tab/>
        <w:t xml:space="preserve">Dolan, J.G., et al., </w:t>
      </w:r>
      <w:r w:rsidRPr="00E516A2">
        <w:rPr>
          <w:i/>
          <w:noProof/>
        </w:rPr>
        <w:t>Can Streamlined Multicriteria Decision Analysis Be Used to Implement Shared Decision Making for Colorectal Cancer Screening?</w:t>
      </w:r>
      <w:r w:rsidRPr="00E516A2">
        <w:rPr>
          <w:noProof/>
        </w:rPr>
        <w:t xml:space="preserve"> Medical Decision Making, 2013: p. 0272989X13513338.</w:t>
      </w:r>
    </w:p>
    <w:p w14:paraId="6F47C22C" w14:textId="77777777" w:rsidR="00E516A2" w:rsidRPr="00E516A2" w:rsidRDefault="00E516A2" w:rsidP="00E516A2">
      <w:pPr>
        <w:pStyle w:val="EndNoteBibliography"/>
        <w:spacing w:after="0"/>
        <w:ind w:left="720" w:hanging="720"/>
        <w:rPr>
          <w:noProof/>
        </w:rPr>
      </w:pPr>
      <w:r w:rsidRPr="00E516A2">
        <w:rPr>
          <w:noProof/>
        </w:rPr>
        <w:t>184.</w:t>
      </w:r>
      <w:r w:rsidRPr="00E516A2">
        <w:rPr>
          <w:noProof/>
        </w:rPr>
        <w:tab/>
        <w:t xml:space="preserve">Tsourapas, A. and E. Frew, </w:t>
      </w:r>
      <w:r w:rsidRPr="00E516A2">
        <w:rPr>
          <w:i/>
          <w:noProof/>
        </w:rPr>
        <w:t>Evaluating ‘success’ in programme budgeting and marginal analysis: a literature review.</w:t>
      </w:r>
      <w:r w:rsidRPr="00E516A2">
        <w:rPr>
          <w:noProof/>
        </w:rPr>
        <w:t xml:space="preserve"> Journal of health services research &amp; policy, 2011. </w:t>
      </w:r>
      <w:r w:rsidRPr="00E516A2">
        <w:rPr>
          <w:b/>
          <w:noProof/>
        </w:rPr>
        <w:t>16</w:t>
      </w:r>
      <w:r w:rsidRPr="00E516A2">
        <w:rPr>
          <w:noProof/>
        </w:rPr>
        <w:t>(3): p. 177-183.</w:t>
      </w:r>
    </w:p>
    <w:p w14:paraId="6697C8F8" w14:textId="77777777" w:rsidR="00E516A2" w:rsidRPr="00E516A2" w:rsidRDefault="00E516A2" w:rsidP="00E516A2">
      <w:pPr>
        <w:pStyle w:val="EndNoteBibliography"/>
        <w:spacing w:after="0"/>
        <w:ind w:left="720" w:hanging="720"/>
        <w:rPr>
          <w:noProof/>
        </w:rPr>
      </w:pPr>
      <w:r w:rsidRPr="00E516A2">
        <w:rPr>
          <w:noProof/>
        </w:rPr>
        <w:t>185.</w:t>
      </w:r>
      <w:r w:rsidRPr="00E516A2">
        <w:rPr>
          <w:noProof/>
        </w:rPr>
        <w:tab/>
        <w:t xml:space="preserve">Caro JJ, B.R., Claxton K, Thomson A. . </w:t>
      </w:r>
      <w:r w:rsidRPr="00E516A2">
        <w:rPr>
          <w:i/>
          <w:noProof/>
        </w:rPr>
        <w:t xml:space="preserve">Should multi-criteria decision analysis (MCDA) replace cost-effectiveness analysis (CEA) for evaluation of health care coverage decisions? [Plenary session] </w:t>
      </w:r>
      <w:r w:rsidRPr="00E516A2">
        <w:rPr>
          <w:noProof/>
        </w:rPr>
        <w:t xml:space="preserve">in </w:t>
      </w:r>
      <w:r w:rsidRPr="00E516A2">
        <w:rPr>
          <w:i/>
          <w:noProof/>
        </w:rPr>
        <w:t xml:space="preserve">International Society for Pharmacoeconomics and Outcomes Research (ISPOR) Annual European Congress </w:t>
      </w:r>
      <w:r w:rsidRPr="00E516A2">
        <w:rPr>
          <w:noProof/>
        </w:rPr>
        <w:t>2013. Dublin, Ireland.</w:t>
      </w:r>
    </w:p>
    <w:p w14:paraId="11F59CAC" w14:textId="77777777" w:rsidR="00E516A2" w:rsidRPr="00E516A2" w:rsidRDefault="00E516A2" w:rsidP="00E516A2">
      <w:pPr>
        <w:pStyle w:val="EndNoteBibliography"/>
        <w:spacing w:after="0"/>
        <w:ind w:left="720" w:hanging="720"/>
        <w:rPr>
          <w:noProof/>
        </w:rPr>
      </w:pPr>
      <w:r w:rsidRPr="00E516A2">
        <w:rPr>
          <w:noProof/>
        </w:rPr>
        <w:t>186.</w:t>
      </w:r>
      <w:r w:rsidRPr="00E516A2">
        <w:rPr>
          <w:noProof/>
        </w:rPr>
        <w:tab/>
        <w:t xml:space="preserve">Goetghebeur, M.M., et al., </w:t>
      </w:r>
      <w:r w:rsidRPr="00E516A2">
        <w:rPr>
          <w:i/>
          <w:noProof/>
        </w:rPr>
        <w:t>Evidence and Value: Impact on DEcisionMaking–the EVIDEM framework and potential applications.</w:t>
      </w:r>
      <w:r w:rsidRPr="00E516A2">
        <w:rPr>
          <w:noProof/>
        </w:rPr>
        <w:t xml:space="preserve"> BMC Health Services Research, 2008. </w:t>
      </w:r>
      <w:r w:rsidRPr="00E516A2">
        <w:rPr>
          <w:b/>
          <w:noProof/>
        </w:rPr>
        <w:t>8</w:t>
      </w:r>
      <w:r w:rsidRPr="00E516A2">
        <w:rPr>
          <w:noProof/>
        </w:rPr>
        <w:t>(1): p. 270.</w:t>
      </w:r>
    </w:p>
    <w:p w14:paraId="01027616" w14:textId="77777777" w:rsidR="00E516A2" w:rsidRPr="00E516A2" w:rsidRDefault="00E516A2" w:rsidP="00E516A2">
      <w:pPr>
        <w:pStyle w:val="EndNoteBibliography"/>
        <w:spacing w:after="0"/>
        <w:ind w:left="720" w:hanging="720"/>
        <w:rPr>
          <w:noProof/>
        </w:rPr>
      </w:pPr>
      <w:r w:rsidRPr="00E516A2">
        <w:rPr>
          <w:noProof/>
        </w:rPr>
        <w:t>187.</w:t>
      </w:r>
      <w:r w:rsidRPr="00E516A2">
        <w:rPr>
          <w:noProof/>
        </w:rPr>
        <w:tab/>
        <w:t xml:space="preserve">Michael F. Drummond, M.J.S., Karl Claxton, Greg L. Stoddart, George W. Torrance, </w:t>
      </w:r>
      <w:r w:rsidRPr="00E516A2">
        <w:rPr>
          <w:i/>
          <w:noProof/>
        </w:rPr>
        <w:t>Methods for the Economic Evaluation of Health Care Programmes</w:t>
      </w:r>
      <w:r w:rsidRPr="00E516A2">
        <w:rPr>
          <w:noProof/>
        </w:rPr>
        <w:t>. 4th edition ed. 2015, Oxford: Oxford University Press.</w:t>
      </w:r>
    </w:p>
    <w:p w14:paraId="14E2196A" w14:textId="77777777" w:rsidR="00E516A2" w:rsidRPr="00E516A2" w:rsidRDefault="00E516A2" w:rsidP="00E516A2">
      <w:pPr>
        <w:pStyle w:val="EndNoteBibliography"/>
        <w:spacing w:after="0"/>
        <w:ind w:left="720" w:hanging="720"/>
        <w:rPr>
          <w:noProof/>
        </w:rPr>
      </w:pPr>
      <w:r w:rsidRPr="00E516A2">
        <w:rPr>
          <w:noProof/>
        </w:rPr>
        <w:t>188.</w:t>
      </w:r>
      <w:r w:rsidRPr="00E516A2">
        <w:rPr>
          <w:noProof/>
        </w:rPr>
        <w:tab/>
        <w:t xml:space="preserve">Claxton, K., et al., </w:t>
      </w:r>
      <w:r w:rsidRPr="00E516A2">
        <w:rPr>
          <w:i/>
          <w:noProof/>
        </w:rPr>
        <w:t>Causes for concern: is nice failing to uphold its responsibilities to all NHS patients?</w:t>
      </w:r>
      <w:r w:rsidRPr="00E516A2">
        <w:rPr>
          <w:noProof/>
        </w:rPr>
        <w:t xml:space="preserve"> Health economics, 2015. </w:t>
      </w:r>
      <w:r w:rsidRPr="00E516A2">
        <w:rPr>
          <w:b/>
          <w:noProof/>
        </w:rPr>
        <w:t>24</w:t>
      </w:r>
      <w:r w:rsidRPr="00E516A2">
        <w:rPr>
          <w:noProof/>
        </w:rPr>
        <w:t>(1): p. 1-7.</w:t>
      </w:r>
    </w:p>
    <w:p w14:paraId="126B9095" w14:textId="77777777" w:rsidR="00E516A2" w:rsidRPr="00E516A2" w:rsidRDefault="00E516A2" w:rsidP="00E516A2">
      <w:pPr>
        <w:pStyle w:val="EndNoteBibliography"/>
        <w:spacing w:after="0"/>
        <w:ind w:left="720" w:hanging="720"/>
        <w:rPr>
          <w:noProof/>
        </w:rPr>
      </w:pPr>
      <w:r w:rsidRPr="00E516A2">
        <w:rPr>
          <w:noProof/>
        </w:rPr>
        <w:t>189.</w:t>
      </w:r>
      <w:r w:rsidRPr="00E516A2">
        <w:rPr>
          <w:noProof/>
        </w:rPr>
        <w:tab/>
        <w:t xml:space="preserve">Dolan, P., et al., </w:t>
      </w:r>
      <w:r w:rsidRPr="00E516A2">
        <w:rPr>
          <w:i/>
          <w:noProof/>
        </w:rPr>
        <w:t>The measurement and valuation of health: first report on the main survey.</w:t>
      </w:r>
      <w:r w:rsidRPr="00E516A2">
        <w:rPr>
          <w:noProof/>
        </w:rPr>
        <w:t xml:space="preserve"> York: University of York, 1994.</w:t>
      </w:r>
    </w:p>
    <w:p w14:paraId="7A104273" w14:textId="77777777" w:rsidR="00E516A2" w:rsidRPr="00E516A2" w:rsidRDefault="00E516A2" w:rsidP="00E516A2">
      <w:pPr>
        <w:pStyle w:val="EndNoteBibliography"/>
        <w:spacing w:after="0"/>
        <w:ind w:left="720" w:hanging="720"/>
        <w:rPr>
          <w:noProof/>
        </w:rPr>
      </w:pPr>
      <w:r w:rsidRPr="00E516A2">
        <w:rPr>
          <w:noProof/>
        </w:rPr>
        <w:t>190.</w:t>
      </w:r>
      <w:r w:rsidRPr="00E516A2">
        <w:rPr>
          <w:noProof/>
        </w:rPr>
        <w:tab/>
        <w:t xml:space="preserve">e Costa, C.A.B., </w:t>
      </w:r>
      <w:r w:rsidRPr="00E516A2">
        <w:rPr>
          <w:i/>
          <w:noProof/>
        </w:rPr>
        <w:t>Readings in multiple criteria decision aid</w:t>
      </w:r>
      <w:r w:rsidRPr="00E516A2">
        <w:rPr>
          <w:noProof/>
        </w:rPr>
        <w:t>. 2012: Springer Science &amp; Business Media.</w:t>
      </w:r>
    </w:p>
    <w:p w14:paraId="7C2EA327" w14:textId="77777777" w:rsidR="00E516A2" w:rsidRPr="00E516A2" w:rsidRDefault="00E516A2" w:rsidP="00E516A2">
      <w:pPr>
        <w:pStyle w:val="EndNoteBibliography"/>
        <w:spacing w:after="0"/>
        <w:ind w:left="720" w:hanging="720"/>
        <w:rPr>
          <w:noProof/>
        </w:rPr>
      </w:pPr>
      <w:r w:rsidRPr="00E516A2">
        <w:rPr>
          <w:noProof/>
        </w:rPr>
        <w:t>191.</w:t>
      </w:r>
      <w:r w:rsidRPr="00E516A2">
        <w:rPr>
          <w:noProof/>
        </w:rPr>
        <w:tab/>
        <w:t xml:space="preserve">NICE, </w:t>
      </w:r>
      <w:r w:rsidRPr="00E516A2">
        <w:rPr>
          <w:i/>
          <w:noProof/>
        </w:rPr>
        <w:t>Walking and cycling: local measures to promote walking and cycling as forms of travel or recreation</w:t>
      </w:r>
      <w:r w:rsidRPr="00E516A2">
        <w:rPr>
          <w:noProof/>
        </w:rPr>
        <w:t xml:space="preserve">, in </w:t>
      </w:r>
      <w:r w:rsidRPr="00E516A2">
        <w:rPr>
          <w:i/>
          <w:noProof/>
        </w:rPr>
        <w:t>PH41</w:t>
      </w:r>
      <w:r w:rsidRPr="00E516A2">
        <w:rPr>
          <w:noProof/>
        </w:rPr>
        <w:t>. 2012, National Institute for Health and Care Excellence: London.</w:t>
      </w:r>
    </w:p>
    <w:p w14:paraId="480CCBDD" w14:textId="77777777" w:rsidR="00E516A2" w:rsidRPr="00E516A2" w:rsidRDefault="00E516A2" w:rsidP="00E516A2">
      <w:pPr>
        <w:pStyle w:val="EndNoteBibliography"/>
        <w:spacing w:after="0"/>
        <w:ind w:left="720" w:hanging="720"/>
        <w:rPr>
          <w:noProof/>
        </w:rPr>
      </w:pPr>
      <w:r w:rsidRPr="00E516A2">
        <w:rPr>
          <w:noProof/>
        </w:rPr>
        <w:t>192.</w:t>
      </w:r>
      <w:r w:rsidRPr="00E516A2">
        <w:rPr>
          <w:noProof/>
        </w:rPr>
        <w:tab/>
        <w:t xml:space="preserve">NICE, </w:t>
      </w:r>
      <w:r w:rsidRPr="00E516A2">
        <w:rPr>
          <w:i/>
          <w:noProof/>
        </w:rPr>
        <w:t>Obesity: working with local communities</w:t>
      </w:r>
      <w:r w:rsidRPr="00E516A2">
        <w:rPr>
          <w:noProof/>
        </w:rPr>
        <w:t xml:space="preserve">, in </w:t>
      </w:r>
      <w:r w:rsidRPr="00E516A2">
        <w:rPr>
          <w:i/>
          <w:noProof/>
        </w:rPr>
        <w:t>PH42</w:t>
      </w:r>
      <w:r w:rsidRPr="00E516A2">
        <w:rPr>
          <w:noProof/>
        </w:rPr>
        <w:t>. 2012, National Institute for Health and Care Excellence: London.</w:t>
      </w:r>
    </w:p>
    <w:p w14:paraId="57CD6833" w14:textId="77777777" w:rsidR="00E516A2" w:rsidRPr="00E516A2" w:rsidRDefault="00E516A2" w:rsidP="00E516A2">
      <w:pPr>
        <w:pStyle w:val="EndNoteBibliography"/>
        <w:spacing w:after="0"/>
        <w:ind w:left="720" w:hanging="720"/>
        <w:rPr>
          <w:noProof/>
        </w:rPr>
      </w:pPr>
      <w:r w:rsidRPr="00E516A2">
        <w:rPr>
          <w:noProof/>
        </w:rPr>
        <w:t>193.</w:t>
      </w:r>
      <w:r w:rsidRPr="00E516A2">
        <w:rPr>
          <w:noProof/>
        </w:rPr>
        <w:tab/>
        <w:t xml:space="preserve">Mintzberg, H., </w:t>
      </w:r>
      <w:r w:rsidRPr="00E516A2">
        <w:rPr>
          <w:i/>
          <w:noProof/>
        </w:rPr>
        <w:t>An emerging strategy of" direct" research.</w:t>
      </w:r>
      <w:r w:rsidRPr="00E516A2">
        <w:rPr>
          <w:noProof/>
        </w:rPr>
        <w:t xml:space="preserve"> Administrative science quarterly, 1979: p. 582-589.</w:t>
      </w:r>
    </w:p>
    <w:p w14:paraId="2DB36EC4" w14:textId="77777777" w:rsidR="00E516A2" w:rsidRPr="00E516A2" w:rsidRDefault="00E516A2" w:rsidP="00E516A2">
      <w:pPr>
        <w:pStyle w:val="EndNoteBibliography"/>
        <w:spacing w:after="0"/>
        <w:ind w:left="720" w:hanging="720"/>
        <w:rPr>
          <w:noProof/>
        </w:rPr>
      </w:pPr>
      <w:r w:rsidRPr="00E516A2">
        <w:rPr>
          <w:noProof/>
        </w:rPr>
        <w:t>194.</w:t>
      </w:r>
      <w:r w:rsidRPr="00E516A2">
        <w:rPr>
          <w:noProof/>
        </w:rPr>
        <w:tab/>
        <w:t xml:space="preserve">Kidder, T., </w:t>
      </w:r>
      <w:r w:rsidRPr="00E516A2">
        <w:rPr>
          <w:i/>
          <w:noProof/>
        </w:rPr>
        <w:t>The soul of a new machine</w:t>
      </w:r>
      <w:r w:rsidRPr="00E516A2">
        <w:rPr>
          <w:noProof/>
        </w:rPr>
        <w:t>. 2011: Back Bay Books.</w:t>
      </w:r>
    </w:p>
    <w:p w14:paraId="2757A8AC" w14:textId="77777777" w:rsidR="00E516A2" w:rsidRPr="00E516A2" w:rsidRDefault="00E516A2" w:rsidP="00E516A2">
      <w:pPr>
        <w:pStyle w:val="EndNoteBibliography"/>
        <w:spacing w:after="0"/>
        <w:ind w:left="720" w:hanging="720"/>
        <w:rPr>
          <w:noProof/>
        </w:rPr>
      </w:pPr>
      <w:r w:rsidRPr="00E516A2">
        <w:rPr>
          <w:noProof/>
        </w:rPr>
        <w:t>195.</w:t>
      </w:r>
      <w:r w:rsidRPr="00E516A2">
        <w:rPr>
          <w:noProof/>
        </w:rPr>
        <w:tab/>
        <w:t xml:space="preserve">Maanen, J.V., </w:t>
      </w:r>
      <w:r w:rsidRPr="00E516A2">
        <w:rPr>
          <w:i/>
          <w:noProof/>
        </w:rPr>
        <w:t>Tales of the field: On writing ethnography.</w:t>
      </w:r>
      <w:r w:rsidRPr="00E516A2">
        <w:rPr>
          <w:noProof/>
        </w:rPr>
        <w:t xml:space="preserve"> Chicago Guides to Writing, Editing, and Publishing, 1988.</w:t>
      </w:r>
    </w:p>
    <w:p w14:paraId="4FC1F612" w14:textId="77777777" w:rsidR="00E516A2" w:rsidRPr="00E516A2" w:rsidRDefault="00E516A2" w:rsidP="00E516A2">
      <w:pPr>
        <w:pStyle w:val="EndNoteBibliography"/>
        <w:spacing w:after="0"/>
        <w:ind w:left="720" w:hanging="720"/>
        <w:rPr>
          <w:noProof/>
        </w:rPr>
      </w:pPr>
      <w:r w:rsidRPr="00E516A2">
        <w:rPr>
          <w:noProof/>
        </w:rPr>
        <w:t>196.</w:t>
      </w:r>
      <w:r w:rsidRPr="00E516A2">
        <w:rPr>
          <w:noProof/>
        </w:rPr>
        <w:tab/>
        <w:t xml:space="preserve">McKay, J. and P. Marshall, </w:t>
      </w:r>
      <w:r w:rsidRPr="00E516A2">
        <w:rPr>
          <w:i/>
          <w:noProof/>
        </w:rPr>
        <w:t>The dual imperatives of action research.</w:t>
      </w:r>
      <w:r w:rsidRPr="00E516A2">
        <w:rPr>
          <w:noProof/>
        </w:rPr>
        <w:t xml:space="preserve"> Information Technology &amp; People, 2001. </w:t>
      </w:r>
      <w:r w:rsidRPr="00E516A2">
        <w:rPr>
          <w:b/>
          <w:noProof/>
        </w:rPr>
        <w:t>14</w:t>
      </w:r>
      <w:r w:rsidRPr="00E516A2">
        <w:rPr>
          <w:noProof/>
        </w:rPr>
        <w:t>(1): p. 46-59.</w:t>
      </w:r>
    </w:p>
    <w:p w14:paraId="3EF4B826" w14:textId="77777777" w:rsidR="00E516A2" w:rsidRPr="00E516A2" w:rsidRDefault="00E516A2" w:rsidP="00E516A2">
      <w:pPr>
        <w:pStyle w:val="EndNoteBibliography"/>
        <w:spacing w:after="0"/>
        <w:ind w:left="720" w:hanging="720"/>
        <w:rPr>
          <w:noProof/>
        </w:rPr>
      </w:pPr>
      <w:r w:rsidRPr="00E516A2">
        <w:rPr>
          <w:noProof/>
        </w:rPr>
        <w:t>197.</w:t>
      </w:r>
      <w:r w:rsidRPr="00E516A2">
        <w:rPr>
          <w:noProof/>
        </w:rPr>
        <w:tab/>
        <w:t xml:space="preserve">Mingers, J., </w:t>
      </w:r>
      <w:r w:rsidRPr="00E516A2">
        <w:rPr>
          <w:i/>
          <w:noProof/>
        </w:rPr>
        <w:t>Variety is the spice of life: combining soft and hard OR/MS methods.</w:t>
      </w:r>
      <w:r w:rsidRPr="00E516A2">
        <w:rPr>
          <w:noProof/>
        </w:rPr>
        <w:t xml:space="preserve"> International Transactions in Operational Research, 2000. </w:t>
      </w:r>
      <w:r w:rsidRPr="00E516A2">
        <w:rPr>
          <w:b/>
          <w:noProof/>
        </w:rPr>
        <w:t>7</w:t>
      </w:r>
      <w:r w:rsidRPr="00E516A2">
        <w:rPr>
          <w:noProof/>
        </w:rPr>
        <w:t>(6): p. 673-691.</w:t>
      </w:r>
    </w:p>
    <w:p w14:paraId="132486C1" w14:textId="77777777" w:rsidR="00E516A2" w:rsidRPr="00E516A2" w:rsidRDefault="00E516A2" w:rsidP="00E516A2">
      <w:pPr>
        <w:pStyle w:val="EndNoteBibliography"/>
        <w:spacing w:after="0"/>
        <w:ind w:left="720" w:hanging="720"/>
        <w:rPr>
          <w:noProof/>
        </w:rPr>
      </w:pPr>
      <w:r w:rsidRPr="00E516A2">
        <w:rPr>
          <w:noProof/>
        </w:rPr>
        <w:t>198.</w:t>
      </w:r>
      <w:r w:rsidRPr="00E516A2">
        <w:rPr>
          <w:noProof/>
        </w:rPr>
        <w:tab/>
        <w:t xml:space="preserve">Charmaz, K., </w:t>
      </w:r>
      <w:r w:rsidRPr="00E516A2">
        <w:rPr>
          <w:i/>
          <w:noProof/>
        </w:rPr>
        <w:t>‘Discovering’chronic illness: Using grounded theory.</w:t>
      </w:r>
      <w:r w:rsidRPr="00E516A2">
        <w:rPr>
          <w:noProof/>
        </w:rPr>
        <w:t xml:space="preserve"> Social science &amp; medicine, 1990. </w:t>
      </w:r>
      <w:r w:rsidRPr="00E516A2">
        <w:rPr>
          <w:b/>
          <w:noProof/>
        </w:rPr>
        <w:t>30</w:t>
      </w:r>
      <w:r w:rsidRPr="00E516A2">
        <w:rPr>
          <w:noProof/>
        </w:rPr>
        <w:t>(11): p. 1161-1172.</w:t>
      </w:r>
    </w:p>
    <w:p w14:paraId="2B5B1F99" w14:textId="77777777" w:rsidR="00E516A2" w:rsidRPr="00E516A2" w:rsidRDefault="00E516A2" w:rsidP="00E516A2">
      <w:pPr>
        <w:pStyle w:val="EndNoteBibliography"/>
        <w:spacing w:after="0"/>
        <w:ind w:left="720" w:hanging="720"/>
        <w:rPr>
          <w:noProof/>
        </w:rPr>
      </w:pPr>
      <w:r w:rsidRPr="00E516A2">
        <w:rPr>
          <w:noProof/>
        </w:rPr>
        <w:t>199.</w:t>
      </w:r>
      <w:r w:rsidRPr="00E516A2">
        <w:rPr>
          <w:noProof/>
        </w:rPr>
        <w:tab/>
        <w:t xml:space="preserve">Mingers, J. and S. Taylor, </w:t>
      </w:r>
      <w:r w:rsidRPr="00E516A2">
        <w:rPr>
          <w:i/>
          <w:noProof/>
        </w:rPr>
        <w:t>The use of soft systems methodology in practice.</w:t>
      </w:r>
      <w:r w:rsidRPr="00E516A2">
        <w:rPr>
          <w:noProof/>
        </w:rPr>
        <w:t xml:space="preserve"> Journal of the Operational Research Society, 1992: p. 321-332.</w:t>
      </w:r>
    </w:p>
    <w:p w14:paraId="3714CE6B" w14:textId="77777777" w:rsidR="00E516A2" w:rsidRPr="00E516A2" w:rsidRDefault="00E516A2" w:rsidP="00E516A2">
      <w:pPr>
        <w:pStyle w:val="EndNoteBibliography"/>
        <w:spacing w:after="0"/>
        <w:ind w:left="720" w:hanging="720"/>
        <w:rPr>
          <w:noProof/>
        </w:rPr>
      </w:pPr>
      <w:r w:rsidRPr="00E516A2">
        <w:rPr>
          <w:noProof/>
        </w:rPr>
        <w:t>200.</w:t>
      </w:r>
      <w:r w:rsidRPr="00E516A2">
        <w:rPr>
          <w:noProof/>
        </w:rPr>
        <w:tab/>
        <w:t xml:space="preserve">Sharpe, P. and T. Keelin, </w:t>
      </w:r>
      <w:r w:rsidRPr="00E516A2">
        <w:rPr>
          <w:i/>
          <w:noProof/>
        </w:rPr>
        <w:t>How SmithKline Beecham makes better resource-allocation decisions.</w:t>
      </w:r>
      <w:r w:rsidRPr="00E516A2">
        <w:rPr>
          <w:noProof/>
        </w:rPr>
        <w:t xml:space="preserve"> Harvard Business Review, 1997. </w:t>
      </w:r>
      <w:r w:rsidRPr="00E516A2">
        <w:rPr>
          <w:b/>
          <w:noProof/>
        </w:rPr>
        <w:t>76</w:t>
      </w:r>
      <w:r w:rsidRPr="00E516A2">
        <w:rPr>
          <w:noProof/>
        </w:rPr>
        <w:t>(2): p. 45-6, 48, 50 passim.</w:t>
      </w:r>
    </w:p>
    <w:p w14:paraId="437B6507" w14:textId="77777777" w:rsidR="00E516A2" w:rsidRPr="00E516A2" w:rsidRDefault="00E516A2" w:rsidP="00E516A2">
      <w:pPr>
        <w:pStyle w:val="EndNoteBibliography"/>
        <w:spacing w:after="0"/>
        <w:ind w:left="720" w:hanging="720"/>
        <w:rPr>
          <w:noProof/>
        </w:rPr>
      </w:pPr>
      <w:r w:rsidRPr="00E516A2">
        <w:rPr>
          <w:rFonts w:hint="eastAsia"/>
          <w:noProof/>
        </w:rPr>
        <w:t>201.</w:t>
      </w:r>
      <w:r w:rsidRPr="00E516A2">
        <w:rPr>
          <w:rFonts w:hint="eastAsia"/>
          <w:noProof/>
        </w:rPr>
        <w:tab/>
        <w:t xml:space="preserve">Devlin, N. and D. Parkin, </w:t>
      </w:r>
      <w:r w:rsidRPr="00E516A2">
        <w:rPr>
          <w:rFonts w:hint="eastAsia"/>
          <w:i/>
          <w:noProof/>
        </w:rPr>
        <w:t>Does NICE have a cost</w:t>
      </w:r>
      <w:r w:rsidRPr="00E516A2">
        <w:rPr>
          <w:rFonts w:hint="eastAsia"/>
          <w:i/>
          <w:noProof/>
        </w:rPr>
        <w:t>‐</w:t>
      </w:r>
      <w:r w:rsidRPr="00E516A2">
        <w:rPr>
          <w:rFonts w:hint="eastAsia"/>
          <w:i/>
          <w:noProof/>
        </w:rPr>
        <w:t>effectiveness th</w:t>
      </w:r>
      <w:r w:rsidRPr="00E516A2">
        <w:rPr>
          <w:i/>
          <w:noProof/>
        </w:rPr>
        <w:t>reshold and what other factors influence its decisions? A binary choice analysis.</w:t>
      </w:r>
      <w:r w:rsidRPr="00E516A2">
        <w:rPr>
          <w:noProof/>
        </w:rPr>
        <w:t xml:space="preserve"> Health economics, 2004. </w:t>
      </w:r>
      <w:r w:rsidRPr="00E516A2">
        <w:rPr>
          <w:b/>
          <w:noProof/>
        </w:rPr>
        <w:t>13</w:t>
      </w:r>
      <w:r w:rsidRPr="00E516A2">
        <w:rPr>
          <w:noProof/>
        </w:rPr>
        <w:t>(5): p. 437-452.</w:t>
      </w:r>
    </w:p>
    <w:p w14:paraId="7248FF0B" w14:textId="77777777" w:rsidR="00E516A2" w:rsidRPr="00E516A2" w:rsidRDefault="00E516A2" w:rsidP="00E516A2">
      <w:pPr>
        <w:pStyle w:val="EndNoteBibliography"/>
        <w:spacing w:after="0"/>
        <w:ind w:left="720" w:hanging="720"/>
        <w:rPr>
          <w:noProof/>
        </w:rPr>
      </w:pPr>
      <w:r w:rsidRPr="00E516A2">
        <w:rPr>
          <w:noProof/>
        </w:rPr>
        <w:t>202.</w:t>
      </w:r>
      <w:r w:rsidRPr="00E516A2">
        <w:rPr>
          <w:noProof/>
        </w:rPr>
        <w:tab/>
        <w:t xml:space="preserve">Department of Health, </w:t>
      </w:r>
      <w:r w:rsidRPr="00E516A2">
        <w:rPr>
          <w:i/>
          <w:noProof/>
        </w:rPr>
        <w:t>The new NHS: modern, dependable</w:t>
      </w:r>
      <w:r w:rsidRPr="00E516A2">
        <w:rPr>
          <w:noProof/>
        </w:rPr>
        <w:t>. 1997, HM Stationery Office: London.</w:t>
      </w:r>
    </w:p>
    <w:p w14:paraId="1308550C" w14:textId="77777777" w:rsidR="00E516A2" w:rsidRPr="00E516A2" w:rsidRDefault="00E516A2" w:rsidP="00E516A2">
      <w:pPr>
        <w:pStyle w:val="EndNoteBibliography"/>
        <w:spacing w:after="0"/>
        <w:ind w:left="720" w:hanging="720"/>
        <w:rPr>
          <w:noProof/>
        </w:rPr>
      </w:pPr>
      <w:r w:rsidRPr="00E516A2">
        <w:rPr>
          <w:noProof/>
        </w:rPr>
        <w:t>203.</w:t>
      </w:r>
      <w:r w:rsidRPr="00E516A2">
        <w:rPr>
          <w:noProof/>
        </w:rPr>
        <w:tab/>
        <w:t xml:space="preserve">NHS Executive, </w:t>
      </w:r>
      <w:r w:rsidRPr="00E516A2">
        <w:rPr>
          <w:i/>
          <w:noProof/>
        </w:rPr>
        <w:t>" Faster Access to Modern Treatment": How NICE Appraisal Will Work</w:t>
      </w:r>
      <w:r w:rsidRPr="00E516A2">
        <w:rPr>
          <w:noProof/>
        </w:rPr>
        <w:t>. 1999: NHS Executive.</w:t>
      </w:r>
    </w:p>
    <w:p w14:paraId="26091088" w14:textId="77777777" w:rsidR="00E516A2" w:rsidRPr="00E516A2" w:rsidRDefault="00E516A2" w:rsidP="00E516A2">
      <w:pPr>
        <w:pStyle w:val="EndNoteBibliography"/>
        <w:spacing w:after="0"/>
        <w:ind w:left="720" w:hanging="720"/>
        <w:rPr>
          <w:noProof/>
        </w:rPr>
      </w:pPr>
      <w:r w:rsidRPr="00E516A2">
        <w:rPr>
          <w:noProof/>
        </w:rPr>
        <w:t>204.</w:t>
      </w:r>
      <w:r w:rsidRPr="00E516A2">
        <w:rPr>
          <w:noProof/>
        </w:rPr>
        <w:tab/>
        <w:t xml:space="preserve">Steinbrook, R., </w:t>
      </w:r>
      <w:r w:rsidRPr="00E516A2">
        <w:rPr>
          <w:i/>
          <w:noProof/>
        </w:rPr>
        <w:t>Saying no isn't NICE—the travails of Britain's National Institute for Health and Clinical Excellence.</w:t>
      </w:r>
      <w:r w:rsidRPr="00E516A2">
        <w:rPr>
          <w:noProof/>
        </w:rPr>
        <w:t xml:space="preserve"> New England Journal of Medicine, 2008. </w:t>
      </w:r>
      <w:r w:rsidRPr="00E516A2">
        <w:rPr>
          <w:b/>
          <w:noProof/>
        </w:rPr>
        <w:t>359</w:t>
      </w:r>
      <w:r w:rsidRPr="00E516A2">
        <w:rPr>
          <w:noProof/>
        </w:rPr>
        <w:t>(19): p. 1977-1981.</w:t>
      </w:r>
    </w:p>
    <w:p w14:paraId="5F09CD66" w14:textId="77777777" w:rsidR="00E516A2" w:rsidRPr="00E516A2" w:rsidRDefault="00E516A2" w:rsidP="00E516A2">
      <w:pPr>
        <w:pStyle w:val="EndNoteBibliography"/>
        <w:spacing w:after="0"/>
        <w:ind w:left="720" w:hanging="720"/>
        <w:rPr>
          <w:noProof/>
        </w:rPr>
      </w:pPr>
      <w:r w:rsidRPr="00E516A2">
        <w:rPr>
          <w:noProof/>
        </w:rPr>
        <w:t>205.</w:t>
      </w:r>
      <w:r w:rsidRPr="00E516A2">
        <w:rPr>
          <w:noProof/>
        </w:rPr>
        <w:tab/>
        <w:t xml:space="preserve">Smith, R., </w:t>
      </w:r>
      <w:r w:rsidRPr="00E516A2">
        <w:rPr>
          <w:i/>
          <w:noProof/>
        </w:rPr>
        <w:t>The triumph of NICE.</w:t>
      </w:r>
      <w:r w:rsidRPr="00E516A2">
        <w:rPr>
          <w:noProof/>
        </w:rPr>
        <w:t xml:space="preserve"> BMJ, 2004. </w:t>
      </w:r>
      <w:r w:rsidRPr="00E516A2">
        <w:rPr>
          <w:b/>
          <w:noProof/>
        </w:rPr>
        <w:t>329</w:t>
      </w:r>
      <w:r w:rsidRPr="00E516A2">
        <w:rPr>
          <w:noProof/>
        </w:rPr>
        <w:t>(7459).</w:t>
      </w:r>
    </w:p>
    <w:p w14:paraId="71D17717" w14:textId="77777777" w:rsidR="00E516A2" w:rsidRPr="00E516A2" w:rsidRDefault="00E516A2" w:rsidP="00E516A2">
      <w:pPr>
        <w:pStyle w:val="EndNoteBibliography"/>
        <w:spacing w:after="0"/>
        <w:ind w:left="720" w:hanging="720"/>
        <w:rPr>
          <w:noProof/>
        </w:rPr>
      </w:pPr>
      <w:r w:rsidRPr="00E516A2">
        <w:rPr>
          <w:noProof/>
        </w:rPr>
        <w:t>206.</w:t>
      </w:r>
      <w:r w:rsidRPr="00E516A2">
        <w:rPr>
          <w:noProof/>
        </w:rPr>
        <w:tab/>
        <w:t xml:space="preserve">Rawlins, M.D., A. Dillon, and G. Leng, </w:t>
      </w:r>
      <w:r w:rsidRPr="00E516A2">
        <w:rPr>
          <w:i/>
          <w:noProof/>
        </w:rPr>
        <w:t>What's happening at NICE?</w:t>
      </w:r>
      <w:r w:rsidRPr="00E516A2">
        <w:rPr>
          <w:noProof/>
        </w:rPr>
        <w:t xml:space="preserve"> Clinical medicine, 2013. </w:t>
      </w:r>
      <w:r w:rsidRPr="00E516A2">
        <w:rPr>
          <w:b/>
          <w:noProof/>
        </w:rPr>
        <w:t>13</w:t>
      </w:r>
      <w:r w:rsidRPr="00E516A2">
        <w:rPr>
          <w:noProof/>
        </w:rPr>
        <w:t>(1): p. 13-18.</w:t>
      </w:r>
    </w:p>
    <w:p w14:paraId="3C23DD0A" w14:textId="7AF4D0F3" w:rsidR="00E516A2" w:rsidRPr="00E516A2" w:rsidRDefault="00E516A2" w:rsidP="00E516A2">
      <w:pPr>
        <w:pStyle w:val="EndNoteBibliography"/>
        <w:spacing w:after="0"/>
        <w:ind w:left="720" w:hanging="720"/>
        <w:rPr>
          <w:noProof/>
        </w:rPr>
      </w:pPr>
      <w:r w:rsidRPr="00E516A2">
        <w:rPr>
          <w:noProof/>
        </w:rPr>
        <w:t>207.</w:t>
      </w:r>
      <w:r w:rsidRPr="00E516A2">
        <w:rPr>
          <w:noProof/>
        </w:rPr>
        <w:tab/>
        <w:t xml:space="preserve">NICE. </w:t>
      </w:r>
      <w:r w:rsidRPr="00E516A2">
        <w:rPr>
          <w:i/>
          <w:noProof/>
        </w:rPr>
        <w:t>NICE Charter</w:t>
      </w:r>
      <w:r w:rsidRPr="00E516A2">
        <w:rPr>
          <w:noProof/>
        </w:rPr>
        <w:t xml:space="preserve">. 2013  [cited 2014 24 August 2014]; Available from: </w:t>
      </w:r>
      <w:hyperlink r:id="rId61" w:history="1">
        <w:r w:rsidRPr="00E516A2">
          <w:rPr>
            <w:rStyle w:val="Hyperlink"/>
            <w:noProof/>
          </w:rPr>
          <w:t>http://www.nice.org.uk/Media/Default/About/Who-we-are/NICE_Charter.pdf</w:t>
        </w:r>
      </w:hyperlink>
      <w:r w:rsidRPr="00E516A2">
        <w:rPr>
          <w:noProof/>
        </w:rPr>
        <w:t>.</w:t>
      </w:r>
    </w:p>
    <w:p w14:paraId="22BDB195" w14:textId="77777777" w:rsidR="00E516A2" w:rsidRPr="00E516A2" w:rsidRDefault="00E516A2" w:rsidP="00E516A2">
      <w:pPr>
        <w:pStyle w:val="EndNoteBibliography"/>
        <w:spacing w:after="0"/>
        <w:ind w:left="720" w:hanging="720"/>
        <w:rPr>
          <w:noProof/>
        </w:rPr>
      </w:pPr>
      <w:r w:rsidRPr="00E516A2">
        <w:rPr>
          <w:noProof/>
        </w:rPr>
        <w:t>208.</w:t>
      </w:r>
      <w:r w:rsidRPr="00E516A2">
        <w:rPr>
          <w:noProof/>
        </w:rPr>
        <w:tab/>
        <w:t xml:space="preserve">Lindblom, C.E., </w:t>
      </w:r>
      <w:r w:rsidRPr="00E516A2">
        <w:rPr>
          <w:i/>
          <w:noProof/>
        </w:rPr>
        <w:t>Still muddling, not yet through.</w:t>
      </w:r>
      <w:r w:rsidRPr="00E516A2">
        <w:rPr>
          <w:noProof/>
        </w:rPr>
        <w:t xml:space="preserve"> Public administration review, 1979. </w:t>
      </w:r>
      <w:r w:rsidRPr="00E516A2">
        <w:rPr>
          <w:b/>
          <w:noProof/>
        </w:rPr>
        <w:t>39</w:t>
      </w:r>
      <w:r w:rsidRPr="00E516A2">
        <w:rPr>
          <w:noProof/>
        </w:rPr>
        <w:t>(6): p. 517-526.</w:t>
      </w:r>
    </w:p>
    <w:p w14:paraId="4780C1E7" w14:textId="77777777" w:rsidR="00E516A2" w:rsidRPr="00E516A2" w:rsidRDefault="00E516A2" w:rsidP="00E516A2">
      <w:pPr>
        <w:pStyle w:val="EndNoteBibliography"/>
        <w:spacing w:after="0"/>
        <w:ind w:left="720" w:hanging="720"/>
        <w:rPr>
          <w:noProof/>
        </w:rPr>
      </w:pPr>
      <w:r w:rsidRPr="00E516A2">
        <w:rPr>
          <w:noProof/>
        </w:rPr>
        <w:t>209.</w:t>
      </w:r>
      <w:r w:rsidRPr="00E516A2">
        <w:rPr>
          <w:noProof/>
        </w:rPr>
        <w:tab/>
        <w:t xml:space="preserve">Lindblom, C.E., </w:t>
      </w:r>
      <w:r w:rsidRPr="00E516A2">
        <w:rPr>
          <w:i/>
          <w:noProof/>
        </w:rPr>
        <w:t>The science of" muddling through".</w:t>
      </w:r>
      <w:r w:rsidRPr="00E516A2">
        <w:rPr>
          <w:noProof/>
        </w:rPr>
        <w:t xml:space="preserve"> Public administration review, 1959: p. 79-88.</w:t>
      </w:r>
    </w:p>
    <w:p w14:paraId="38648B20" w14:textId="77777777" w:rsidR="00E516A2" w:rsidRPr="00E516A2" w:rsidRDefault="00E516A2" w:rsidP="00E516A2">
      <w:pPr>
        <w:pStyle w:val="EndNoteBibliography"/>
        <w:spacing w:after="0"/>
        <w:ind w:left="720" w:hanging="720"/>
        <w:rPr>
          <w:noProof/>
        </w:rPr>
      </w:pPr>
      <w:r w:rsidRPr="00E516A2">
        <w:rPr>
          <w:noProof/>
        </w:rPr>
        <w:t>210.</w:t>
      </w:r>
      <w:r w:rsidRPr="00E516A2">
        <w:rPr>
          <w:noProof/>
        </w:rPr>
        <w:tab/>
        <w:t xml:space="preserve">Mintzberg, H., </w:t>
      </w:r>
      <w:r w:rsidRPr="00E516A2">
        <w:rPr>
          <w:i/>
          <w:noProof/>
        </w:rPr>
        <w:t>Nature of managerial work</w:t>
      </w:r>
      <w:r w:rsidRPr="00E516A2">
        <w:rPr>
          <w:noProof/>
        </w:rPr>
        <w:t>. 1973, New York: Harper and Row.</w:t>
      </w:r>
    </w:p>
    <w:p w14:paraId="42797EBA" w14:textId="77777777" w:rsidR="00E516A2" w:rsidRPr="00E516A2" w:rsidRDefault="00E516A2" w:rsidP="00E516A2">
      <w:pPr>
        <w:pStyle w:val="EndNoteBibliography"/>
        <w:spacing w:after="0"/>
        <w:ind w:left="720" w:hanging="720"/>
        <w:rPr>
          <w:noProof/>
        </w:rPr>
      </w:pPr>
      <w:r w:rsidRPr="00E516A2">
        <w:rPr>
          <w:noProof/>
        </w:rPr>
        <w:t>211.</w:t>
      </w:r>
      <w:r w:rsidRPr="00E516A2">
        <w:rPr>
          <w:noProof/>
        </w:rPr>
        <w:tab/>
        <w:t xml:space="preserve">Turnock, B., </w:t>
      </w:r>
      <w:r w:rsidRPr="00E516A2">
        <w:rPr>
          <w:i/>
          <w:noProof/>
        </w:rPr>
        <w:t>Essentials of public health</w:t>
      </w:r>
      <w:r w:rsidRPr="00E516A2">
        <w:rPr>
          <w:noProof/>
        </w:rPr>
        <w:t>. 2011: Jones &amp; Bartlett Publishers.</w:t>
      </w:r>
    </w:p>
    <w:p w14:paraId="3ECEEBA4" w14:textId="77777777" w:rsidR="00E516A2" w:rsidRPr="00E516A2" w:rsidRDefault="00E516A2" w:rsidP="00E516A2">
      <w:pPr>
        <w:pStyle w:val="EndNoteBibliography"/>
        <w:spacing w:after="0"/>
        <w:ind w:left="720" w:hanging="720"/>
        <w:rPr>
          <w:noProof/>
        </w:rPr>
      </w:pPr>
      <w:r w:rsidRPr="00E516A2">
        <w:rPr>
          <w:noProof/>
        </w:rPr>
        <w:t>212.</w:t>
      </w:r>
      <w:r w:rsidRPr="00E516A2">
        <w:rPr>
          <w:noProof/>
        </w:rPr>
        <w:tab/>
        <w:t xml:space="preserve">NICE, </w:t>
      </w:r>
      <w:r w:rsidRPr="00E516A2">
        <w:rPr>
          <w:i/>
          <w:noProof/>
        </w:rPr>
        <w:t>Alcohol-use disorders: preventing harmful drinking</w:t>
      </w:r>
      <w:r w:rsidRPr="00E516A2">
        <w:rPr>
          <w:noProof/>
        </w:rPr>
        <w:t xml:space="preserve">, in </w:t>
      </w:r>
      <w:r w:rsidRPr="00E516A2">
        <w:rPr>
          <w:i/>
          <w:noProof/>
        </w:rPr>
        <w:t>PH24</w:t>
      </w:r>
      <w:r w:rsidRPr="00E516A2">
        <w:rPr>
          <w:noProof/>
        </w:rPr>
        <w:t>. 2010, National Institute for Health and Care Excellence: London.</w:t>
      </w:r>
    </w:p>
    <w:p w14:paraId="6B805D14" w14:textId="77777777" w:rsidR="00E516A2" w:rsidRPr="00E516A2" w:rsidRDefault="00E516A2" w:rsidP="00E516A2">
      <w:pPr>
        <w:pStyle w:val="EndNoteBibliography"/>
        <w:spacing w:after="0"/>
        <w:ind w:left="720" w:hanging="720"/>
        <w:rPr>
          <w:noProof/>
        </w:rPr>
      </w:pPr>
      <w:r w:rsidRPr="00E516A2">
        <w:rPr>
          <w:noProof/>
        </w:rPr>
        <w:t>213.</w:t>
      </w:r>
      <w:r w:rsidRPr="00E516A2">
        <w:rPr>
          <w:noProof/>
        </w:rPr>
        <w:tab/>
        <w:t xml:space="preserve">Ross, T., </w:t>
      </w:r>
      <w:r w:rsidRPr="00E516A2">
        <w:rPr>
          <w:i/>
          <w:noProof/>
        </w:rPr>
        <w:t>David Cameron's plan for minimum alcohol price is scrapped</w:t>
      </w:r>
      <w:r w:rsidRPr="00E516A2">
        <w:rPr>
          <w:noProof/>
        </w:rPr>
        <w:t xml:space="preserve">, in </w:t>
      </w:r>
      <w:r w:rsidRPr="00E516A2">
        <w:rPr>
          <w:i/>
          <w:noProof/>
        </w:rPr>
        <w:t>The Telegraph</w:t>
      </w:r>
      <w:r w:rsidRPr="00E516A2">
        <w:rPr>
          <w:noProof/>
        </w:rPr>
        <w:t>. 2013: London.</w:t>
      </w:r>
    </w:p>
    <w:p w14:paraId="60B46AF6" w14:textId="77777777" w:rsidR="00E516A2" w:rsidRPr="00E516A2" w:rsidRDefault="00E516A2" w:rsidP="00E516A2">
      <w:pPr>
        <w:pStyle w:val="EndNoteBibliography"/>
        <w:spacing w:after="0"/>
        <w:ind w:left="720" w:hanging="720"/>
        <w:rPr>
          <w:noProof/>
        </w:rPr>
      </w:pPr>
      <w:r w:rsidRPr="00E516A2">
        <w:rPr>
          <w:noProof/>
        </w:rPr>
        <w:t>214.</w:t>
      </w:r>
      <w:r w:rsidRPr="00E516A2">
        <w:rPr>
          <w:noProof/>
        </w:rPr>
        <w:tab/>
        <w:t xml:space="preserve">Lomas, J., et al., </w:t>
      </w:r>
      <w:r w:rsidRPr="00E516A2">
        <w:rPr>
          <w:i/>
          <w:noProof/>
        </w:rPr>
        <w:t>-Final Report-Conceptualizing and Combining Evidence for Health System Guidance.</w:t>
      </w:r>
      <w:r w:rsidRPr="00E516A2">
        <w:rPr>
          <w:noProof/>
        </w:rPr>
        <w:t xml:space="preserve"> 2005.</w:t>
      </w:r>
    </w:p>
    <w:p w14:paraId="169B90DF" w14:textId="77777777" w:rsidR="00E516A2" w:rsidRPr="00E516A2" w:rsidRDefault="00E516A2" w:rsidP="00E516A2">
      <w:pPr>
        <w:pStyle w:val="EndNoteBibliography"/>
        <w:spacing w:after="0"/>
        <w:ind w:left="720" w:hanging="720"/>
        <w:rPr>
          <w:noProof/>
        </w:rPr>
      </w:pPr>
      <w:r w:rsidRPr="00E516A2">
        <w:rPr>
          <w:noProof/>
        </w:rPr>
        <w:t>215.</w:t>
      </w:r>
      <w:r w:rsidRPr="00E516A2">
        <w:rPr>
          <w:noProof/>
        </w:rPr>
        <w:tab/>
        <w:t xml:space="preserve">Ashton, J., </w:t>
      </w:r>
      <w:r w:rsidRPr="00E516A2">
        <w:rPr>
          <w:i/>
          <w:noProof/>
        </w:rPr>
        <w:t>The art of medicine: defending democracy and the National Health Service.</w:t>
      </w:r>
      <w:r w:rsidRPr="00E516A2">
        <w:rPr>
          <w:noProof/>
        </w:rPr>
        <w:t xml:space="preserve"> The Lancet, 2012. </w:t>
      </w:r>
      <w:r w:rsidRPr="00E516A2">
        <w:rPr>
          <w:b/>
          <w:noProof/>
        </w:rPr>
        <w:t>379</w:t>
      </w:r>
      <w:r w:rsidRPr="00E516A2">
        <w:rPr>
          <w:noProof/>
        </w:rPr>
        <w:t xml:space="preserve">(9820): p. 997-998 </w:t>
      </w:r>
    </w:p>
    <w:p w14:paraId="305D6768" w14:textId="77777777" w:rsidR="00E516A2" w:rsidRPr="00E516A2" w:rsidRDefault="00E516A2" w:rsidP="00E516A2">
      <w:pPr>
        <w:pStyle w:val="EndNoteBibliography"/>
        <w:spacing w:after="0"/>
        <w:ind w:left="720" w:hanging="720"/>
        <w:rPr>
          <w:noProof/>
        </w:rPr>
      </w:pPr>
      <w:r w:rsidRPr="00E516A2">
        <w:rPr>
          <w:noProof/>
        </w:rPr>
        <w:t>216.</w:t>
      </w:r>
      <w:r w:rsidRPr="00E516A2">
        <w:rPr>
          <w:noProof/>
        </w:rPr>
        <w:tab/>
        <w:t xml:space="preserve">Poschinger, H.v. and O.E.L.v. Bismark Schoenhausen, </w:t>
      </w:r>
      <w:r w:rsidRPr="00E516A2">
        <w:rPr>
          <w:i/>
          <w:noProof/>
        </w:rPr>
        <w:t>Fürst Bismark: Neue Tischgespräche und Interviews</w:t>
      </w:r>
      <w:r w:rsidRPr="00E516A2">
        <w:rPr>
          <w:noProof/>
        </w:rPr>
        <w:t>. 1895, Stuttgart.</w:t>
      </w:r>
    </w:p>
    <w:p w14:paraId="710F5D11" w14:textId="77777777" w:rsidR="00E516A2" w:rsidRPr="00E516A2" w:rsidRDefault="00E516A2" w:rsidP="00E516A2">
      <w:pPr>
        <w:pStyle w:val="EndNoteBibliography"/>
        <w:spacing w:after="0"/>
        <w:ind w:left="720" w:hanging="720"/>
        <w:rPr>
          <w:noProof/>
        </w:rPr>
      </w:pPr>
      <w:r w:rsidRPr="00E516A2">
        <w:rPr>
          <w:noProof/>
        </w:rPr>
        <w:t>217.</w:t>
      </w:r>
      <w:r w:rsidRPr="00E516A2">
        <w:rPr>
          <w:noProof/>
        </w:rPr>
        <w:tab/>
        <w:t xml:space="preserve">Broom, D., C. Banwell, and D. Gardner, </w:t>
      </w:r>
      <w:r w:rsidRPr="00E516A2">
        <w:rPr>
          <w:i/>
          <w:noProof/>
        </w:rPr>
        <w:t>Antecedents of Culture-in-Health Research.</w:t>
      </w:r>
      <w:r w:rsidRPr="00E516A2">
        <w:rPr>
          <w:noProof/>
        </w:rPr>
        <w:t xml:space="preserve"> When Culture Impacts Health: Global Lessons for Effective Health Research, 2013: p. 15.</w:t>
      </w:r>
    </w:p>
    <w:p w14:paraId="3621B2F2" w14:textId="77777777" w:rsidR="00E516A2" w:rsidRPr="00E516A2" w:rsidRDefault="00E516A2" w:rsidP="00E516A2">
      <w:pPr>
        <w:pStyle w:val="EndNoteBibliography"/>
        <w:spacing w:after="0"/>
        <w:ind w:left="720" w:hanging="720"/>
        <w:rPr>
          <w:noProof/>
        </w:rPr>
      </w:pPr>
      <w:r w:rsidRPr="00E516A2">
        <w:rPr>
          <w:noProof/>
        </w:rPr>
        <w:t>218.</w:t>
      </w:r>
      <w:r w:rsidRPr="00E516A2">
        <w:rPr>
          <w:noProof/>
        </w:rPr>
        <w:tab/>
        <w:t xml:space="preserve">NICE, </w:t>
      </w:r>
      <w:r w:rsidRPr="00E516A2">
        <w:rPr>
          <w:i/>
          <w:noProof/>
        </w:rPr>
        <w:t>Prevention of sexually transmitted infections and under 18 conceptions</w:t>
      </w:r>
      <w:r w:rsidRPr="00E516A2">
        <w:rPr>
          <w:noProof/>
        </w:rPr>
        <w:t xml:space="preserve">, in </w:t>
      </w:r>
      <w:r w:rsidRPr="00E516A2">
        <w:rPr>
          <w:i/>
          <w:noProof/>
        </w:rPr>
        <w:t>PH3</w:t>
      </w:r>
      <w:r w:rsidRPr="00E516A2">
        <w:rPr>
          <w:noProof/>
        </w:rPr>
        <w:t>. 2007, National Institute for Health and Care Excellence: London.</w:t>
      </w:r>
    </w:p>
    <w:p w14:paraId="74A12F1F" w14:textId="77777777" w:rsidR="00E516A2" w:rsidRPr="00E516A2" w:rsidRDefault="00E516A2" w:rsidP="00E516A2">
      <w:pPr>
        <w:pStyle w:val="EndNoteBibliography"/>
        <w:spacing w:after="0"/>
        <w:ind w:left="720" w:hanging="720"/>
        <w:rPr>
          <w:noProof/>
        </w:rPr>
      </w:pPr>
      <w:r w:rsidRPr="00E516A2">
        <w:rPr>
          <w:noProof/>
        </w:rPr>
        <w:t>219.</w:t>
      </w:r>
      <w:r w:rsidRPr="00E516A2">
        <w:rPr>
          <w:noProof/>
        </w:rPr>
        <w:tab/>
        <w:t xml:space="preserve">NICE, </w:t>
      </w:r>
      <w:r w:rsidRPr="00E516A2">
        <w:rPr>
          <w:i/>
          <w:noProof/>
        </w:rPr>
        <w:t>School-based interventions on alcohol</w:t>
      </w:r>
      <w:r w:rsidRPr="00E516A2">
        <w:rPr>
          <w:noProof/>
        </w:rPr>
        <w:t xml:space="preserve">, in </w:t>
      </w:r>
      <w:r w:rsidRPr="00E516A2">
        <w:rPr>
          <w:i/>
          <w:noProof/>
        </w:rPr>
        <w:t>PH7</w:t>
      </w:r>
      <w:r w:rsidRPr="00E516A2">
        <w:rPr>
          <w:noProof/>
        </w:rPr>
        <w:t xml:space="preserve">. 2007, National Institute for Health and Care Excellence: London </w:t>
      </w:r>
    </w:p>
    <w:p w14:paraId="5A26D12F" w14:textId="77777777" w:rsidR="00E516A2" w:rsidRPr="00E516A2" w:rsidRDefault="00E516A2" w:rsidP="00E516A2">
      <w:pPr>
        <w:pStyle w:val="EndNoteBibliography"/>
        <w:spacing w:after="0"/>
        <w:ind w:left="720" w:hanging="720"/>
        <w:rPr>
          <w:noProof/>
        </w:rPr>
      </w:pPr>
      <w:r w:rsidRPr="00E516A2">
        <w:rPr>
          <w:noProof/>
        </w:rPr>
        <w:t>220.</w:t>
      </w:r>
      <w:r w:rsidRPr="00E516A2">
        <w:rPr>
          <w:noProof/>
        </w:rPr>
        <w:tab/>
        <w:t xml:space="preserve">NICE, </w:t>
      </w:r>
      <w:r w:rsidRPr="00E516A2">
        <w:rPr>
          <w:i/>
          <w:noProof/>
        </w:rPr>
        <w:t>Behaviour change: the principles for effective interventions</w:t>
      </w:r>
      <w:r w:rsidRPr="00E516A2">
        <w:rPr>
          <w:noProof/>
        </w:rPr>
        <w:t xml:space="preserve">, in </w:t>
      </w:r>
      <w:r w:rsidRPr="00E516A2">
        <w:rPr>
          <w:i/>
          <w:noProof/>
        </w:rPr>
        <w:t>PH6</w:t>
      </w:r>
      <w:r w:rsidRPr="00E516A2">
        <w:rPr>
          <w:noProof/>
        </w:rPr>
        <w:t>. 2007, National Institute for Health and Care Excellence: London.</w:t>
      </w:r>
    </w:p>
    <w:p w14:paraId="44C99286" w14:textId="77777777" w:rsidR="00E516A2" w:rsidRPr="00E516A2" w:rsidRDefault="00E516A2" w:rsidP="00E516A2">
      <w:pPr>
        <w:pStyle w:val="EndNoteBibliography"/>
        <w:spacing w:after="0"/>
        <w:ind w:left="720" w:hanging="720"/>
        <w:rPr>
          <w:noProof/>
        </w:rPr>
      </w:pPr>
      <w:r w:rsidRPr="00E516A2">
        <w:rPr>
          <w:noProof/>
        </w:rPr>
        <w:t>221.</w:t>
      </w:r>
      <w:r w:rsidRPr="00E516A2">
        <w:rPr>
          <w:noProof/>
        </w:rPr>
        <w:tab/>
        <w:t xml:space="preserve">NICE, </w:t>
      </w:r>
      <w:r w:rsidRPr="00E516A2">
        <w:rPr>
          <w:i/>
          <w:noProof/>
        </w:rPr>
        <w:t>Community engagement</w:t>
      </w:r>
      <w:r w:rsidRPr="00E516A2">
        <w:rPr>
          <w:noProof/>
        </w:rPr>
        <w:t xml:space="preserve">, in </w:t>
      </w:r>
      <w:r w:rsidRPr="00E516A2">
        <w:rPr>
          <w:i/>
          <w:noProof/>
        </w:rPr>
        <w:t>PH9</w:t>
      </w:r>
      <w:r w:rsidRPr="00E516A2">
        <w:rPr>
          <w:noProof/>
        </w:rPr>
        <w:t>. 2008, National Institute for Health and Care Excellence: London.</w:t>
      </w:r>
    </w:p>
    <w:p w14:paraId="3285529F" w14:textId="77777777" w:rsidR="00E516A2" w:rsidRPr="00E516A2" w:rsidRDefault="00E516A2" w:rsidP="00E516A2">
      <w:pPr>
        <w:pStyle w:val="EndNoteBibliography"/>
        <w:spacing w:after="0"/>
        <w:ind w:left="720" w:hanging="720"/>
        <w:rPr>
          <w:noProof/>
        </w:rPr>
      </w:pPr>
      <w:r w:rsidRPr="00E516A2">
        <w:rPr>
          <w:noProof/>
        </w:rPr>
        <w:t>222.</w:t>
      </w:r>
      <w:r w:rsidRPr="00E516A2">
        <w:rPr>
          <w:noProof/>
        </w:rPr>
        <w:tab/>
        <w:t xml:space="preserve">NICE, </w:t>
      </w:r>
      <w:r w:rsidRPr="00E516A2">
        <w:rPr>
          <w:i/>
          <w:noProof/>
        </w:rPr>
        <w:t>Methods for the development of NICE public health guidance</w:t>
      </w:r>
      <w:r w:rsidRPr="00E516A2">
        <w:rPr>
          <w:noProof/>
        </w:rPr>
        <w:t xml:space="preserve">, in </w:t>
      </w:r>
      <w:r w:rsidRPr="00E516A2">
        <w:rPr>
          <w:i/>
          <w:noProof/>
        </w:rPr>
        <w:t>NICE: London</w:t>
      </w:r>
      <w:r w:rsidRPr="00E516A2">
        <w:rPr>
          <w:noProof/>
        </w:rPr>
        <w:t>. 2006, National Institute for Health and Care Excellence: London.</w:t>
      </w:r>
    </w:p>
    <w:p w14:paraId="4D9EBF4B" w14:textId="77777777" w:rsidR="00E516A2" w:rsidRPr="00E516A2" w:rsidRDefault="00E516A2" w:rsidP="00E516A2">
      <w:pPr>
        <w:pStyle w:val="EndNoteBibliography"/>
        <w:spacing w:after="0"/>
        <w:ind w:left="720" w:hanging="720"/>
        <w:rPr>
          <w:noProof/>
        </w:rPr>
      </w:pPr>
      <w:r w:rsidRPr="00E516A2">
        <w:rPr>
          <w:noProof/>
        </w:rPr>
        <w:t>223.</w:t>
      </w:r>
      <w:r w:rsidRPr="00E516A2">
        <w:rPr>
          <w:noProof/>
        </w:rPr>
        <w:tab/>
        <w:t xml:space="preserve">NICE, </w:t>
      </w:r>
      <w:r w:rsidRPr="00E516A2">
        <w:rPr>
          <w:i/>
          <w:noProof/>
        </w:rPr>
        <w:t>Methods for the development of NICE public health guidance</w:t>
      </w:r>
      <w:r w:rsidRPr="00E516A2">
        <w:rPr>
          <w:noProof/>
        </w:rPr>
        <w:t>. 2006, National Institute for Health and Care Excellence: London.</w:t>
      </w:r>
    </w:p>
    <w:p w14:paraId="2BB9317A" w14:textId="77777777" w:rsidR="00E516A2" w:rsidRPr="00E516A2" w:rsidRDefault="00E516A2" w:rsidP="00E516A2">
      <w:pPr>
        <w:pStyle w:val="EndNoteBibliography"/>
        <w:spacing w:after="0"/>
        <w:ind w:left="720" w:hanging="720"/>
        <w:rPr>
          <w:noProof/>
        </w:rPr>
      </w:pPr>
      <w:r w:rsidRPr="00E516A2">
        <w:rPr>
          <w:noProof/>
        </w:rPr>
        <w:t>224.</w:t>
      </w:r>
      <w:r w:rsidRPr="00E516A2">
        <w:rPr>
          <w:noProof/>
        </w:rPr>
        <w:tab/>
        <w:t xml:space="preserve">NICE, </w:t>
      </w:r>
      <w:r w:rsidRPr="00E516A2">
        <w:rPr>
          <w:i/>
          <w:noProof/>
        </w:rPr>
        <w:t>Methods for the development of NICE public health guidance</w:t>
      </w:r>
      <w:r w:rsidRPr="00E516A2">
        <w:rPr>
          <w:noProof/>
        </w:rPr>
        <w:t>. 2009, National Institute for Health and Care Excellence.: London.</w:t>
      </w:r>
    </w:p>
    <w:p w14:paraId="53780DA4" w14:textId="77777777" w:rsidR="00E516A2" w:rsidRPr="00E516A2" w:rsidRDefault="00E516A2" w:rsidP="00E516A2">
      <w:pPr>
        <w:pStyle w:val="EndNoteBibliography"/>
        <w:spacing w:after="0"/>
        <w:ind w:left="720" w:hanging="720"/>
        <w:rPr>
          <w:noProof/>
        </w:rPr>
      </w:pPr>
      <w:r w:rsidRPr="00E516A2">
        <w:rPr>
          <w:noProof/>
        </w:rPr>
        <w:t>225.</w:t>
      </w:r>
      <w:r w:rsidRPr="00E516A2">
        <w:rPr>
          <w:noProof/>
        </w:rPr>
        <w:tab/>
        <w:t xml:space="preserve">NICE, </w:t>
      </w:r>
      <w:r w:rsidRPr="00E516A2">
        <w:rPr>
          <w:i/>
          <w:noProof/>
        </w:rPr>
        <w:t>Developing NICE guidelines: the manual.</w:t>
      </w:r>
      <w:r w:rsidRPr="00E516A2">
        <w:rPr>
          <w:noProof/>
        </w:rPr>
        <w:t xml:space="preserve"> 2014, National Institute for Health and Care Excellence: London.</w:t>
      </w:r>
    </w:p>
    <w:p w14:paraId="66BE2603" w14:textId="77777777" w:rsidR="00E516A2" w:rsidRPr="00E516A2" w:rsidRDefault="00E516A2" w:rsidP="00E516A2">
      <w:pPr>
        <w:pStyle w:val="EndNoteBibliography"/>
        <w:spacing w:after="0"/>
        <w:ind w:left="720" w:hanging="720"/>
        <w:rPr>
          <w:noProof/>
        </w:rPr>
      </w:pPr>
      <w:r w:rsidRPr="00E516A2">
        <w:rPr>
          <w:noProof/>
        </w:rPr>
        <w:t>226.</w:t>
      </w:r>
      <w:r w:rsidRPr="00E516A2">
        <w:rPr>
          <w:noProof/>
        </w:rPr>
        <w:tab/>
        <w:t xml:space="preserve">HM Treasury, </w:t>
      </w:r>
      <w:r w:rsidRPr="00E516A2">
        <w:rPr>
          <w:i/>
          <w:noProof/>
        </w:rPr>
        <w:t>The Green Book: appraisal and evaluation in central government: Treasury guidance</w:t>
      </w:r>
      <w:r w:rsidRPr="00E516A2">
        <w:rPr>
          <w:noProof/>
        </w:rPr>
        <w:t>. 2003: Stationery Office.</w:t>
      </w:r>
    </w:p>
    <w:p w14:paraId="73395893" w14:textId="77777777" w:rsidR="00E516A2" w:rsidRPr="00E516A2" w:rsidRDefault="00E516A2" w:rsidP="00E516A2">
      <w:pPr>
        <w:pStyle w:val="EndNoteBibliography"/>
        <w:spacing w:after="0"/>
        <w:ind w:left="720" w:hanging="720"/>
        <w:rPr>
          <w:noProof/>
        </w:rPr>
      </w:pPr>
      <w:r w:rsidRPr="00E516A2">
        <w:rPr>
          <w:noProof/>
        </w:rPr>
        <w:t>227.</w:t>
      </w:r>
      <w:r w:rsidRPr="00E516A2">
        <w:rPr>
          <w:noProof/>
        </w:rPr>
        <w:tab/>
        <w:t xml:space="preserve">NICE, </w:t>
      </w:r>
      <w:r w:rsidRPr="00E516A2">
        <w:rPr>
          <w:i/>
          <w:noProof/>
        </w:rPr>
        <w:t>Guide to the Methods of Technology Appraisals</w:t>
      </w:r>
      <w:r w:rsidRPr="00E516A2">
        <w:rPr>
          <w:noProof/>
        </w:rPr>
        <w:t>. 2008, National Institute for Health and Care Excellence.: London.</w:t>
      </w:r>
    </w:p>
    <w:p w14:paraId="1B792203" w14:textId="77777777" w:rsidR="00E516A2" w:rsidRPr="00E516A2" w:rsidRDefault="00E516A2" w:rsidP="00E516A2">
      <w:pPr>
        <w:pStyle w:val="EndNoteBibliography"/>
        <w:spacing w:after="0"/>
        <w:ind w:left="720" w:hanging="720"/>
        <w:rPr>
          <w:noProof/>
        </w:rPr>
      </w:pPr>
      <w:r w:rsidRPr="00E516A2">
        <w:rPr>
          <w:noProof/>
        </w:rPr>
        <w:t>228.</w:t>
      </w:r>
      <w:r w:rsidRPr="00E516A2">
        <w:rPr>
          <w:noProof/>
        </w:rPr>
        <w:tab/>
        <w:t xml:space="preserve">Rawlins, M., </w:t>
      </w:r>
      <w:r w:rsidRPr="00E516A2">
        <w:rPr>
          <w:i/>
          <w:noProof/>
        </w:rPr>
        <w:t>Reflections: NICE, health economics, and outcomes research.</w:t>
      </w:r>
      <w:r w:rsidRPr="00E516A2">
        <w:rPr>
          <w:noProof/>
        </w:rPr>
        <w:t xml:space="preserve"> Value in Health, 2012. </w:t>
      </w:r>
      <w:r w:rsidRPr="00E516A2">
        <w:rPr>
          <w:b/>
          <w:noProof/>
        </w:rPr>
        <w:t>15</w:t>
      </w:r>
      <w:r w:rsidRPr="00E516A2">
        <w:rPr>
          <w:noProof/>
        </w:rPr>
        <w:t>(3): p. 568-569.</w:t>
      </w:r>
    </w:p>
    <w:p w14:paraId="439D2B80" w14:textId="77777777" w:rsidR="00E516A2" w:rsidRPr="00E516A2" w:rsidRDefault="00E516A2" w:rsidP="00E516A2">
      <w:pPr>
        <w:pStyle w:val="EndNoteBibliography"/>
        <w:spacing w:after="0"/>
        <w:ind w:left="720" w:hanging="720"/>
        <w:rPr>
          <w:noProof/>
        </w:rPr>
      </w:pPr>
      <w:r w:rsidRPr="00E516A2">
        <w:rPr>
          <w:noProof/>
        </w:rPr>
        <w:t>229.</w:t>
      </w:r>
      <w:r w:rsidRPr="00E516A2">
        <w:rPr>
          <w:noProof/>
        </w:rPr>
        <w:tab/>
        <w:t xml:space="preserve">UK Government, </w:t>
      </w:r>
      <w:r w:rsidRPr="00E516A2">
        <w:rPr>
          <w:i/>
          <w:noProof/>
        </w:rPr>
        <w:t xml:space="preserve">Equality Act 2010 </w:t>
      </w:r>
      <w:r w:rsidRPr="00E516A2">
        <w:rPr>
          <w:noProof/>
        </w:rPr>
        <w:t>E.a.H.R. Commission., Editor. 2010: London.</w:t>
      </w:r>
    </w:p>
    <w:p w14:paraId="695D99EF" w14:textId="77777777" w:rsidR="00E516A2" w:rsidRPr="00E516A2" w:rsidRDefault="00E516A2" w:rsidP="00E516A2">
      <w:pPr>
        <w:pStyle w:val="EndNoteBibliography"/>
        <w:spacing w:after="0"/>
        <w:ind w:left="720" w:hanging="720"/>
        <w:rPr>
          <w:noProof/>
        </w:rPr>
      </w:pPr>
      <w:r w:rsidRPr="00E516A2">
        <w:rPr>
          <w:noProof/>
        </w:rPr>
        <w:t>230.</w:t>
      </w:r>
      <w:r w:rsidRPr="00E516A2">
        <w:rPr>
          <w:noProof/>
        </w:rPr>
        <w:tab/>
        <w:t xml:space="preserve">UK Government, </w:t>
      </w:r>
      <w:r w:rsidRPr="00E516A2">
        <w:rPr>
          <w:i/>
          <w:noProof/>
        </w:rPr>
        <w:t>Human Rights Act</w:t>
      </w:r>
      <w:r w:rsidRPr="00E516A2">
        <w:rPr>
          <w:noProof/>
        </w:rPr>
        <w:t>. 1998: London.</w:t>
      </w:r>
    </w:p>
    <w:p w14:paraId="32599939" w14:textId="77777777" w:rsidR="00E516A2" w:rsidRPr="00E516A2" w:rsidRDefault="00E516A2" w:rsidP="00E516A2">
      <w:pPr>
        <w:pStyle w:val="EndNoteBibliography"/>
        <w:spacing w:after="0"/>
        <w:ind w:left="720" w:hanging="720"/>
        <w:rPr>
          <w:noProof/>
        </w:rPr>
      </w:pPr>
      <w:r w:rsidRPr="00E516A2">
        <w:rPr>
          <w:noProof/>
        </w:rPr>
        <w:t>231.</w:t>
      </w:r>
      <w:r w:rsidRPr="00E516A2">
        <w:rPr>
          <w:noProof/>
        </w:rPr>
        <w:tab/>
        <w:t xml:space="preserve">NICE, </w:t>
      </w:r>
      <w:r w:rsidRPr="00E516A2">
        <w:rPr>
          <w:i/>
          <w:noProof/>
        </w:rPr>
        <w:t>Interventions to reduce substance misuse among vulnerable young people</w:t>
      </w:r>
      <w:r w:rsidRPr="00E516A2">
        <w:rPr>
          <w:noProof/>
        </w:rPr>
        <w:t xml:space="preserve">, in </w:t>
      </w:r>
      <w:r w:rsidRPr="00E516A2">
        <w:rPr>
          <w:i/>
          <w:noProof/>
        </w:rPr>
        <w:t>PH4</w:t>
      </w:r>
      <w:r w:rsidRPr="00E516A2">
        <w:rPr>
          <w:noProof/>
        </w:rPr>
        <w:t>. 2007, National Institute for Health and Care Excellence: London.</w:t>
      </w:r>
    </w:p>
    <w:p w14:paraId="0706A702" w14:textId="77777777" w:rsidR="00E516A2" w:rsidRPr="00E516A2" w:rsidRDefault="00E516A2" w:rsidP="00E516A2">
      <w:pPr>
        <w:pStyle w:val="EndNoteBibliography"/>
        <w:spacing w:after="0"/>
        <w:ind w:left="720" w:hanging="720"/>
        <w:rPr>
          <w:noProof/>
        </w:rPr>
      </w:pPr>
      <w:r w:rsidRPr="00E516A2">
        <w:rPr>
          <w:noProof/>
        </w:rPr>
        <w:t>232.</w:t>
      </w:r>
      <w:r w:rsidRPr="00E516A2">
        <w:rPr>
          <w:noProof/>
        </w:rPr>
        <w:tab/>
        <w:t xml:space="preserve">NICE, </w:t>
      </w:r>
      <w:r w:rsidRPr="00E516A2">
        <w:rPr>
          <w:i/>
          <w:noProof/>
        </w:rPr>
        <w:t>Smokeless tobacco cessation: South Asian communities</w:t>
      </w:r>
      <w:r w:rsidRPr="00E516A2">
        <w:rPr>
          <w:noProof/>
        </w:rPr>
        <w:t xml:space="preserve">, in </w:t>
      </w:r>
      <w:r w:rsidRPr="00E516A2">
        <w:rPr>
          <w:i/>
          <w:noProof/>
        </w:rPr>
        <w:t>PH39</w:t>
      </w:r>
      <w:r w:rsidRPr="00E516A2">
        <w:rPr>
          <w:noProof/>
        </w:rPr>
        <w:t>. 2012, National Institute for Health and Care Excellence: London.</w:t>
      </w:r>
    </w:p>
    <w:p w14:paraId="60C2590C" w14:textId="77777777" w:rsidR="00E516A2" w:rsidRPr="00E516A2" w:rsidRDefault="00E516A2" w:rsidP="00E516A2">
      <w:pPr>
        <w:pStyle w:val="EndNoteBibliography"/>
        <w:spacing w:after="0"/>
        <w:ind w:left="720" w:hanging="720"/>
        <w:rPr>
          <w:noProof/>
        </w:rPr>
      </w:pPr>
      <w:r w:rsidRPr="00E516A2">
        <w:rPr>
          <w:noProof/>
        </w:rPr>
        <w:t>233.</w:t>
      </w:r>
      <w:r w:rsidRPr="00E516A2">
        <w:rPr>
          <w:noProof/>
        </w:rPr>
        <w:tab/>
        <w:t xml:space="preserve">Woodcock, J., et al., </w:t>
      </w:r>
      <w:r w:rsidRPr="00E516A2">
        <w:rPr>
          <w:i/>
          <w:noProof/>
        </w:rPr>
        <w:t>Health effects of the London bicycle sharing system: health impact modelling study.</w:t>
      </w:r>
      <w:r w:rsidRPr="00E516A2">
        <w:rPr>
          <w:noProof/>
        </w:rPr>
        <w:t xml:space="preserve"> BMJ: British Medical Journal, 2014. </w:t>
      </w:r>
      <w:r w:rsidRPr="00E516A2">
        <w:rPr>
          <w:b/>
          <w:noProof/>
        </w:rPr>
        <w:t>348</w:t>
      </w:r>
      <w:r w:rsidRPr="00E516A2">
        <w:rPr>
          <w:noProof/>
        </w:rPr>
        <w:t>.</w:t>
      </w:r>
    </w:p>
    <w:p w14:paraId="70133004" w14:textId="77777777" w:rsidR="00E516A2" w:rsidRPr="00E516A2" w:rsidRDefault="00E516A2" w:rsidP="00E516A2">
      <w:pPr>
        <w:pStyle w:val="EndNoteBibliography"/>
        <w:spacing w:after="0"/>
        <w:ind w:left="720" w:hanging="720"/>
        <w:rPr>
          <w:noProof/>
        </w:rPr>
      </w:pPr>
      <w:r w:rsidRPr="00E516A2">
        <w:rPr>
          <w:noProof/>
        </w:rPr>
        <w:t>234.</w:t>
      </w:r>
      <w:r w:rsidRPr="00E516A2">
        <w:rPr>
          <w:noProof/>
        </w:rPr>
        <w:tab/>
        <w:t xml:space="preserve">Ogilvie, F. and A. Goodman, </w:t>
      </w:r>
      <w:r w:rsidRPr="00E516A2">
        <w:rPr>
          <w:i/>
          <w:noProof/>
        </w:rPr>
        <w:t>Inequalities in usage of a public bicycle sharing scheme: socio-demographic predictors of uptake and usage of the London (UK) cycle hire scheme.</w:t>
      </w:r>
      <w:r w:rsidRPr="00E516A2">
        <w:rPr>
          <w:noProof/>
        </w:rPr>
        <w:t xml:space="preserve"> Preventive medicine, 2012. </w:t>
      </w:r>
      <w:r w:rsidRPr="00E516A2">
        <w:rPr>
          <w:b/>
          <w:noProof/>
        </w:rPr>
        <w:t>55</w:t>
      </w:r>
      <w:r w:rsidRPr="00E516A2">
        <w:rPr>
          <w:noProof/>
        </w:rPr>
        <w:t>(1): p. 40-45.</w:t>
      </w:r>
    </w:p>
    <w:p w14:paraId="2E7B8BF7" w14:textId="77777777" w:rsidR="00E516A2" w:rsidRPr="00E516A2" w:rsidRDefault="00E516A2" w:rsidP="00E516A2">
      <w:pPr>
        <w:pStyle w:val="EndNoteBibliography"/>
        <w:spacing w:after="0"/>
        <w:ind w:left="720" w:hanging="720"/>
        <w:rPr>
          <w:noProof/>
        </w:rPr>
      </w:pPr>
      <w:r w:rsidRPr="00E516A2">
        <w:rPr>
          <w:noProof/>
        </w:rPr>
        <w:t>235.</w:t>
      </w:r>
      <w:r w:rsidRPr="00E516A2">
        <w:rPr>
          <w:noProof/>
        </w:rPr>
        <w:tab/>
        <w:t xml:space="preserve">NICE, </w:t>
      </w:r>
      <w:r w:rsidRPr="00E516A2">
        <w:rPr>
          <w:i/>
          <w:noProof/>
        </w:rPr>
        <w:t xml:space="preserve">Supporting investment in public health: Review of methods for assessing cost-effectiveness, cost impact and return on investment. </w:t>
      </w:r>
      <w:r w:rsidRPr="00E516A2">
        <w:rPr>
          <w:noProof/>
        </w:rPr>
        <w:t>. 2011, National Institute for Health and Care Excellence.: London.</w:t>
      </w:r>
    </w:p>
    <w:p w14:paraId="4D4297FC" w14:textId="77777777" w:rsidR="00E516A2" w:rsidRPr="00E516A2" w:rsidRDefault="00E516A2" w:rsidP="00E516A2">
      <w:pPr>
        <w:pStyle w:val="EndNoteBibliography"/>
        <w:spacing w:after="0"/>
        <w:ind w:left="720" w:hanging="720"/>
        <w:rPr>
          <w:noProof/>
        </w:rPr>
      </w:pPr>
      <w:r w:rsidRPr="00E516A2">
        <w:rPr>
          <w:noProof/>
        </w:rPr>
        <w:t>236.</w:t>
      </w:r>
      <w:r w:rsidRPr="00E516A2">
        <w:rPr>
          <w:noProof/>
        </w:rPr>
        <w:tab/>
        <w:t xml:space="preserve">Claxton, K., et al., </w:t>
      </w:r>
      <w:r w:rsidRPr="00E516A2">
        <w:rPr>
          <w:i/>
          <w:noProof/>
        </w:rPr>
        <w:t>Methods for the estimation of the NICE cost effectiveness threshold.</w:t>
      </w:r>
      <w:r w:rsidRPr="00E516A2">
        <w:rPr>
          <w:noProof/>
        </w:rPr>
        <w:t xml:space="preserve"> York: University of York, 2013.</w:t>
      </w:r>
    </w:p>
    <w:p w14:paraId="248F5F15" w14:textId="77777777" w:rsidR="00E516A2" w:rsidRPr="00E516A2" w:rsidRDefault="00E516A2" w:rsidP="00E516A2">
      <w:pPr>
        <w:pStyle w:val="EndNoteBibliography"/>
        <w:spacing w:after="0"/>
        <w:ind w:left="720" w:hanging="720"/>
        <w:rPr>
          <w:noProof/>
        </w:rPr>
      </w:pPr>
      <w:r w:rsidRPr="00E516A2">
        <w:rPr>
          <w:noProof/>
        </w:rPr>
        <w:t>237.</w:t>
      </w:r>
      <w:r w:rsidRPr="00E516A2">
        <w:rPr>
          <w:noProof/>
        </w:rPr>
        <w:tab/>
        <w:t>Rawlins, M</w:t>
      </w:r>
      <w:r w:rsidRPr="00E516A2">
        <w:rPr>
          <w:rFonts w:hint="eastAsia"/>
          <w:noProof/>
        </w:rPr>
        <w:t xml:space="preserve">., D. Barnett, and A. Stevens, </w:t>
      </w:r>
      <w:r w:rsidRPr="00E516A2">
        <w:rPr>
          <w:rFonts w:hint="eastAsia"/>
          <w:i/>
          <w:noProof/>
        </w:rPr>
        <w:t>Pharmacoeconomics: NICE's approach to decision</w:t>
      </w:r>
      <w:r w:rsidRPr="00E516A2">
        <w:rPr>
          <w:rFonts w:hint="eastAsia"/>
          <w:i/>
          <w:noProof/>
        </w:rPr>
        <w:t>‐</w:t>
      </w:r>
      <w:r w:rsidRPr="00E516A2">
        <w:rPr>
          <w:rFonts w:hint="eastAsia"/>
          <w:i/>
          <w:noProof/>
        </w:rPr>
        <w:t>making.</w:t>
      </w:r>
      <w:r w:rsidRPr="00E516A2">
        <w:rPr>
          <w:rFonts w:hint="eastAsia"/>
          <w:noProof/>
        </w:rPr>
        <w:t xml:space="preserve"> British journal of clinical pharmacology, 2010. </w:t>
      </w:r>
      <w:r w:rsidRPr="00E516A2">
        <w:rPr>
          <w:rFonts w:hint="eastAsia"/>
          <w:b/>
          <w:noProof/>
        </w:rPr>
        <w:t>70</w:t>
      </w:r>
      <w:r w:rsidRPr="00E516A2">
        <w:rPr>
          <w:rFonts w:hint="eastAsia"/>
          <w:noProof/>
        </w:rPr>
        <w:t>(3): p. 346-349.</w:t>
      </w:r>
    </w:p>
    <w:p w14:paraId="1CD75D47" w14:textId="77777777" w:rsidR="00E516A2" w:rsidRPr="00E516A2" w:rsidRDefault="00E516A2" w:rsidP="00E516A2">
      <w:pPr>
        <w:pStyle w:val="EndNoteBibliography"/>
        <w:spacing w:after="0"/>
        <w:ind w:left="720" w:hanging="720"/>
        <w:rPr>
          <w:noProof/>
        </w:rPr>
      </w:pPr>
      <w:r w:rsidRPr="00E516A2">
        <w:rPr>
          <w:noProof/>
        </w:rPr>
        <w:t>238.</w:t>
      </w:r>
      <w:r w:rsidRPr="00E516A2">
        <w:rPr>
          <w:noProof/>
        </w:rPr>
        <w:tab/>
        <w:t xml:space="preserve">NICE, </w:t>
      </w:r>
      <w:r w:rsidRPr="00E516A2">
        <w:rPr>
          <w:i/>
          <w:noProof/>
        </w:rPr>
        <w:t>Managing overweight and obesity among children and young people: lifestyle weight management services.</w:t>
      </w:r>
      <w:r w:rsidRPr="00E516A2">
        <w:rPr>
          <w:noProof/>
        </w:rPr>
        <w:t xml:space="preserve">, in </w:t>
      </w:r>
      <w:r w:rsidRPr="00E516A2">
        <w:rPr>
          <w:i/>
          <w:noProof/>
        </w:rPr>
        <w:t>PH47</w:t>
      </w:r>
      <w:r w:rsidRPr="00E516A2">
        <w:rPr>
          <w:noProof/>
        </w:rPr>
        <w:t>. 2013, National Institute for Health and Care Excellence: London.</w:t>
      </w:r>
    </w:p>
    <w:p w14:paraId="72AF980D" w14:textId="77777777" w:rsidR="00E516A2" w:rsidRPr="00E516A2" w:rsidRDefault="00E516A2" w:rsidP="00E516A2">
      <w:pPr>
        <w:pStyle w:val="EndNoteBibliography"/>
        <w:spacing w:after="0"/>
        <w:ind w:left="720" w:hanging="720"/>
        <w:rPr>
          <w:noProof/>
        </w:rPr>
      </w:pPr>
      <w:r w:rsidRPr="00E516A2">
        <w:rPr>
          <w:noProof/>
        </w:rPr>
        <w:t>239.</w:t>
      </w:r>
      <w:r w:rsidRPr="00E516A2">
        <w:rPr>
          <w:noProof/>
        </w:rPr>
        <w:tab/>
        <w:t xml:space="preserve">NICE, </w:t>
      </w:r>
      <w:r w:rsidRPr="00E516A2">
        <w:rPr>
          <w:i/>
          <w:noProof/>
        </w:rPr>
        <w:t>Smoking cessation in secondary care: acute, maternity and mental health services.</w:t>
      </w:r>
      <w:r w:rsidRPr="00E516A2">
        <w:rPr>
          <w:noProof/>
        </w:rPr>
        <w:t xml:space="preserve">, in </w:t>
      </w:r>
      <w:r w:rsidRPr="00E516A2">
        <w:rPr>
          <w:i/>
          <w:noProof/>
        </w:rPr>
        <w:t>PH48</w:t>
      </w:r>
      <w:r w:rsidRPr="00E516A2">
        <w:rPr>
          <w:noProof/>
        </w:rPr>
        <w:t>. 2013, National Institute for Health and Care Excellence: London.</w:t>
      </w:r>
    </w:p>
    <w:p w14:paraId="3F612F41" w14:textId="77777777" w:rsidR="00E516A2" w:rsidRPr="00E516A2" w:rsidRDefault="00E516A2" w:rsidP="00E516A2">
      <w:pPr>
        <w:pStyle w:val="EndNoteBibliography"/>
        <w:spacing w:after="0"/>
        <w:ind w:left="720" w:hanging="720"/>
        <w:rPr>
          <w:noProof/>
        </w:rPr>
      </w:pPr>
      <w:r w:rsidRPr="00E516A2">
        <w:rPr>
          <w:noProof/>
        </w:rPr>
        <w:t>240.</w:t>
      </w:r>
      <w:r w:rsidRPr="00E516A2">
        <w:rPr>
          <w:noProof/>
        </w:rPr>
        <w:tab/>
        <w:t xml:space="preserve">NICE, </w:t>
      </w:r>
      <w:r w:rsidRPr="00E516A2">
        <w:rPr>
          <w:i/>
          <w:noProof/>
        </w:rPr>
        <w:t>Domestic violence and abuse: how health services, social care and the organisations they work with can respond effectively.</w:t>
      </w:r>
      <w:r w:rsidRPr="00E516A2">
        <w:rPr>
          <w:noProof/>
        </w:rPr>
        <w:t xml:space="preserve">, in </w:t>
      </w:r>
      <w:r w:rsidRPr="00E516A2">
        <w:rPr>
          <w:i/>
          <w:noProof/>
        </w:rPr>
        <w:t>PH50</w:t>
      </w:r>
      <w:r w:rsidRPr="00E516A2">
        <w:rPr>
          <w:noProof/>
        </w:rPr>
        <w:t>. 2014, National Institute for Health and Care Excellence: London.</w:t>
      </w:r>
    </w:p>
    <w:p w14:paraId="7A46B350" w14:textId="6D8793B9" w:rsidR="00E516A2" w:rsidRPr="00E516A2" w:rsidRDefault="00E516A2" w:rsidP="00E516A2">
      <w:pPr>
        <w:pStyle w:val="EndNoteBibliography"/>
        <w:spacing w:after="0"/>
        <w:ind w:left="720" w:hanging="720"/>
        <w:rPr>
          <w:noProof/>
        </w:rPr>
      </w:pPr>
      <w:r w:rsidRPr="00E516A2">
        <w:rPr>
          <w:noProof/>
        </w:rPr>
        <w:t>241.</w:t>
      </w:r>
      <w:r w:rsidRPr="00E516A2">
        <w:rPr>
          <w:noProof/>
        </w:rPr>
        <w:tab/>
        <w:t xml:space="preserve">NICE. </w:t>
      </w:r>
      <w:r w:rsidRPr="00E516A2">
        <w:rPr>
          <w:i/>
          <w:noProof/>
        </w:rPr>
        <w:t>Physical activity return on investment tool</w:t>
      </w:r>
      <w:r w:rsidRPr="00E516A2">
        <w:rPr>
          <w:noProof/>
        </w:rPr>
        <w:t xml:space="preserve">. 2015  [cited 2016 Jan 1]; Available from: </w:t>
      </w:r>
      <w:hyperlink r:id="rId62" w:history="1">
        <w:r w:rsidRPr="00E516A2">
          <w:rPr>
            <w:rStyle w:val="Hyperlink"/>
            <w:noProof/>
          </w:rPr>
          <w:t>http://www.nice.org.uk/About/What-we-do/Into-practice/Return-on-investment-tools/Physical-activity-return-on-investment-tool</w:t>
        </w:r>
      </w:hyperlink>
      <w:r w:rsidRPr="00E516A2">
        <w:rPr>
          <w:noProof/>
        </w:rPr>
        <w:t>.</w:t>
      </w:r>
    </w:p>
    <w:p w14:paraId="569677E0" w14:textId="7ACC6BF0" w:rsidR="00E516A2" w:rsidRPr="00E516A2" w:rsidRDefault="00E516A2" w:rsidP="00E516A2">
      <w:pPr>
        <w:pStyle w:val="EndNoteBibliography"/>
        <w:spacing w:after="0"/>
        <w:ind w:left="720" w:hanging="720"/>
        <w:rPr>
          <w:noProof/>
        </w:rPr>
      </w:pPr>
      <w:r w:rsidRPr="00E516A2">
        <w:rPr>
          <w:noProof/>
        </w:rPr>
        <w:t>242.</w:t>
      </w:r>
      <w:r w:rsidRPr="00E516A2">
        <w:rPr>
          <w:noProof/>
        </w:rPr>
        <w:tab/>
        <w:t xml:space="preserve">NICE. </w:t>
      </w:r>
      <w:r w:rsidRPr="00E516A2">
        <w:rPr>
          <w:i/>
          <w:noProof/>
        </w:rPr>
        <w:t>Tobacco return on investment tool</w:t>
      </w:r>
      <w:r w:rsidRPr="00E516A2">
        <w:rPr>
          <w:noProof/>
        </w:rPr>
        <w:t xml:space="preserve">. 2015  [cited 2016 Jan 1]; Available from: </w:t>
      </w:r>
      <w:hyperlink r:id="rId63" w:history="1">
        <w:r w:rsidRPr="00E516A2">
          <w:rPr>
            <w:rStyle w:val="Hyperlink"/>
            <w:noProof/>
          </w:rPr>
          <w:t>http://www.nice.org.uk/About/What-we-do/Into-practice/Return-on-investment-tools/Tobacco-Return-on-Investment-tool</w:t>
        </w:r>
      </w:hyperlink>
      <w:r w:rsidRPr="00E516A2">
        <w:rPr>
          <w:noProof/>
        </w:rPr>
        <w:t>.</w:t>
      </w:r>
    </w:p>
    <w:p w14:paraId="310598C7" w14:textId="7795F3E8" w:rsidR="00E516A2" w:rsidRPr="00E516A2" w:rsidRDefault="00E516A2" w:rsidP="00E516A2">
      <w:pPr>
        <w:pStyle w:val="EndNoteBibliography"/>
        <w:spacing w:after="0"/>
        <w:ind w:left="720" w:hanging="720"/>
        <w:rPr>
          <w:noProof/>
        </w:rPr>
      </w:pPr>
      <w:r w:rsidRPr="00E516A2">
        <w:rPr>
          <w:noProof/>
        </w:rPr>
        <w:t>243.</w:t>
      </w:r>
      <w:r w:rsidRPr="00E516A2">
        <w:rPr>
          <w:noProof/>
        </w:rPr>
        <w:tab/>
        <w:t xml:space="preserve">NICE. </w:t>
      </w:r>
      <w:r w:rsidRPr="00E516A2">
        <w:rPr>
          <w:i/>
          <w:noProof/>
        </w:rPr>
        <w:t>Alcohol return on investment tool</w:t>
      </w:r>
      <w:r w:rsidRPr="00E516A2">
        <w:rPr>
          <w:noProof/>
        </w:rPr>
        <w:t xml:space="preserve">. 2015  [cited 2016 Jan 1]; Available from: </w:t>
      </w:r>
      <w:hyperlink r:id="rId64" w:history="1">
        <w:r w:rsidRPr="00E516A2">
          <w:rPr>
            <w:rStyle w:val="Hyperlink"/>
            <w:noProof/>
          </w:rPr>
          <w:t>http://www.nice.org.uk/About/What-we-do/Into-practice/Return-on-investment-tools/Alcohol-return-on-investment-tool</w:t>
        </w:r>
      </w:hyperlink>
      <w:r w:rsidRPr="00E516A2">
        <w:rPr>
          <w:noProof/>
        </w:rPr>
        <w:t>.</w:t>
      </w:r>
    </w:p>
    <w:p w14:paraId="5210880E" w14:textId="77777777" w:rsidR="00E516A2" w:rsidRPr="00E516A2" w:rsidRDefault="00E516A2" w:rsidP="00E516A2">
      <w:pPr>
        <w:pStyle w:val="EndNoteBibliography"/>
        <w:spacing w:after="0"/>
        <w:ind w:left="720" w:hanging="720"/>
        <w:rPr>
          <w:noProof/>
        </w:rPr>
      </w:pPr>
      <w:r w:rsidRPr="00E516A2">
        <w:rPr>
          <w:noProof/>
        </w:rPr>
        <w:t>244.</w:t>
      </w:r>
      <w:r w:rsidRPr="00E516A2">
        <w:rPr>
          <w:noProof/>
        </w:rPr>
        <w:tab/>
        <w:t xml:space="preserve">Hadorn, D.C., </w:t>
      </w:r>
      <w:r w:rsidRPr="00E516A2">
        <w:rPr>
          <w:i/>
          <w:noProof/>
        </w:rPr>
        <w:t>The role of public values in setting health care priorities.</w:t>
      </w:r>
      <w:r w:rsidRPr="00E516A2">
        <w:rPr>
          <w:noProof/>
        </w:rPr>
        <w:t xml:space="preserve"> Social science &amp; medicine, 1991. </w:t>
      </w:r>
      <w:r w:rsidRPr="00E516A2">
        <w:rPr>
          <w:b/>
          <w:noProof/>
        </w:rPr>
        <w:t>32</w:t>
      </w:r>
      <w:r w:rsidRPr="00E516A2">
        <w:rPr>
          <w:noProof/>
        </w:rPr>
        <w:t>(7): p. 773-781.</w:t>
      </w:r>
    </w:p>
    <w:p w14:paraId="2248D189" w14:textId="77777777" w:rsidR="00E516A2" w:rsidRPr="00E516A2" w:rsidRDefault="00E516A2" w:rsidP="00E516A2">
      <w:pPr>
        <w:pStyle w:val="EndNoteBibliography"/>
        <w:spacing w:after="0"/>
        <w:ind w:left="720" w:hanging="720"/>
        <w:rPr>
          <w:noProof/>
        </w:rPr>
      </w:pPr>
      <w:r w:rsidRPr="00E516A2">
        <w:rPr>
          <w:noProof/>
        </w:rPr>
        <w:t>245.</w:t>
      </w:r>
      <w:r w:rsidRPr="00E516A2">
        <w:rPr>
          <w:noProof/>
        </w:rPr>
        <w:tab/>
        <w:t xml:space="preserve">NICE, </w:t>
      </w:r>
      <w:r w:rsidRPr="00E516A2">
        <w:rPr>
          <w:i/>
          <w:noProof/>
        </w:rPr>
        <w:t xml:space="preserve">What are the societal values that need to be considered when making decisions about trade-offs between equity and efficiency? Citizens Council Meeting report: 8-9 May 2014. </w:t>
      </w:r>
      <w:r w:rsidRPr="00E516A2">
        <w:rPr>
          <w:noProof/>
        </w:rPr>
        <w:t>. 2014, National Institute for Health and Care Excellence: London.</w:t>
      </w:r>
    </w:p>
    <w:p w14:paraId="5C6CDA2F" w14:textId="77777777" w:rsidR="00E516A2" w:rsidRPr="00E516A2" w:rsidRDefault="00E516A2" w:rsidP="00E516A2">
      <w:pPr>
        <w:pStyle w:val="EndNoteBibliography"/>
        <w:spacing w:after="0"/>
        <w:ind w:left="720" w:hanging="720"/>
        <w:rPr>
          <w:noProof/>
        </w:rPr>
      </w:pPr>
      <w:r w:rsidRPr="00E516A2">
        <w:rPr>
          <w:noProof/>
        </w:rPr>
        <w:t>246.</w:t>
      </w:r>
      <w:r w:rsidRPr="00E516A2">
        <w:rPr>
          <w:noProof/>
        </w:rPr>
        <w:tab/>
        <w:t xml:space="preserve">Anonymous, </w:t>
      </w:r>
      <w:r w:rsidRPr="00E516A2">
        <w:rPr>
          <w:i/>
          <w:noProof/>
        </w:rPr>
        <w:t>Homosexuals to get Viagra for free on the NHS</w:t>
      </w:r>
      <w:r w:rsidRPr="00E516A2">
        <w:rPr>
          <w:noProof/>
        </w:rPr>
        <w:t xml:space="preserve">, in </w:t>
      </w:r>
      <w:r w:rsidRPr="00E516A2">
        <w:rPr>
          <w:i/>
          <w:noProof/>
        </w:rPr>
        <w:t>The Sunday Times</w:t>
      </w:r>
      <w:r w:rsidRPr="00E516A2">
        <w:rPr>
          <w:noProof/>
        </w:rPr>
        <w:t>. 1998: UK. p. 1.</w:t>
      </w:r>
    </w:p>
    <w:p w14:paraId="7DA769C5" w14:textId="77777777" w:rsidR="00E516A2" w:rsidRPr="00E516A2" w:rsidRDefault="00E516A2" w:rsidP="00E516A2">
      <w:pPr>
        <w:pStyle w:val="EndNoteBibliography"/>
        <w:spacing w:after="0"/>
        <w:ind w:left="720" w:hanging="720"/>
        <w:rPr>
          <w:noProof/>
        </w:rPr>
      </w:pPr>
      <w:r w:rsidRPr="00E516A2">
        <w:rPr>
          <w:noProof/>
        </w:rPr>
        <w:t>247.</w:t>
      </w:r>
      <w:r w:rsidRPr="00E516A2">
        <w:rPr>
          <w:noProof/>
        </w:rPr>
        <w:tab/>
        <w:t xml:space="preserve">Kant, I., P. Guyer, and A.W. Wood, </w:t>
      </w:r>
      <w:r w:rsidRPr="00E516A2">
        <w:rPr>
          <w:i/>
          <w:noProof/>
        </w:rPr>
        <w:t>Critique of pure reason</w:t>
      </w:r>
      <w:r w:rsidRPr="00E516A2">
        <w:rPr>
          <w:noProof/>
        </w:rPr>
        <w:t>. 1998: Cambridge University Press.</w:t>
      </w:r>
    </w:p>
    <w:p w14:paraId="115BDFDA" w14:textId="77777777" w:rsidR="00E516A2" w:rsidRPr="00E516A2" w:rsidRDefault="00E516A2" w:rsidP="00E516A2">
      <w:pPr>
        <w:pStyle w:val="EndNoteBibliography"/>
        <w:spacing w:after="0"/>
        <w:ind w:left="720" w:hanging="720"/>
        <w:rPr>
          <w:noProof/>
        </w:rPr>
      </w:pPr>
      <w:r w:rsidRPr="00E516A2">
        <w:rPr>
          <w:noProof/>
        </w:rPr>
        <w:t>248.</w:t>
      </w:r>
      <w:r w:rsidRPr="00E516A2">
        <w:rPr>
          <w:noProof/>
        </w:rPr>
        <w:tab/>
        <w:t xml:space="preserve">Kelly, M.P. and T.A. Moore, </w:t>
      </w:r>
      <w:r w:rsidRPr="00E516A2">
        <w:rPr>
          <w:i/>
          <w:noProof/>
        </w:rPr>
        <w:t>The judgement process in evidence-based medicine and health technology assessment.</w:t>
      </w:r>
      <w:r w:rsidRPr="00E516A2">
        <w:rPr>
          <w:noProof/>
        </w:rPr>
        <w:t xml:space="preserve"> Social Theory &amp; Health, 2012. </w:t>
      </w:r>
      <w:r w:rsidRPr="00E516A2">
        <w:rPr>
          <w:b/>
          <w:noProof/>
        </w:rPr>
        <w:t>10</w:t>
      </w:r>
      <w:r w:rsidRPr="00E516A2">
        <w:rPr>
          <w:noProof/>
        </w:rPr>
        <w:t>(1): p. 1-19.</w:t>
      </w:r>
    </w:p>
    <w:p w14:paraId="103D686A" w14:textId="77777777" w:rsidR="00E516A2" w:rsidRPr="00E516A2" w:rsidRDefault="00E516A2" w:rsidP="00E516A2">
      <w:pPr>
        <w:pStyle w:val="EndNoteBibliography"/>
        <w:spacing w:after="0"/>
        <w:ind w:left="720" w:hanging="720"/>
        <w:rPr>
          <w:noProof/>
        </w:rPr>
      </w:pPr>
      <w:r w:rsidRPr="00E516A2">
        <w:rPr>
          <w:noProof/>
        </w:rPr>
        <w:t>249.</w:t>
      </w:r>
      <w:r w:rsidRPr="00E516A2">
        <w:rPr>
          <w:noProof/>
        </w:rPr>
        <w:tab/>
        <w:t xml:space="preserve">Rawlins, M., </w:t>
      </w:r>
      <w:r w:rsidRPr="00E516A2">
        <w:rPr>
          <w:i/>
          <w:noProof/>
        </w:rPr>
        <w:t>De testimonio: on the evidence for decisions about the use of therapeutic interventions.</w:t>
      </w:r>
      <w:r w:rsidRPr="00E516A2">
        <w:rPr>
          <w:noProof/>
        </w:rPr>
        <w:t xml:space="preserve"> Clinical Medicine, 2008. </w:t>
      </w:r>
      <w:r w:rsidRPr="00E516A2">
        <w:rPr>
          <w:b/>
          <w:noProof/>
        </w:rPr>
        <w:t>8</w:t>
      </w:r>
      <w:r w:rsidRPr="00E516A2">
        <w:rPr>
          <w:noProof/>
        </w:rPr>
        <w:t>(6): p. 579-588.</w:t>
      </w:r>
    </w:p>
    <w:p w14:paraId="6E2A55CA" w14:textId="77777777" w:rsidR="00E516A2" w:rsidRPr="00E516A2" w:rsidRDefault="00E516A2" w:rsidP="00E516A2">
      <w:pPr>
        <w:pStyle w:val="EndNoteBibliography"/>
        <w:spacing w:after="0"/>
        <w:ind w:left="720" w:hanging="720"/>
        <w:rPr>
          <w:noProof/>
        </w:rPr>
      </w:pPr>
      <w:r w:rsidRPr="00E516A2">
        <w:rPr>
          <w:noProof/>
        </w:rPr>
        <w:t>250.</w:t>
      </w:r>
      <w:r w:rsidRPr="00E516A2">
        <w:rPr>
          <w:noProof/>
        </w:rPr>
        <w:tab/>
        <w:t xml:space="preserve">Littlejohns, P., </w:t>
      </w:r>
      <w:r w:rsidRPr="00E516A2">
        <w:rPr>
          <w:i/>
          <w:noProof/>
        </w:rPr>
        <w:t>Does NICE have a threshold? A response.</w:t>
      </w:r>
      <w:r w:rsidRPr="00E516A2">
        <w:rPr>
          <w:noProof/>
        </w:rPr>
        <w:t xml:space="preserve"> Cost-effectiveness thresholds, 2002: p. 31-7.</w:t>
      </w:r>
    </w:p>
    <w:p w14:paraId="0FEF077D" w14:textId="77777777" w:rsidR="00E516A2" w:rsidRPr="00E516A2" w:rsidRDefault="00E516A2" w:rsidP="00E516A2">
      <w:pPr>
        <w:pStyle w:val="EndNoteBibliography"/>
        <w:spacing w:after="0"/>
        <w:ind w:left="720" w:hanging="720"/>
        <w:rPr>
          <w:noProof/>
        </w:rPr>
      </w:pPr>
      <w:r w:rsidRPr="00E516A2">
        <w:rPr>
          <w:noProof/>
        </w:rPr>
        <w:t>251.</w:t>
      </w:r>
      <w:r w:rsidRPr="00E516A2">
        <w:rPr>
          <w:noProof/>
        </w:rPr>
        <w:tab/>
        <w:t xml:space="preserve">NICE, </w:t>
      </w:r>
      <w:r w:rsidRPr="00E516A2">
        <w:rPr>
          <w:i/>
          <w:noProof/>
        </w:rPr>
        <w:t xml:space="preserve">Guide to the methods of technology appraisal. </w:t>
      </w:r>
      <w:r w:rsidRPr="00E516A2">
        <w:rPr>
          <w:noProof/>
        </w:rPr>
        <w:t>. 2004, NICE: London.</w:t>
      </w:r>
    </w:p>
    <w:p w14:paraId="5412E7A5" w14:textId="77777777" w:rsidR="00E516A2" w:rsidRPr="00E516A2" w:rsidRDefault="00E516A2" w:rsidP="00E516A2">
      <w:pPr>
        <w:pStyle w:val="EndNoteBibliography"/>
        <w:spacing w:after="0"/>
        <w:ind w:left="720" w:hanging="720"/>
        <w:rPr>
          <w:noProof/>
        </w:rPr>
      </w:pPr>
      <w:r w:rsidRPr="00E516A2">
        <w:rPr>
          <w:noProof/>
        </w:rPr>
        <w:t>252.</w:t>
      </w:r>
      <w:r w:rsidRPr="00E516A2">
        <w:rPr>
          <w:noProof/>
        </w:rPr>
        <w:tab/>
        <w:t xml:space="preserve">NICE, </w:t>
      </w:r>
      <w:r w:rsidRPr="00E516A2">
        <w:rPr>
          <w:i/>
          <w:noProof/>
        </w:rPr>
        <w:t xml:space="preserve">Guide to the methods of technology appraisal </w:t>
      </w:r>
      <w:r w:rsidRPr="00E516A2">
        <w:rPr>
          <w:noProof/>
        </w:rPr>
        <w:t>NICE, Editor. 2013: London.</w:t>
      </w:r>
    </w:p>
    <w:p w14:paraId="3EDF5D0F" w14:textId="77777777" w:rsidR="00E516A2" w:rsidRPr="00E516A2" w:rsidRDefault="00E516A2" w:rsidP="00E516A2">
      <w:pPr>
        <w:pStyle w:val="EndNoteBibliography"/>
        <w:spacing w:after="0"/>
        <w:ind w:left="720" w:hanging="720"/>
        <w:rPr>
          <w:noProof/>
        </w:rPr>
      </w:pPr>
      <w:r w:rsidRPr="00E516A2">
        <w:rPr>
          <w:noProof/>
        </w:rPr>
        <w:t>253.</w:t>
      </w:r>
      <w:r w:rsidRPr="00E516A2">
        <w:rPr>
          <w:noProof/>
        </w:rPr>
        <w:tab/>
        <w:t xml:space="preserve">Dakin, H.A., N.J. Devlin, and I.A. Odeyemi, </w:t>
      </w:r>
      <w:r w:rsidRPr="00E516A2">
        <w:rPr>
          <w:i/>
          <w:noProof/>
        </w:rPr>
        <w:t>“Yes”,“No” or “Yes, but”? Multinomial modelling of NICE decision-making.</w:t>
      </w:r>
      <w:r w:rsidRPr="00E516A2">
        <w:rPr>
          <w:noProof/>
        </w:rPr>
        <w:t xml:space="preserve"> Health Policy, 2006. </w:t>
      </w:r>
      <w:r w:rsidRPr="00E516A2">
        <w:rPr>
          <w:b/>
          <w:noProof/>
        </w:rPr>
        <w:t>77</w:t>
      </w:r>
      <w:r w:rsidRPr="00E516A2">
        <w:rPr>
          <w:noProof/>
        </w:rPr>
        <w:t>(3): p. 352-367.</w:t>
      </w:r>
    </w:p>
    <w:p w14:paraId="236B4728" w14:textId="77777777" w:rsidR="00E516A2" w:rsidRPr="00E516A2" w:rsidRDefault="00E516A2" w:rsidP="00E516A2">
      <w:pPr>
        <w:pStyle w:val="EndNoteBibliography"/>
        <w:spacing w:after="0"/>
        <w:ind w:left="720" w:hanging="720"/>
        <w:rPr>
          <w:noProof/>
        </w:rPr>
      </w:pPr>
      <w:r w:rsidRPr="00E516A2">
        <w:rPr>
          <w:noProof/>
        </w:rPr>
        <w:t>254.</w:t>
      </w:r>
      <w:r w:rsidRPr="00E516A2">
        <w:rPr>
          <w:noProof/>
        </w:rPr>
        <w:tab/>
        <w:t xml:space="preserve">NICE, </w:t>
      </w:r>
      <w:r w:rsidRPr="00E516A2">
        <w:rPr>
          <w:i/>
          <w:noProof/>
        </w:rPr>
        <w:t>Appraising Life-Extending, End of Life Treatments</w:t>
      </w:r>
      <w:r w:rsidRPr="00E516A2">
        <w:rPr>
          <w:noProof/>
        </w:rPr>
        <w:t>. 2009, National Institute for Health and Care Excellence: London.</w:t>
      </w:r>
    </w:p>
    <w:p w14:paraId="3492F442" w14:textId="77777777" w:rsidR="00E516A2" w:rsidRPr="00E516A2" w:rsidRDefault="00E516A2" w:rsidP="00E516A2">
      <w:pPr>
        <w:pStyle w:val="EndNoteBibliography"/>
        <w:spacing w:after="0"/>
        <w:ind w:left="720" w:hanging="720"/>
        <w:rPr>
          <w:noProof/>
        </w:rPr>
      </w:pPr>
      <w:r w:rsidRPr="00E516A2">
        <w:rPr>
          <w:noProof/>
        </w:rPr>
        <w:t>255.</w:t>
      </w:r>
      <w:r w:rsidRPr="00E516A2">
        <w:rPr>
          <w:noProof/>
        </w:rPr>
        <w:tab/>
        <w:t xml:space="preserve">UK Government, </w:t>
      </w:r>
      <w:r w:rsidRPr="00E516A2">
        <w:rPr>
          <w:i/>
          <w:noProof/>
        </w:rPr>
        <w:t>The Government's Response to the Health Select Committee's First Report of Session 2007-08 on the National Institute for Health and Clinical Excellence</w:t>
      </w:r>
      <w:r w:rsidRPr="00E516A2">
        <w:rPr>
          <w:noProof/>
        </w:rPr>
        <w:t>. 2008, Stationery Office Books.</w:t>
      </w:r>
    </w:p>
    <w:p w14:paraId="5AE7ADF1" w14:textId="77777777" w:rsidR="00E516A2" w:rsidRPr="00E516A2" w:rsidRDefault="00E516A2" w:rsidP="00E516A2">
      <w:pPr>
        <w:pStyle w:val="EndNoteBibliography"/>
        <w:spacing w:after="0"/>
        <w:ind w:left="720" w:hanging="720"/>
        <w:rPr>
          <w:noProof/>
        </w:rPr>
      </w:pPr>
      <w:r w:rsidRPr="00E516A2">
        <w:rPr>
          <w:noProof/>
        </w:rPr>
        <w:t>256.</w:t>
      </w:r>
      <w:r w:rsidRPr="00E516A2">
        <w:rPr>
          <w:noProof/>
        </w:rPr>
        <w:tab/>
        <w:t xml:space="preserve">Edejer, T.T.-T., </w:t>
      </w:r>
      <w:r w:rsidRPr="00E516A2">
        <w:rPr>
          <w:i/>
          <w:noProof/>
        </w:rPr>
        <w:t>Making choices in health: WHO guide to cost-effectiveness analysis</w:t>
      </w:r>
      <w:r w:rsidRPr="00E516A2">
        <w:rPr>
          <w:noProof/>
        </w:rPr>
        <w:t>. Vol. 1. 2003: World Health Organization.</w:t>
      </w:r>
    </w:p>
    <w:p w14:paraId="08D70531" w14:textId="77777777" w:rsidR="00E516A2" w:rsidRPr="00E516A2" w:rsidRDefault="00E516A2" w:rsidP="00E516A2">
      <w:pPr>
        <w:pStyle w:val="EndNoteBibliography"/>
        <w:spacing w:after="0"/>
        <w:ind w:left="720" w:hanging="720"/>
        <w:rPr>
          <w:noProof/>
        </w:rPr>
      </w:pPr>
      <w:r w:rsidRPr="00E516A2">
        <w:rPr>
          <w:noProof/>
        </w:rPr>
        <w:t>257.</w:t>
      </w:r>
      <w:r w:rsidRPr="00E516A2">
        <w:rPr>
          <w:noProof/>
        </w:rPr>
        <w:tab/>
        <w:t xml:space="preserve">Martin, S., N. Rice, and P.C. Smith, </w:t>
      </w:r>
      <w:r w:rsidRPr="00E516A2">
        <w:rPr>
          <w:i/>
          <w:noProof/>
        </w:rPr>
        <w:t>Does health care spending improve health outcomes? Evidence from English programme budgeting data.</w:t>
      </w:r>
      <w:r w:rsidRPr="00E516A2">
        <w:rPr>
          <w:noProof/>
        </w:rPr>
        <w:t xml:space="preserve"> Journal of Health Economics, 2008. </w:t>
      </w:r>
      <w:r w:rsidRPr="00E516A2">
        <w:rPr>
          <w:b/>
          <w:noProof/>
        </w:rPr>
        <w:t>27</w:t>
      </w:r>
      <w:r w:rsidRPr="00E516A2">
        <w:rPr>
          <w:noProof/>
        </w:rPr>
        <w:t>(4): p. 826-842.</w:t>
      </w:r>
    </w:p>
    <w:p w14:paraId="57FDC503" w14:textId="77777777" w:rsidR="00E516A2" w:rsidRPr="00E516A2" w:rsidRDefault="00E516A2" w:rsidP="00E516A2">
      <w:pPr>
        <w:pStyle w:val="EndNoteBibliography"/>
        <w:spacing w:after="0"/>
        <w:ind w:left="720" w:hanging="720"/>
        <w:rPr>
          <w:noProof/>
        </w:rPr>
      </w:pPr>
      <w:r w:rsidRPr="00E516A2">
        <w:rPr>
          <w:noProof/>
        </w:rPr>
        <w:t>258.</w:t>
      </w:r>
      <w:r w:rsidRPr="00E516A2">
        <w:rPr>
          <w:noProof/>
        </w:rPr>
        <w:tab/>
        <w:t xml:space="preserve">Cleemput, I., et al., </w:t>
      </w:r>
      <w:r w:rsidRPr="00E516A2">
        <w:rPr>
          <w:i/>
          <w:noProof/>
        </w:rPr>
        <w:t>KCE reports 100C (D/2008/10.273/96). Threshold values for cost-effectiveness in health care Health Technology Assessment (HTA).</w:t>
      </w:r>
      <w:r w:rsidRPr="00E516A2">
        <w:rPr>
          <w:noProof/>
        </w:rPr>
        <w:t xml:space="preserve"> Brussels, Belgium: Belgian Health Care Knowledge Centre (KCE), 2008.</w:t>
      </w:r>
    </w:p>
    <w:p w14:paraId="2F8FCAD8" w14:textId="1456A221" w:rsidR="00E516A2" w:rsidRPr="00E516A2" w:rsidRDefault="00E516A2" w:rsidP="00E516A2">
      <w:pPr>
        <w:pStyle w:val="EndNoteBibliography"/>
        <w:spacing w:after="0"/>
        <w:ind w:left="720" w:hanging="720"/>
        <w:rPr>
          <w:noProof/>
        </w:rPr>
      </w:pPr>
      <w:r w:rsidRPr="00E516A2">
        <w:rPr>
          <w:noProof/>
        </w:rPr>
        <w:t>259.</w:t>
      </w:r>
      <w:r w:rsidRPr="00E516A2">
        <w:rPr>
          <w:noProof/>
        </w:rPr>
        <w:tab/>
        <w:t xml:space="preserve">NHS Choices. </w:t>
      </w:r>
      <w:r w:rsidRPr="00E516A2">
        <w:rPr>
          <w:i/>
          <w:noProof/>
        </w:rPr>
        <w:t>Gastric bypass surgery 'up 530% in 6 years'</w:t>
      </w:r>
      <w:r w:rsidRPr="00E516A2">
        <w:rPr>
          <w:noProof/>
        </w:rPr>
        <w:t xml:space="preserve">. 2012  [cited 2014 12 September 2014]; Available from: </w:t>
      </w:r>
      <w:hyperlink r:id="rId65" w:history="1">
        <w:r w:rsidRPr="00E516A2">
          <w:rPr>
            <w:rStyle w:val="Hyperlink"/>
            <w:noProof/>
          </w:rPr>
          <w:t>http://www.nhs.uk/news/2012/08august/Pages/gastric-bypass-surgery-up-fivefold-in-six-years.aspx</w:t>
        </w:r>
      </w:hyperlink>
      <w:r w:rsidRPr="00E516A2">
        <w:rPr>
          <w:noProof/>
        </w:rPr>
        <w:t>.</w:t>
      </w:r>
    </w:p>
    <w:p w14:paraId="7E7AC34F" w14:textId="77777777" w:rsidR="00E516A2" w:rsidRPr="00E516A2" w:rsidRDefault="00E516A2" w:rsidP="00E516A2">
      <w:pPr>
        <w:pStyle w:val="EndNoteBibliography"/>
        <w:spacing w:after="0"/>
        <w:ind w:left="720" w:hanging="720"/>
        <w:rPr>
          <w:noProof/>
        </w:rPr>
      </w:pPr>
      <w:r w:rsidRPr="00E516A2">
        <w:rPr>
          <w:noProof/>
        </w:rPr>
        <w:t>260.</w:t>
      </w:r>
      <w:r w:rsidRPr="00E516A2">
        <w:rPr>
          <w:noProof/>
        </w:rPr>
        <w:tab/>
        <w:t xml:space="preserve">Klein, R., et al., </w:t>
      </w:r>
      <w:r w:rsidRPr="00E516A2">
        <w:rPr>
          <w:i/>
          <w:noProof/>
        </w:rPr>
        <w:t>Managing scarcity: priority setting and rationing in the National Health Service</w:t>
      </w:r>
      <w:r w:rsidRPr="00E516A2">
        <w:rPr>
          <w:noProof/>
        </w:rPr>
        <w:t>. 1996: Open university press Buckingham.</w:t>
      </w:r>
    </w:p>
    <w:p w14:paraId="10BAC403" w14:textId="77777777" w:rsidR="00E516A2" w:rsidRPr="00E516A2" w:rsidRDefault="00E516A2" w:rsidP="00E516A2">
      <w:pPr>
        <w:pStyle w:val="EndNoteBibliography"/>
        <w:spacing w:after="0"/>
        <w:ind w:left="720" w:hanging="720"/>
        <w:rPr>
          <w:noProof/>
        </w:rPr>
      </w:pPr>
      <w:r w:rsidRPr="00E516A2">
        <w:rPr>
          <w:noProof/>
        </w:rPr>
        <w:t>261.</w:t>
      </w:r>
      <w:r w:rsidRPr="00E516A2">
        <w:rPr>
          <w:noProof/>
        </w:rPr>
        <w:tab/>
        <w:t xml:space="preserve">Shah, K.K., et al., </w:t>
      </w:r>
      <w:r w:rsidRPr="00E516A2">
        <w:rPr>
          <w:i/>
          <w:noProof/>
        </w:rPr>
        <w:t>NICE's social value judgements about equity in health and health care.</w:t>
      </w:r>
      <w:r w:rsidRPr="00E516A2">
        <w:rPr>
          <w:noProof/>
        </w:rPr>
        <w:t xml:space="preserve"> Health Economics, Policy and Law, 2013. </w:t>
      </w:r>
      <w:r w:rsidRPr="00E516A2">
        <w:rPr>
          <w:b/>
          <w:noProof/>
        </w:rPr>
        <w:t>8</w:t>
      </w:r>
      <w:r w:rsidRPr="00E516A2">
        <w:rPr>
          <w:noProof/>
        </w:rPr>
        <w:t>(02): p. 145-165.</w:t>
      </w:r>
    </w:p>
    <w:p w14:paraId="7137D2C6" w14:textId="77777777" w:rsidR="00E516A2" w:rsidRPr="00E516A2" w:rsidRDefault="00E516A2" w:rsidP="00E516A2">
      <w:pPr>
        <w:pStyle w:val="EndNoteBibliography"/>
        <w:spacing w:after="0"/>
        <w:ind w:left="720" w:hanging="720"/>
        <w:rPr>
          <w:noProof/>
        </w:rPr>
      </w:pPr>
      <w:r w:rsidRPr="00E516A2">
        <w:rPr>
          <w:noProof/>
        </w:rPr>
        <w:t>262.</w:t>
      </w:r>
      <w:r w:rsidRPr="00E516A2">
        <w:rPr>
          <w:noProof/>
        </w:rPr>
        <w:tab/>
        <w:t xml:space="preserve">NICE, </w:t>
      </w:r>
      <w:r w:rsidRPr="00E516A2">
        <w:rPr>
          <w:i/>
          <w:noProof/>
        </w:rPr>
        <w:t>Technical Guidance for Manufacturers and Sponsor on Making a Submission to a Technology Appraisal</w:t>
      </w:r>
      <w:r w:rsidRPr="00E516A2">
        <w:rPr>
          <w:noProof/>
        </w:rPr>
        <w:t>. 2001, National Institute for Clinical Excellence: London.</w:t>
      </w:r>
    </w:p>
    <w:p w14:paraId="23D3AB9D" w14:textId="77777777" w:rsidR="00E516A2" w:rsidRPr="00E516A2" w:rsidRDefault="00E516A2" w:rsidP="00E516A2">
      <w:pPr>
        <w:pStyle w:val="EndNoteBibliography"/>
        <w:spacing w:after="0"/>
        <w:ind w:left="720" w:hanging="720"/>
        <w:rPr>
          <w:noProof/>
        </w:rPr>
      </w:pPr>
      <w:r w:rsidRPr="00E516A2">
        <w:rPr>
          <w:noProof/>
        </w:rPr>
        <w:t>263.</w:t>
      </w:r>
      <w:r w:rsidRPr="00E516A2">
        <w:rPr>
          <w:noProof/>
        </w:rPr>
        <w:tab/>
        <w:t xml:space="preserve">Sackett, D.L., et al., </w:t>
      </w:r>
      <w:r w:rsidRPr="00E516A2">
        <w:rPr>
          <w:i/>
          <w:noProof/>
        </w:rPr>
        <w:t>Evidence based medicine: what it is and what it isn't.</w:t>
      </w:r>
      <w:r w:rsidRPr="00E516A2">
        <w:rPr>
          <w:noProof/>
        </w:rPr>
        <w:t xml:space="preserve"> Bmj, 1996. </w:t>
      </w:r>
      <w:r w:rsidRPr="00E516A2">
        <w:rPr>
          <w:b/>
          <w:noProof/>
        </w:rPr>
        <w:t>312</w:t>
      </w:r>
      <w:r w:rsidRPr="00E516A2">
        <w:rPr>
          <w:noProof/>
        </w:rPr>
        <w:t>(7023): p. 71-72.</w:t>
      </w:r>
    </w:p>
    <w:p w14:paraId="570A5D95" w14:textId="77777777" w:rsidR="00E516A2" w:rsidRPr="00E516A2" w:rsidRDefault="00E516A2" w:rsidP="00E516A2">
      <w:pPr>
        <w:pStyle w:val="EndNoteBibliography"/>
        <w:spacing w:after="0"/>
        <w:ind w:left="720" w:hanging="720"/>
        <w:rPr>
          <w:noProof/>
        </w:rPr>
      </w:pPr>
      <w:r w:rsidRPr="00E516A2">
        <w:rPr>
          <w:noProof/>
        </w:rPr>
        <w:t>264.</w:t>
      </w:r>
      <w:r w:rsidRPr="00E516A2">
        <w:rPr>
          <w:noProof/>
        </w:rPr>
        <w:tab/>
        <w:t xml:space="preserve">Owen, L., et al., </w:t>
      </w:r>
      <w:r w:rsidRPr="00E516A2">
        <w:rPr>
          <w:i/>
          <w:noProof/>
        </w:rPr>
        <w:t>The cost-effectiveness of public health interventions.</w:t>
      </w:r>
      <w:r w:rsidRPr="00E516A2">
        <w:rPr>
          <w:noProof/>
        </w:rPr>
        <w:t xml:space="preserve"> Journal of Public Health, 2012. </w:t>
      </w:r>
      <w:r w:rsidRPr="00E516A2">
        <w:rPr>
          <w:b/>
          <w:noProof/>
        </w:rPr>
        <w:t>34</w:t>
      </w:r>
      <w:r w:rsidRPr="00E516A2">
        <w:rPr>
          <w:noProof/>
        </w:rPr>
        <w:t>(1): p. 37-45.</w:t>
      </w:r>
    </w:p>
    <w:p w14:paraId="1831B76B" w14:textId="77777777" w:rsidR="00E516A2" w:rsidRPr="00E516A2" w:rsidRDefault="00E516A2" w:rsidP="00E516A2">
      <w:pPr>
        <w:pStyle w:val="EndNoteBibliography"/>
        <w:spacing w:after="0"/>
        <w:ind w:left="720" w:hanging="720"/>
        <w:rPr>
          <w:noProof/>
        </w:rPr>
      </w:pPr>
      <w:r w:rsidRPr="00E516A2">
        <w:rPr>
          <w:noProof/>
        </w:rPr>
        <w:t>265.</w:t>
      </w:r>
      <w:r w:rsidRPr="00E516A2">
        <w:rPr>
          <w:noProof/>
        </w:rPr>
        <w:tab/>
        <w:t xml:space="preserve">NICE, </w:t>
      </w:r>
      <w:r w:rsidRPr="00E516A2">
        <w:rPr>
          <w:i/>
          <w:noProof/>
        </w:rPr>
        <w:t>Workplace interventions to promote smoking cessation</w:t>
      </w:r>
      <w:r w:rsidRPr="00E516A2">
        <w:rPr>
          <w:noProof/>
        </w:rPr>
        <w:t xml:space="preserve">, in </w:t>
      </w:r>
      <w:r w:rsidRPr="00E516A2">
        <w:rPr>
          <w:i/>
          <w:noProof/>
        </w:rPr>
        <w:t>PH5</w:t>
      </w:r>
      <w:r w:rsidRPr="00E516A2">
        <w:rPr>
          <w:noProof/>
        </w:rPr>
        <w:t>. 2007, National Institute for Health and Care Excellence: London.</w:t>
      </w:r>
    </w:p>
    <w:p w14:paraId="76D7E902" w14:textId="77777777" w:rsidR="00E516A2" w:rsidRPr="00E516A2" w:rsidRDefault="00E516A2" w:rsidP="00E516A2">
      <w:pPr>
        <w:pStyle w:val="EndNoteBibliography"/>
        <w:spacing w:after="0"/>
        <w:ind w:left="720" w:hanging="720"/>
        <w:rPr>
          <w:noProof/>
        </w:rPr>
      </w:pPr>
      <w:r w:rsidRPr="00E516A2">
        <w:rPr>
          <w:noProof/>
        </w:rPr>
        <w:t>266.</w:t>
      </w:r>
      <w:r w:rsidRPr="00E516A2">
        <w:rPr>
          <w:noProof/>
        </w:rPr>
        <w:tab/>
        <w:t xml:space="preserve">NICE, </w:t>
      </w:r>
      <w:r w:rsidRPr="00E516A2">
        <w:rPr>
          <w:i/>
          <w:noProof/>
        </w:rPr>
        <w:t>Smoking cessation services</w:t>
      </w:r>
      <w:r w:rsidRPr="00E516A2">
        <w:rPr>
          <w:noProof/>
        </w:rPr>
        <w:t xml:space="preserve">, in </w:t>
      </w:r>
      <w:r w:rsidRPr="00E516A2">
        <w:rPr>
          <w:i/>
          <w:noProof/>
        </w:rPr>
        <w:t>PH10</w:t>
      </w:r>
      <w:r w:rsidRPr="00E516A2">
        <w:rPr>
          <w:noProof/>
        </w:rPr>
        <w:t>. 2008, National Institute for Health and Care Excellence: London.</w:t>
      </w:r>
    </w:p>
    <w:p w14:paraId="60EB2644" w14:textId="77777777" w:rsidR="00E516A2" w:rsidRPr="00E516A2" w:rsidRDefault="00E516A2" w:rsidP="00E516A2">
      <w:pPr>
        <w:pStyle w:val="EndNoteBibliography"/>
        <w:spacing w:after="0"/>
        <w:ind w:left="720" w:hanging="720"/>
        <w:rPr>
          <w:noProof/>
        </w:rPr>
      </w:pPr>
      <w:r w:rsidRPr="00E516A2">
        <w:rPr>
          <w:noProof/>
        </w:rPr>
        <w:t>267.</w:t>
      </w:r>
      <w:r w:rsidRPr="00E516A2">
        <w:rPr>
          <w:noProof/>
        </w:rPr>
        <w:tab/>
        <w:t xml:space="preserve">NICE, </w:t>
      </w:r>
      <w:r w:rsidRPr="00E516A2">
        <w:rPr>
          <w:i/>
          <w:noProof/>
        </w:rPr>
        <w:t>Preventing the uptake of smoking by children and young people</w:t>
      </w:r>
      <w:r w:rsidRPr="00E516A2">
        <w:rPr>
          <w:noProof/>
        </w:rPr>
        <w:t xml:space="preserve">, in </w:t>
      </w:r>
      <w:r w:rsidRPr="00E516A2">
        <w:rPr>
          <w:i/>
          <w:noProof/>
        </w:rPr>
        <w:t>PH14</w:t>
      </w:r>
      <w:r w:rsidRPr="00E516A2">
        <w:rPr>
          <w:noProof/>
        </w:rPr>
        <w:t>. 2008, National Institute for Health and Care Excellence: London.</w:t>
      </w:r>
    </w:p>
    <w:p w14:paraId="6E5CFF21" w14:textId="77777777" w:rsidR="00E516A2" w:rsidRPr="00E516A2" w:rsidRDefault="00E516A2" w:rsidP="00E516A2">
      <w:pPr>
        <w:pStyle w:val="EndNoteBibliography"/>
        <w:spacing w:after="0"/>
        <w:ind w:left="720" w:hanging="720"/>
        <w:rPr>
          <w:noProof/>
        </w:rPr>
      </w:pPr>
      <w:r w:rsidRPr="00E516A2">
        <w:rPr>
          <w:noProof/>
        </w:rPr>
        <w:t>268.</w:t>
      </w:r>
      <w:r w:rsidRPr="00E516A2">
        <w:rPr>
          <w:noProof/>
        </w:rPr>
        <w:tab/>
        <w:t xml:space="preserve">NICE, </w:t>
      </w:r>
      <w:r w:rsidRPr="00E516A2">
        <w:rPr>
          <w:i/>
          <w:noProof/>
        </w:rPr>
        <w:t>Physical activity: brief advice for adults in primary care</w:t>
      </w:r>
      <w:r w:rsidRPr="00E516A2">
        <w:rPr>
          <w:noProof/>
        </w:rPr>
        <w:t xml:space="preserve">, in </w:t>
      </w:r>
      <w:r w:rsidRPr="00E516A2">
        <w:rPr>
          <w:i/>
          <w:noProof/>
        </w:rPr>
        <w:t>PH44</w:t>
      </w:r>
      <w:r w:rsidRPr="00E516A2">
        <w:rPr>
          <w:noProof/>
        </w:rPr>
        <w:t>. 2013, National Institute for Health and Care Excellence: London.</w:t>
      </w:r>
    </w:p>
    <w:p w14:paraId="16A8CD9D" w14:textId="77777777" w:rsidR="00E516A2" w:rsidRPr="00E516A2" w:rsidRDefault="00E516A2" w:rsidP="00E516A2">
      <w:pPr>
        <w:pStyle w:val="EndNoteBibliography"/>
        <w:spacing w:after="0"/>
        <w:ind w:left="720" w:hanging="720"/>
        <w:rPr>
          <w:noProof/>
        </w:rPr>
      </w:pPr>
      <w:r w:rsidRPr="00E516A2">
        <w:rPr>
          <w:noProof/>
        </w:rPr>
        <w:t>269.</w:t>
      </w:r>
      <w:r w:rsidRPr="00E516A2">
        <w:rPr>
          <w:noProof/>
        </w:rPr>
        <w:tab/>
        <w:t xml:space="preserve">NICE, </w:t>
      </w:r>
      <w:r w:rsidRPr="00E516A2">
        <w:rPr>
          <w:i/>
          <w:noProof/>
        </w:rPr>
        <w:t>Exercise referral schemes to promote physical activity</w:t>
      </w:r>
      <w:r w:rsidRPr="00E516A2">
        <w:rPr>
          <w:noProof/>
        </w:rPr>
        <w:t xml:space="preserve">, in </w:t>
      </w:r>
      <w:r w:rsidRPr="00E516A2">
        <w:rPr>
          <w:i/>
          <w:noProof/>
        </w:rPr>
        <w:t>PH54</w:t>
      </w:r>
      <w:r w:rsidRPr="00E516A2">
        <w:rPr>
          <w:noProof/>
        </w:rPr>
        <w:t>. 2014, National Institute for Health and Care Excellence: London.</w:t>
      </w:r>
    </w:p>
    <w:p w14:paraId="3458CF3E" w14:textId="77777777" w:rsidR="00E516A2" w:rsidRPr="00E516A2" w:rsidRDefault="00E516A2" w:rsidP="00E516A2">
      <w:pPr>
        <w:pStyle w:val="EndNoteBibliography"/>
        <w:spacing w:after="0"/>
        <w:ind w:left="720" w:hanging="720"/>
        <w:rPr>
          <w:noProof/>
        </w:rPr>
      </w:pPr>
      <w:r w:rsidRPr="00E516A2">
        <w:rPr>
          <w:noProof/>
        </w:rPr>
        <w:t>270.</w:t>
      </w:r>
      <w:r w:rsidRPr="00E516A2">
        <w:rPr>
          <w:noProof/>
        </w:rPr>
        <w:tab/>
        <w:t xml:space="preserve">NICE, </w:t>
      </w:r>
      <w:r w:rsidRPr="00E516A2">
        <w:rPr>
          <w:i/>
          <w:noProof/>
        </w:rPr>
        <w:t>Skin cancer prevention: information, resources and environmental changes</w:t>
      </w:r>
      <w:r w:rsidRPr="00E516A2">
        <w:rPr>
          <w:noProof/>
        </w:rPr>
        <w:t xml:space="preserve">, in </w:t>
      </w:r>
      <w:r w:rsidRPr="00E516A2">
        <w:rPr>
          <w:i/>
          <w:noProof/>
        </w:rPr>
        <w:t>PH32</w:t>
      </w:r>
      <w:r w:rsidRPr="00E516A2">
        <w:rPr>
          <w:noProof/>
        </w:rPr>
        <w:t>. 2011, National Institute for Health and Care Excellence: London.</w:t>
      </w:r>
    </w:p>
    <w:p w14:paraId="46D0F8FF" w14:textId="77777777" w:rsidR="00E516A2" w:rsidRPr="00E516A2" w:rsidRDefault="00E516A2" w:rsidP="00E516A2">
      <w:pPr>
        <w:pStyle w:val="EndNoteBibliography"/>
        <w:spacing w:after="0"/>
        <w:ind w:left="720" w:hanging="720"/>
        <w:rPr>
          <w:noProof/>
        </w:rPr>
      </w:pPr>
      <w:r w:rsidRPr="00E516A2">
        <w:rPr>
          <w:noProof/>
        </w:rPr>
        <w:t>271.</w:t>
      </w:r>
      <w:r w:rsidRPr="00E516A2">
        <w:rPr>
          <w:noProof/>
        </w:rPr>
        <w:tab/>
        <w:t xml:space="preserve">NICE, </w:t>
      </w:r>
      <w:r w:rsidRPr="00E516A2">
        <w:rPr>
          <w:i/>
          <w:noProof/>
        </w:rPr>
        <w:t>School-based interventions to prevent smoking</w:t>
      </w:r>
      <w:r w:rsidRPr="00E516A2">
        <w:rPr>
          <w:noProof/>
        </w:rPr>
        <w:t xml:space="preserve">, in </w:t>
      </w:r>
      <w:r w:rsidRPr="00E516A2">
        <w:rPr>
          <w:i/>
          <w:noProof/>
        </w:rPr>
        <w:t>PH23</w:t>
      </w:r>
      <w:r w:rsidRPr="00E516A2">
        <w:rPr>
          <w:noProof/>
        </w:rPr>
        <w:t>. 2010, National Institute for Health and Care Excellence: London.</w:t>
      </w:r>
    </w:p>
    <w:p w14:paraId="4289B129" w14:textId="77777777" w:rsidR="00E516A2" w:rsidRPr="00E516A2" w:rsidRDefault="00E516A2" w:rsidP="00E516A2">
      <w:pPr>
        <w:pStyle w:val="EndNoteBibliography"/>
        <w:spacing w:after="0"/>
        <w:ind w:left="720" w:hanging="720"/>
        <w:rPr>
          <w:noProof/>
        </w:rPr>
      </w:pPr>
      <w:r w:rsidRPr="00E516A2">
        <w:rPr>
          <w:noProof/>
        </w:rPr>
        <w:t>272.</w:t>
      </w:r>
      <w:r w:rsidRPr="00E516A2">
        <w:rPr>
          <w:noProof/>
        </w:rPr>
        <w:tab/>
        <w:t xml:space="preserve">NICE, </w:t>
      </w:r>
      <w:r w:rsidRPr="00E516A2">
        <w:rPr>
          <w:i/>
          <w:noProof/>
        </w:rPr>
        <w:t>Identifying and managing tuberculosis among hard-to-reach groups</w:t>
      </w:r>
      <w:r w:rsidRPr="00E516A2">
        <w:rPr>
          <w:noProof/>
        </w:rPr>
        <w:t xml:space="preserve">, in </w:t>
      </w:r>
      <w:r w:rsidRPr="00E516A2">
        <w:rPr>
          <w:i/>
          <w:noProof/>
        </w:rPr>
        <w:t>PH37</w:t>
      </w:r>
      <w:r w:rsidRPr="00E516A2">
        <w:rPr>
          <w:noProof/>
        </w:rPr>
        <w:t>. 2012, National Institute for Health and Care Excellence: London.</w:t>
      </w:r>
    </w:p>
    <w:p w14:paraId="362D8CBF" w14:textId="77777777" w:rsidR="00E516A2" w:rsidRPr="00E516A2" w:rsidRDefault="00E516A2" w:rsidP="00E516A2">
      <w:pPr>
        <w:pStyle w:val="EndNoteBibliography"/>
        <w:spacing w:after="0"/>
        <w:ind w:left="720" w:hanging="720"/>
        <w:rPr>
          <w:noProof/>
        </w:rPr>
      </w:pPr>
      <w:r w:rsidRPr="00E516A2">
        <w:rPr>
          <w:noProof/>
        </w:rPr>
        <w:t>273.</w:t>
      </w:r>
      <w:r w:rsidRPr="00E516A2">
        <w:rPr>
          <w:noProof/>
        </w:rPr>
        <w:tab/>
        <w:t xml:space="preserve">Kuznets, S., </w:t>
      </w:r>
      <w:r w:rsidRPr="00E516A2">
        <w:rPr>
          <w:i/>
          <w:noProof/>
        </w:rPr>
        <w:t>Economic growth and income inequality.</w:t>
      </w:r>
      <w:r w:rsidRPr="00E516A2">
        <w:rPr>
          <w:noProof/>
        </w:rPr>
        <w:t xml:space="preserve"> The American economic review, 1955: p. 1-28.</w:t>
      </w:r>
    </w:p>
    <w:p w14:paraId="3FC55D89" w14:textId="77777777" w:rsidR="00E516A2" w:rsidRPr="00E516A2" w:rsidRDefault="00E516A2" w:rsidP="00E516A2">
      <w:pPr>
        <w:pStyle w:val="EndNoteBibliography"/>
        <w:spacing w:after="0"/>
        <w:ind w:left="720" w:hanging="720"/>
        <w:rPr>
          <w:noProof/>
        </w:rPr>
      </w:pPr>
      <w:r w:rsidRPr="00E516A2">
        <w:rPr>
          <w:noProof/>
        </w:rPr>
        <w:t>274.</w:t>
      </w:r>
      <w:r w:rsidRPr="00E516A2">
        <w:rPr>
          <w:noProof/>
        </w:rPr>
        <w:tab/>
        <w:t xml:space="preserve">NICE, </w:t>
      </w:r>
      <w:r w:rsidRPr="00E516A2">
        <w:rPr>
          <w:i/>
          <w:noProof/>
        </w:rPr>
        <w:t>Physical activity and the environment</w:t>
      </w:r>
      <w:r w:rsidRPr="00E516A2">
        <w:rPr>
          <w:noProof/>
        </w:rPr>
        <w:t xml:space="preserve">, in </w:t>
      </w:r>
      <w:r w:rsidRPr="00E516A2">
        <w:rPr>
          <w:i/>
          <w:noProof/>
        </w:rPr>
        <w:t>PH8</w:t>
      </w:r>
      <w:r w:rsidRPr="00E516A2">
        <w:rPr>
          <w:noProof/>
        </w:rPr>
        <w:t>. 2008, National Institute for Health and Care Excellence: London.</w:t>
      </w:r>
    </w:p>
    <w:p w14:paraId="32599AC3" w14:textId="77777777" w:rsidR="00E516A2" w:rsidRPr="00E516A2" w:rsidRDefault="00E516A2" w:rsidP="00E516A2">
      <w:pPr>
        <w:pStyle w:val="EndNoteBibliography"/>
        <w:spacing w:after="0"/>
        <w:ind w:left="720" w:hanging="720"/>
        <w:rPr>
          <w:noProof/>
        </w:rPr>
      </w:pPr>
      <w:r w:rsidRPr="00E516A2">
        <w:rPr>
          <w:noProof/>
        </w:rPr>
        <w:t>275.</w:t>
      </w:r>
      <w:r w:rsidRPr="00E516A2">
        <w:rPr>
          <w:noProof/>
        </w:rPr>
        <w:tab/>
        <w:t xml:space="preserve">Kelly, M.P., C.d.l.O.s.l.d.s.d.l. santé‏, and J. Bonnefoy, </w:t>
      </w:r>
      <w:r w:rsidRPr="00E516A2">
        <w:rPr>
          <w:i/>
          <w:noProof/>
        </w:rPr>
        <w:t>The social determinants of health developing an evidence base for political action</w:t>
      </w:r>
      <w:r w:rsidRPr="00E516A2">
        <w:rPr>
          <w:noProof/>
        </w:rPr>
        <w:t>. 2007: NHS.</w:t>
      </w:r>
    </w:p>
    <w:p w14:paraId="07757D7A" w14:textId="77777777" w:rsidR="00E516A2" w:rsidRPr="00E516A2" w:rsidRDefault="00E516A2" w:rsidP="00E516A2">
      <w:pPr>
        <w:pStyle w:val="EndNoteBibliography"/>
        <w:spacing w:after="0"/>
        <w:ind w:left="720" w:hanging="720"/>
        <w:rPr>
          <w:noProof/>
        </w:rPr>
      </w:pPr>
      <w:r w:rsidRPr="00E516A2">
        <w:rPr>
          <w:noProof/>
        </w:rPr>
        <w:t>276.</w:t>
      </w:r>
      <w:r w:rsidRPr="00E516A2">
        <w:rPr>
          <w:noProof/>
        </w:rPr>
        <w:tab/>
        <w:t xml:space="preserve">NICE, </w:t>
      </w:r>
      <w:r w:rsidRPr="00E516A2">
        <w:rPr>
          <w:i/>
          <w:noProof/>
        </w:rPr>
        <w:t>Social and emotional wellbeing in primary education</w:t>
      </w:r>
      <w:r w:rsidRPr="00E516A2">
        <w:rPr>
          <w:noProof/>
        </w:rPr>
        <w:t xml:space="preserve">, in </w:t>
      </w:r>
      <w:r w:rsidRPr="00E516A2">
        <w:rPr>
          <w:i/>
          <w:noProof/>
        </w:rPr>
        <w:t>PH12</w:t>
      </w:r>
      <w:r w:rsidRPr="00E516A2">
        <w:rPr>
          <w:noProof/>
        </w:rPr>
        <w:t>. 2008, National Institute for Health and Care Excellence: London.</w:t>
      </w:r>
    </w:p>
    <w:p w14:paraId="6A1FB8D0" w14:textId="77777777" w:rsidR="00E516A2" w:rsidRPr="00E516A2" w:rsidRDefault="00E516A2" w:rsidP="00E516A2">
      <w:pPr>
        <w:pStyle w:val="EndNoteBibliography"/>
        <w:spacing w:after="0"/>
        <w:ind w:left="720" w:hanging="720"/>
        <w:rPr>
          <w:noProof/>
        </w:rPr>
      </w:pPr>
      <w:r w:rsidRPr="00E516A2">
        <w:rPr>
          <w:noProof/>
        </w:rPr>
        <w:t>277.</w:t>
      </w:r>
      <w:r w:rsidRPr="00E516A2">
        <w:rPr>
          <w:noProof/>
        </w:rPr>
        <w:tab/>
        <w:t xml:space="preserve">NICE, </w:t>
      </w:r>
      <w:r w:rsidRPr="00E516A2">
        <w:rPr>
          <w:i/>
          <w:noProof/>
        </w:rPr>
        <w:t>Brief interventions and referral for smoking cessation</w:t>
      </w:r>
      <w:r w:rsidRPr="00E516A2">
        <w:rPr>
          <w:noProof/>
        </w:rPr>
        <w:t xml:space="preserve">, in </w:t>
      </w:r>
      <w:r w:rsidRPr="00E516A2">
        <w:rPr>
          <w:i/>
          <w:noProof/>
        </w:rPr>
        <w:t>PH1</w:t>
      </w:r>
      <w:r w:rsidRPr="00E516A2">
        <w:rPr>
          <w:noProof/>
        </w:rPr>
        <w:t xml:space="preserve">. 2006, National Institute for Health and Care Excellence: London </w:t>
      </w:r>
    </w:p>
    <w:p w14:paraId="2BF8F24B" w14:textId="77777777" w:rsidR="00E516A2" w:rsidRPr="00E516A2" w:rsidRDefault="00E516A2" w:rsidP="00E516A2">
      <w:pPr>
        <w:pStyle w:val="EndNoteBibliography"/>
        <w:spacing w:after="0"/>
        <w:ind w:left="720" w:hanging="720"/>
        <w:rPr>
          <w:noProof/>
        </w:rPr>
      </w:pPr>
      <w:r w:rsidRPr="00E516A2">
        <w:rPr>
          <w:noProof/>
        </w:rPr>
        <w:t>278.</w:t>
      </w:r>
      <w:r w:rsidRPr="00E516A2">
        <w:rPr>
          <w:noProof/>
        </w:rPr>
        <w:tab/>
        <w:t xml:space="preserve">NICE, </w:t>
      </w:r>
      <w:r w:rsidRPr="00E516A2">
        <w:rPr>
          <w:i/>
          <w:noProof/>
        </w:rPr>
        <w:t>Four commonly used methods to increase physical activity</w:t>
      </w:r>
      <w:r w:rsidRPr="00E516A2">
        <w:rPr>
          <w:noProof/>
        </w:rPr>
        <w:t xml:space="preserve">, in </w:t>
      </w:r>
      <w:r w:rsidRPr="00E516A2">
        <w:rPr>
          <w:i/>
          <w:noProof/>
        </w:rPr>
        <w:t>PH2</w:t>
      </w:r>
      <w:r w:rsidRPr="00E516A2">
        <w:rPr>
          <w:noProof/>
        </w:rPr>
        <w:t>. 2006, National Institute for Health and Care Excellence: London.</w:t>
      </w:r>
    </w:p>
    <w:p w14:paraId="64FB9EEE" w14:textId="77777777" w:rsidR="00E516A2" w:rsidRPr="00E516A2" w:rsidRDefault="00E516A2" w:rsidP="00E516A2">
      <w:pPr>
        <w:pStyle w:val="EndNoteBibliography"/>
        <w:spacing w:after="0"/>
        <w:ind w:left="720" w:hanging="720"/>
        <w:rPr>
          <w:noProof/>
        </w:rPr>
      </w:pPr>
      <w:r w:rsidRPr="00E516A2">
        <w:rPr>
          <w:noProof/>
        </w:rPr>
        <w:t>279.</w:t>
      </w:r>
      <w:r w:rsidRPr="00E516A2">
        <w:rPr>
          <w:noProof/>
        </w:rPr>
        <w:tab/>
        <w:t xml:space="preserve">NICE, </w:t>
      </w:r>
      <w:r w:rsidRPr="00E516A2">
        <w:rPr>
          <w:i/>
          <w:noProof/>
        </w:rPr>
        <w:t>Maternal and child nutrition</w:t>
      </w:r>
      <w:r w:rsidRPr="00E516A2">
        <w:rPr>
          <w:noProof/>
        </w:rPr>
        <w:t xml:space="preserve">, in </w:t>
      </w:r>
      <w:r w:rsidRPr="00E516A2">
        <w:rPr>
          <w:i/>
          <w:noProof/>
        </w:rPr>
        <w:t>PH11</w:t>
      </w:r>
      <w:r w:rsidRPr="00E516A2">
        <w:rPr>
          <w:noProof/>
        </w:rPr>
        <w:t>. 2008, National Institute for Health and Care Excellence: London.</w:t>
      </w:r>
    </w:p>
    <w:p w14:paraId="167D487C" w14:textId="77777777" w:rsidR="00E516A2" w:rsidRPr="00E516A2" w:rsidRDefault="00E516A2" w:rsidP="00E516A2">
      <w:pPr>
        <w:pStyle w:val="EndNoteBibliography"/>
        <w:spacing w:after="0"/>
        <w:ind w:left="720" w:hanging="720"/>
        <w:rPr>
          <w:noProof/>
        </w:rPr>
      </w:pPr>
      <w:r w:rsidRPr="00E516A2">
        <w:rPr>
          <w:noProof/>
        </w:rPr>
        <w:t>280.</w:t>
      </w:r>
      <w:r w:rsidRPr="00E516A2">
        <w:rPr>
          <w:noProof/>
        </w:rPr>
        <w:tab/>
        <w:t xml:space="preserve">NICE, </w:t>
      </w:r>
      <w:r w:rsidRPr="00E516A2">
        <w:rPr>
          <w:i/>
          <w:noProof/>
        </w:rPr>
        <w:t>Promoting physical activity in the workplace</w:t>
      </w:r>
      <w:r w:rsidRPr="00E516A2">
        <w:rPr>
          <w:noProof/>
        </w:rPr>
        <w:t xml:space="preserve">, in </w:t>
      </w:r>
      <w:r w:rsidRPr="00E516A2">
        <w:rPr>
          <w:i/>
          <w:noProof/>
        </w:rPr>
        <w:t>PH13</w:t>
      </w:r>
      <w:r w:rsidRPr="00E516A2">
        <w:rPr>
          <w:noProof/>
        </w:rPr>
        <w:t>. 2008, National Institute for Health and Care Excellence: London.</w:t>
      </w:r>
    </w:p>
    <w:p w14:paraId="7ACA3E4B" w14:textId="77777777" w:rsidR="00E516A2" w:rsidRPr="00E516A2" w:rsidRDefault="00E516A2" w:rsidP="00E516A2">
      <w:pPr>
        <w:pStyle w:val="EndNoteBibliography"/>
        <w:spacing w:after="0"/>
        <w:ind w:left="720" w:hanging="720"/>
        <w:rPr>
          <w:noProof/>
        </w:rPr>
      </w:pPr>
      <w:r w:rsidRPr="00E516A2">
        <w:rPr>
          <w:noProof/>
        </w:rPr>
        <w:t>281.</w:t>
      </w:r>
      <w:r w:rsidRPr="00E516A2">
        <w:rPr>
          <w:noProof/>
        </w:rPr>
        <w:tab/>
        <w:t xml:space="preserve">NICE, </w:t>
      </w:r>
      <w:r w:rsidRPr="00E516A2">
        <w:rPr>
          <w:i/>
          <w:noProof/>
        </w:rPr>
        <w:t>Identifying and supporting people most at risk of dying prematurely</w:t>
      </w:r>
      <w:r w:rsidRPr="00E516A2">
        <w:rPr>
          <w:noProof/>
        </w:rPr>
        <w:t xml:space="preserve">, in </w:t>
      </w:r>
      <w:r w:rsidRPr="00E516A2">
        <w:rPr>
          <w:i/>
          <w:noProof/>
        </w:rPr>
        <w:t>PH15</w:t>
      </w:r>
      <w:r w:rsidRPr="00E516A2">
        <w:rPr>
          <w:noProof/>
        </w:rPr>
        <w:t>. 2008, National Institute for Health and Care Excellence: London.</w:t>
      </w:r>
    </w:p>
    <w:p w14:paraId="52877099" w14:textId="77777777" w:rsidR="00E516A2" w:rsidRPr="00E516A2" w:rsidRDefault="00E516A2" w:rsidP="00E516A2">
      <w:pPr>
        <w:pStyle w:val="EndNoteBibliography"/>
        <w:spacing w:after="0"/>
        <w:ind w:left="720" w:hanging="720"/>
        <w:rPr>
          <w:noProof/>
        </w:rPr>
      </w:pPr>
      <w:r w:rsidRPr="00E516A2">
        <w:rPr>
          <w:noProof/>
        </w:rPr>
        <w:t>282.</w:t>
      </w:r>
      <w:r w:rsidRPr="00E516A2">
        <w:rPr>
          <w:noProof/>
        </w:rPr>
        <w:tab/>
        <w:t xml:space="preserve">NICE, </w:t>
      </w:r>
      <w:r w:rsidRPr="00E516A2">
        <w:rPr>
          <w:i/>
          <w:noProof/>
        </w:rPr>
        <w:t>Occupational therapy and physical activity interventions to promote the mental wellbeing of older people in primary care and residential care (This guidance was previously entitled 'Mental wellbeing and older people')</w:t>
      </w:r>
      <w:r w:rsidRPr="00E516A2">
        <w:rPr>
          <w:noProof/>
        </w:rPr>
        <w:t xml:space="preserve">, in </w:t>
      </w:r>
      <w:r w:rsidRPr="00E516A2">
        <w:rPr>
          <w:i/>
          <w:noProof/>
        </w:rPr>
        <w:t>PH16</w:t>
      </w:r>
      <w:r w:rsidRPr="00E516A2">
        <w:rPr>
          <w:noProof/>
        </w:rPr>
        <w:t>. 2008, National Institute for Health and Care Excellence: London.</w:t>
      </w:r>
    </w:p>
    <w:p w14:paraId="65713D76" w14:textId="77777777" w:rsidR="00E516A2" w:rsidRPr="00E516A2" w:rsidRDefault="00E516A2" w:rsidP="00E516A2">
      <w:pPr>
        <w:pStyle w:val="EndNoteBibliography"/>
        <w:spacing w:after="0"/>
        <w:ind w:left="720" w:hanging="720"/>
        <w:rPr>
          <w:noProof/>
        </w:rPr>
      </w:pPr>
      <w:r w:rsidRPr="00E516A2">
        <w:rPr>
          <w:noProof/>
        </w:rPr>
        <w:t>283.</w:t>
      </w:r>
      <w:r w:rsidRPr="00E516A2">
        <w:rPr>
          <w:noProof/>
        </w:rPr>
        <w:tab/>
        <w:t xml:space="preserve">NICE, </w:t>
      </w:r>
      <w:r w:rsidRPr="00E516A2">
        <w:rPr>
          <w:i/>
          <w:noProof/>
        </w:rPr>
        <w:t>Promoting physical activity for children and young people</w:t>
      </w:r>
      <w:r w:rsidRPr="00E516A2">
        <w:rPr>
          <w:noProof/>
        </w:rPr>
        <w:t xml:space="preserve">, in </w:t>
      </w:r>
      <w:r w:rsidRPr="00E516A2">
        <w:rPr>
          <w:i/>
          <w:noProof/>
        </w:rPr>
        <w:t>PH17</w:t>
      </w:r>
      <w:r w:rsidRPr="00E516A2">
        <w:rPr>
          <w:noProof/>
        </w:rPr>
        <w:t>. 2009, National Institute for Health and Care Excellence: London.</w:t>
      </w:r>
    </w:p>
    <w:p w14:paraId="453826B0" w14:textId="77777777" w:rsidR="00E516A2" w:rsidRPr="00E516A2" w:rsidRDefault="00E516A2" w:rsidP="00E516A2">
      <w:pPr>
        <w:pStyle w:val="EndNoteBibliography"/>
        <w:spacing w:after="0"/>
        <w:ind w:left="720" w:hanging="720"/>
        <w:rPr>
          <w:noProof/>
        </w:rPr>
      </w:pPr>
      <w:r w:rsidRPr="00E516A2">
        <w:rPr>
          <w:noProof/>
        </w:rPr>
        <w:t>284.</w:t>
      </w:r>
      <w:r w:rsidRPr="00E516A2">
        <w:rPr>
          <w:noProof/>
        </w:rPr>
        <w:tab/>
        <w:t xml:space="preserve">NICE, </w:t>
      </w:r>
      <w:r w:rsidRPr="00E516A2">
        <w:rPr>
          <w:i/>
          <w:noProof/>
        </w:rPr>
        <w:t>Needle and syringe programmes</w:t>
      </w:r>
      <w:r w:rsidRPr="00E516A2">
        <w:rPr>
          <w:noProof/>
        </w:rPr>
        <w:t xml:space="preserve">, in </w:t>
      </w:r>
      <w:r w:rsidRPr="00E516A2">
        <w:rPr>
          <w:i/>
          <w:noProof/>
        </w:rPr>
        <w:t>PH18</w:t>
      </w:r>
      <w:r w:rsidRPr="00E516A2">
        <w:rPr>
          <w:noProof/>
        </w:rPr>
        <w:t>. 2009, National Institute for Health and Care Excellence: London.</w:t>
      </w:r>
    </w:p>
    <w:p w14:paraId="27CECE82" w14:textId="77777777" w:rsidR="00E516A2" w:rsidRPr="00E516A2" w:rsidRDefault="00E516A2" w:rsidP="00E516A2">
      <w:pPr>
        <w:pStyle w:val="EndNoteBibliography"/>
        <w:spacing w:after="0"/>
        <w:ind w:left="720" w:hanging="720"/>
        <w:rPr>
          <w:noProof/>
        </w:rPr>
      </w:pPr>
      <w:r w:rsidRPr="00E516A2">
        <w:rPr>
          <w:noProof/>
        </w:rPr>
        <w:t>285.</w:t>
      </w:r>
      <w:r w:rsidRPr="00E516A2">
        <w:rPr>
          <w:noProof/>
        </w:rPr>
        <w:tab/>
        <w:t xml:space="preserve">NICE, </w:t>
      </w:r>
      <w:r w:rsidRPr="00E516A2">
        <w:rPr>
          <w:i/>
          <w:noProof/>
        </w:rPr>
        <w:t>Managing long-term sickness and incapacity for work</w:t>
      </w:r>
      <w:r w:rsidRPr="00E516A2">
        <w:rPr>
          <w:noProof/>
        </w:rPr>
        <w:t xml:space="preserve">, in </w:t>
      </w:r>
      <w:r w:rsidRPr="00E516A2">
        <w:rPr>
          <w:i/>
          <w:noProof/>
        </w:rPr>
        <w:t>PH19</w:t>
      </w:r>
      <w:r w:rsidRPr="00E516A2">
        <w:rPr>
          <w:noProof/>
        </w:rPr>
        <w:t>. 2009, National Institute for Health and Care Excellence: London.</w:t>
      </w:r>
    </w:p>
    <w:p w14:paraId="1FC191E5" w14:textId="77777777" w:rsidR="00E516A2" w:rsidRPr="00E516A2" w:rsidRDefault="00E516A2" w:rsidP="00E516A2">
      <w:pPr>
        <w:pStyle w:val="EndNoteBibliography"/>
        <w:spacing w:after="0"/>
        <w:ind w:left="720" w:hanging="720"/>
        <w:rPr>
          <w:noProof/>
        </w:rPr>
      </w:pPr>
      <w:r w:rsidRPr="00E516A2">
        <w:rPr>
          <w:noProof/>
        </w:rPr>
        <w:t>286.</w:t>
      </w:r>
      <w:r w:rsidRPr="00E516A2">
        <w:rPr>
          <w:noProof/>
        </w:rPr>
        <w:tab/>
        <w:t xml:space="preserve">NICE, </w:t>
      </w:r>
      <w:r w:rsidRPr="00E516A2">
        <w:rPr>
          <w:i/>
          <w:noProof/>
        </w:rPr>
        <w:t>Social and emotional wellbeing in secondary education</w:t>
      </w:r>
      <w:r w:rsidRPr="00E516A2">
        <w:rPr>
          <w:noProof/>
        </w:rPr>
        <w:t xml:space="preserve">, in </w:t>
      </w:r>
      <w:r w:rsidRPr="00E516A2">
        <w:rPr>
          <w:i/>
          <w:noProof/>
        </w:rPr>
        <w:t>PH20</w:t>
      </w:r>
      <w:r w:rsidRPr="00E516A2">
        <w:rPr>
          <w:noProof/>
        </w:rPr>
        <w:t>. 2009, National Institute for Health and Care Excellence: London.</w:t>
      </w:r>
    </w:p>
    <w:p w14:paraId="7E6181B1" w14:textId="77777777" w:rsidR="00E516A2" w:rsidRPr="00E516A2" w:rsidRDefault="00E516A2" w:rsidP="00E516A2">
      <w:pPr>
        <w:pStyle w:val="EndNoteBibliography"/>
        <w:spacing w:after="0"/>
        <w:ind w:left="720" w:hanging="720"/>
        <w:rPr>
          <w:noProof/>
        </w:rPr>
      </w:pPr>
      <w:r w:rsidRPr="00E516A2">
        <w:rPr>
          <w:noProof/>
        </w:rPr>
        <w:t>287.</w:t>
      </w:r>
      <w:r w:rsidRPr="00E516A2">
        <w:rPr>
          <w:noProof/>
        </w:rPr>
        <w:tab/>
        <w:t xml:space="preserve">NICE, </w:t>
      </w:r>
      <w:r w:rsidRPr="00E516A2">
        <w:rPr>
          <w:i/>
          <w:noProof/>
        </w:rPr>
        <w:t>Reducing differences in the uptake of immunisations</w:t>
      </w:r>
      <w:r w:rsidRPr="00E516A2">
        <w:rPr>
          <w:noProof/>
        </w:rPr>
        <w:t xml:space="preserve">, in </w:t>
      </w:r>
      <w:r w:rsidRPr="00E516A2">
        <w:rPr>
          <w:i/>
          <w:noProof/>
        </w:rPr>
        <w:t>PH21</w:t>
      </w:r>
      <w:r w:rsidRPr="00E516A2">
        <w:rPr>
          <w:noProof/>
        </w:rPr>
        <w:t>. 2009, National Institute for Health and Care Excellence: London.</w:t>
      </w:r>
    </w:p>
    <w:p w14:paraId="1D8A3225" w14:textId="77777777" w:rsidR="00E516A2" w:rsidRPr="00E516A2" w:rsidRDefault="00E516A2" w:rsidP="00E516A2">
      <w:pPr>
        <w:pStyle w:val="EndNoteBibliography"/>
        <w:spacing w:after="0"/>
        <w:ind w:left="720" w:hanging="720"/>
        <w:rPr>
          <w:noProof/>
        </w:rPr>
      </w:pPr>
      <w:r w:rsidRPr="00E516A2">
        <w:rPr>
          <w:noProof/>
        </w:rPr>
        <w:t>288.</w:t>
      </w:r>
      <w:r w:rsidRPr="00E516A2">
        <w:rPr>
          <w:noProof/>
        </w:rPr>
        <w:tab/>
        <w:t xml:space="preserve">NICE, </w:t>
      </w:r>
      <w:r w:rsidRPr="00E516A2">
        <w:rPr>
          <w:i/>
          <w:noProof/>
        </w:rPr>
        <w:t>Promoting mental wellbeing at work</w:t>
      </w:r>
      <w:r w:rsidRPr="00E516A2">
        <w:rPr>
          <w:noProof/>
        </w:rPr>
        <w:t xml:space="preserve">, in </w:t>
      </w:r>
      <w:r w:rsidRPr="00E516A2">
        <w:rPr>
          <w:i/>
          <w:noProof/>
        </w:rPr>
        <w:t>PH22</w:t>
      </w:r>
      <w:r w:rsidRPr="00E516A2">
        <w:rPr>
          <w:noProof/>
        </w:rPr>
        <w:t>. 2009, National Institute for Health and Care Excellence: London.</w:t>
      </w:r>
    </w:p>
    <w:p w14:paraId="30C83EFF" w14:textId="77777777" w:rsidR="00E516A2" w:rsidRPr="00E516A2" w:rsidRDefault="00E516A2" w:rsidP="00E516A2">
      <w:pPr>
        <w:pStyle w:val="EndNoteBibliography"/>
        <w:spacing w:after="0"/>
        <w:ind w:left="720" w:hanging="720"/>
        <w:rPr>
          <w:noProof/>
        </w:rPr>
      </w:pPr>
      <w:r w:rsidRPr="00E516A2">
        <w:rPr>
          <w:noProof/>
        </w:rPr>
        <w:t>289.</w:t>
      </w:r>
      <w:r w:rsidRPr="00E516A2">
        <w:rPr>
          <w:noProof/>
        </w:rPr>
        <w:tab/>
        <w:t xml:space="preserve">NICE, </w:t>
      </w:r>
      <w:r w:rsidRPr="00E516A2">
        <w:rPr>
          <w:i/>
          <w:noProof/>
        </w:rPr>
        <w:t>Prevention of cardiovascular disease</w:t>
      </w:r>
      <w:r w:rsidRPr="00E516A2">
        <w:rPr>
          <w:noProof/>
        </w:rPr>
        <w:t xml:space="preserve">, in </w:t>
      </w:r>
      <w:r w:rsidRPr="00E516A2">
        <w:rPr>
          <w:i/>
          <w:noProof/>
        </w:rPr>
        <w:t>PH25</w:t>
      </w:r>
      <w:r w:rsidRPr="00E516A2">
        <w:rPr>
          <w:noProof/>
        </w:rPr>
        <w:t>. 2010, National Institute for Health and Care Excellence: London.</w:t>
      </w:r>
    </w:p>
    <w:p w14:paraId="4338175B" w14:textId="77777777" w:rsidR="00E516A2" w:rsidRPr="00E516A2" w:rsidRDefault="00E516A2" w:rsidP="00E516A2">
      <w:pPr>
        <w:pStyle w:val="EndNoteBibliography"/>
        <w:spacing w:after="0"/>
        <w:ind w:left="720" w:hanging="720"/>
        <w:rPr>
          <w:noProof/>
        </w:rPr>
      </w:pPr>
      <w:r w:rsidRPr="00E516A2">
        <w:rPr>
          <w:noProof/>
        </w:rPr>
        <w:t>290.</w:t>
      </w:r>
      <w:r w:rsidRPr="00E516A2">
        <w:rPr>
          <w:noProof/>
        </w:rPr>
        <w:tab/>
        <w:t xml:space="preserve">NICE, </w:t>
      </w:r>
      <w:r w:rsidRPr="00E516A2">
        <w:rPr>
          <w:i/>
          <w:noProof/>
        </w:rPr>
        <w:t>Quitting smoking in pregnancy and following childbirth</w:t>
      </w:r>
      <w:r w:rsidRPr="00E516A2">
        <w:rPr>
          <w:noProof/>
        </w:rPr>
        <w:t xml:space="preserve">, in </w:t>
      </w:r>
      <w:r w:rsidRPr="00E516A2">
        <w:rPr>
          <w:i/>
          <w:noProof/>
        </w:rPr>
        <w:t>PH26</w:t>
      </w:r>
      <w:r w:rsidRPr="00E516A2">
        <w:rPr>
          <w:noProof/>
        </w:rPr>
        <w:t>. 2010, National Institute for Health and Care Excellence: London.</w:t>
      </w:r>
    </w:p>
    <w:p w14:paraId="39F972B6" w14:textId="77777777" w:rsidR="00E516A2" w:rsidRPr="00E516A2" w:rsidRDefault="00E516A2" w:rsidP="00E516A2">
      <w:pPr>
        <w:pStyle w:val="EndNoteBibliography"/>
        <w:spacing w:after="0"/>
        <w:ind w:left="720" w:hanging="720"/>
        <w:rPr>
          <w:noProof/>
        </w:rPr>
      </w:pPr>
      <w:r w:rsidRPr="00E516A2">
        <w:rPr>
          <w:noProof/>
        </w:rPr>
        <w:t>291.</w:t>
      </w:r>
      <w:r w:rsidRPr="00E516A2">
        <w:rPr>
          <w:noProof/>
        </w:rPr>
        <w:tab/>
        <w:t xml:space="preserve">NICE, </w:t>
      </w:r>
      <w:r w:rsidRPr="00E516A2">
        <w:rPr>
          <w:i/>
          <w:noProof/>
        </w:rPr>
        <w:t>Weight management before, during and after pregnancy</w:t>
      </w:r>
      <w:r w:rsidRPr="00E516A2">
        <w:rPr>
          <w:noProof/>
        </w:rPr>
        <w:t xml:space="preserve">, in </w:t>
      </w:r>
      <w:r w:rsidRPr="00E516A2">
        <w:rPr>
          <w:i/>
          <w:noProof/>
        </w:rPr>
        <w:t>PH27</w:t>
      </w:r>
      <w:r w:rsidRPr="00E516A2">
        <w:rPr>
          <w:noProof/>
        </w:rPr>
        <w:t>. 2010, National Institute for Health and Care Excellence: London.</w:t>
      </w:r>
    </w:p>
    <w:p w14:paraId="3067E225" w14:textId="77777777" w:rsidR="00E516A2" w:rsidRPr="00E516A2" w:rsidRDefault="00E516A2" w:rsidP="00E516A2">
      <w:pPr>
        <w:pStyle w:val="EndNoteBibliography"/>
        <w:spacing w:after="0"/>
        <w:ind w:left="720" w:hanging="720"/>
        <w:rPr>
          <w:noProof/>
        </w:rPr>
      </w:pPr>
      <w:r w:rsidRPr="00E516A2">
        <w:rPr>
          <w:noProof/>
        </w:rPr>
        <w:t>292.</w:t>
      </w:r>
      <w:r w:rsidRPr="00E516A2">
        <w:rPr>
          <w:noProof/>
        </w:rPr>
        <w:tab/>
        <w:t xml:space="preserve">NICE, </w:t>
      </w:r>
      <w:r w:rsidRPr="00E516A2">
        <w:rPr>
          <w:i/>
          <w:noProof/>
        </w:rPr>
        <w:t>Looked-after children and young people</w:t>
      </w:r>
      <w:r w:rsidRPr="00E516A2">
        <w:rPr>
          <w:noProof/>
        </w:rPr>
        <w:t xml:space="preserve">, in </w:t>
      </w:r>
      <w:r w:rsidRPr="00E516A2">
        <w:rPr>
          <w:i/>
          <w:noProof/>
        </w:rPr>
        <w:t>PH28</w:t>
      </w:r>
      <w:r w:rsidRPr="00E516A2">
        <w:rPr>
          <w:noProof/>
        </w:rPr>
        <w:t>. 2010, National Institute for Health and Care Excellence: London.</w:t>
      </w:r>
    </w:p>
    <w:p w14:paraId="7C00EC67" w14:textId="77777777" w:rsidR="00E516A2" w:rsidRPr="00E516A2" w:rsidRDefault="00E516A2" w:rsidP="00E516A2">
      <w:pPr>
        <w:pStyle w:val="EndNoteBibliography"/>
        <w:spacing w:after="0"/>
        <w:ind w:left="720" w:hanging="720"/>
        <w:rPr>
          <w:noProof/>
        </w:rPr>
      </w:pPr>
      <w:r w:rsidRPr="00E516A2">
        <w:rPr>
          <w:noProof/>
        </w:rPr>
        <w:t>293.</w:t>
      </w:r>
      <w:r w:rsidRPr="00E516A2">
        <w:rPr>
          <w:noProof/>
        </w:rPr>
        <w:tab/>
        <w:t xml:space="preserve">NICE, </w:t>
      </w:r>
      <w:r w:rsidRPr="00E516A2">
        <w:rPr>
          <w:i/>
          <w:noProof/>
        </w:rPr>
        <w:t>Strategies to prevent unintentional injuries among the under-15s</w:t>
      </w:r>
      <w:r w:rsidRPr="00E516A2">
        <w:rPr>
          <w:noProof/>
        </w:rPr>
        <w:t xml:space="preserve">, in </w:t>
      </w:r>
      <w:r w:rsidRPr="00E516A2">
        <w:rPr>
          <w:i/>
          <w:noProof/>
        </w:rPr>
        <w:t>PH29</w:t>
      </w:r>
      <w:r w:rsidRPr="00E516A2">
        <w:rPr>
          <w:noProof/>
        </w:rPr>
        <w:t>. 2010, National Institute for Health and Care Excellence: London.</w:t>
      </w:r>
    </w:p>
    <w:p w14:paraId="2C44DABC" w14:textId="77777777" w:rsidR="00E516A2" w:rsidRPr="00E516A2" w:rsidRDefault="00E516A2" w:rsidP="00E516A2">
      <w:pPr>
        <w:pStyle w:val="EndNoteBibliography"/>
        <w:spacing w:after="0"/>
        <w:ind w:left="720" w:hanging="720"/>
        <w:rPr>
          <w:noProof/>
        </w:rPr>
      </w:pPr>
      <w:r w:rsidRPr="00E516A2">
        <w:rPr>
          <w:noProof/>
        </w:rPr>
        <w:t>294.</w:t>
      </w:r>
      <w:r w:rsidRPr="00E516A2">
        <w:rPr>
          <w:noProof/>
        </w:rPr>
        <w:tab/>
        <w:t xml:space="preserve">NICE, </w:t>
      </w:r>
      <w:r w:rsidRPr="00E516A2">
        <w:rPr>
          <w:i/>
          <w:noProof/>
        </w:rPr>
        <w:t>Preventing unintentional injuries among the under-15s in the home</w:t>
      </w:r>
      <w:r w:rsidRPr="00E516A2">
        <w:rPr>
          <w:noProof/>
        </w:rPr>
        <w:t xml:space="preserve">, in </w:t>
      </w:r>
      <w:r w:rsidRPr="00E516A2">
        <w:rPr>
          <w:i/>
          <w:noProof/>
        </w:rPr>
        <w:t>PH30</w:t>
      </w:r>
      <w:r w:rsidRPr="00E516A2">
        <w:rPr>
          <w:noProof/>
        </w:rPr>
        <w:t>. 2010, National Institute for Health and Care Excellence: London.</w:t>
      </w:r>
    </w:p>
    <w:p w14:paraId="4D12260F" w14:textId="77777777" w:rsidR="00E516A2" w:rsidRPr="00E516A2" w:rsidRDefault="00E516A2" w:rsidP="00E516A2">
      <w:pPr>
        <w:pStyle w:val="EndNoteBibliography"/>
        <w:spacing w:after="0"/>
        <w:ind w:left="720" w:hanging="720"/>
        <w:rPr>
          <w:noProof/>
        </w:rPr>
      </w:pPr>
      <w:r w:rsidRPr="00E516A2">
        <w:rPr>
          <w:noProof/>
        </w:rPr>
        <w:t>295.</w:t>
      </w:r>
      <w:r w:rsidRPr="00E516A2">
        <w:rPr>
          <w:noProof/>
        </w:rPr>
        <w:tab/>
        <w:t xml:space="preserve">NICE, </w:t>
      </w:r>
      <w:r w:rsidRPr="00E516A2">
        <w:rPr>
          <w:i/>
          <w:noProof/>
        </w:rPr>
        <w:t>Preventing unintentional road injuries among under-15s</w:t>
      </w:r>
      <w:r w:rsidRPr="00E516A2">
        <w:rPr>
          <w:noProof/>
        </w:rPr>
        <w:t xml:space="preserve">, in </w:t>
      </w:r>
      <w:r w:rsidRPr="00E516A2">
        <w:rPr>
          <w:i/>
          <w:noProof/>
        </w:rPr>
        <w:t>PH31</w:t>
      </w:r>
      <w:r w:rsidRPr="00E516A2">
        <w:rPr>
          <w:noProof/>
        </w:rPr>
        <w:t>. 2010, National Institute for Health and Care Excellence: London.</w:t>
      </w:r>
    </w:p>
    <w:p w14:paraId="1B4F5CEB" w14:textId="77777777" w:rsidR="00E516A2" w:rsidRPr="00E516A2" w:rsidRDefault="00E516A2" w:rsidP="00E516A2">
      <w:pPr>
        <w:pStyle w:val="EndNoteBibliography"/>
        <w:spacing w:after="0"/>
        <w:ind w:left="720" w:hanging="720"/>
        <w:rPr>
          <w:noProof/>
        </w:rPr>
      </w:pPr>
      <w:r w:rsidRPr="00E516A2">
        <w:rPr>
          <w:noProof/>
        </w:rPr>
        <w:t>296.</w:t>
      </w:r>
      <w:r w:rsidRPr="00E516A2">
        <w:rPr>
          <w:noProof/>
        </w:rPr>
        <w:tab/>
        <w:t xml:space="preserve">NICE, </w:t>
      </w:r>
      <w:r w:rsidRPr="00E516A2">
        <w:rPr>
          <w:i/>
          <w:noProof/>
        </w:rPr>
        <w:t>Increasing the uptake of HIV testing among black Africans in England</w:t>
      </w:r>
      <w:r w:rsidRPr="00E516A2">
        <w:rPr>
          <w:noProof/>
        </w:rPr>
        <w:t xml:space="preserve">, in </w:t>
      </w:r>
      <w:r w:rsidRPr="00E516A2">
        <w:rPr>
          <w:i/>
          <w:noProof/>
        </w:rPr>
        <w:t>PH34</w:t>
      </w:r>
      <w:r w:rsidRPr="00E516A2">
        <w:rPr>
          <w:noProof/>
        </w:rPr>
        <w:t>. 2011, National Institute for Health and Care Excellence: London.</w:t>
      </w:r>
    </w:p>
    <w:p w14:paraId="585027C8" w14:textId="77777777" w:rsidR="00E516A2" w:rsidRPr="00E516A2" w:rsidRDefault="00E516A2" w:rsidP="00E516A2">
      <w:pPr>
        <w:pStyle w:val="EndNoteBibliography"/>
        <w:spacing w:after="0"/>
        <w:ind w:left="720" w:hanging="720"/>
        <w:rPr>
          <w:noProof/>
        </w:rPr>
      </w:pPr>
      <w:r w:rsidRPr="00E516A2">
        <w:rPr>
          <w:noProof/>
        </w:rPr>
        <w:t>297.</w:t>
      </w:r>
      <w:r w:rsidRPr="00E516A2">
        <w:rPr>
          <w:noProof/>
        </w:rPr>
        <w:tab/>
        <w:t xml:space="preserve">NICE, </w:t>
      </w:r>
      <w:r w:rsidRPr="00E516A2">
        <w:rPr>
          <w:i/>
          <w:noProof/>
        </w:rPr>
        <w:t>Increasing the uptake of HIV testing among men who have sex with men</w:t>
      </w:r>
      <w:r w:rsidRPr="00E516A2">
        <w:rPr>
          <w:noProof/>
        </w:rPr>
        <w:t xml:space="preserve">, in </w:t>
      </w:r>
      <w:r w:rsidRPr="00E516A2">
        <w:rPr>
          <w:i/>
          <w:noProof/>
        </w:rPr>
        <w:t>PH34</w:t>
      </w:r>
      <w:r w:rsidRPr="00E516A2">
        <w:rPr>
          <w:noProof/>
        </w:rPr>
        <w:t>. 2011, National Institute for Health and Care Excellence: London.</w:t>
      </w:r>
    </w:p>
    <w:p w14:paraId="74CCBDB0" w14:textId="77777777" w:rsidR="00E516A2" w:rsidRPr="00E516A2" w:rsidRDefault="00E516A2" w:rsidP="00E516A2">
      <w:pPr>
        <w:pStyle w:val="EndNoteBibliography"/>
        <w:spacing w:after="0"/>
        <w:ind w:left="720" w:hanging="720"/>
        <w:rPr>
          <w:noProof/>
        </w:rPr>
      </w:pPr>
      <w:r w:rsidRPr="00E516A2">
        <w:rPr>
          <w:noProof/>
        </w:rPr>
        <w:t>298.</w:t>
      </w:r>
      <w:r w:rsidRPr="00E516A2">
        <w:rPr>
          <w:noProof/>
        </w:rPr>
        <w:tab/>
        <w:t xml:space="preserve">NICE, </w:t>
      </w:r>
      <w:r w:rsidRPr="00E516A2">
        <w:rPr>
          <w:i/>
          <w:noProof/>
        </w:rPr>
        <w:t>Preventing type 2 diabetes: population and community-level interventions</w:t>
      </w:r>
      <w:r w:rsidRPr="00E516A2">
        <w:rPr>
          <w:noProof/>
        </w:rPr>
        <w:t xml:space="preserve">, in </w:t>
      </w:r>
      <w:r w:rsidRPr="00E516A2">
        <w:rPr>
          <w:i/>
          <w:noProof/>
        </w:rPr>
        <w:t>PH35</w:t>
      </w:r>
      <w:r w:rsidRPr="00E516A2">
        <w:rPr>
          <w:noProof/>
        </w:rPr>
        <w:t>. 2011, National Institute for Health and Care Excellence: London.</w:t>
      </w:r>
    </w:p>
    <w:p w14:paraId="0F84CF5D" w14:textId="77777777" w:rsidR="00E516A2" w:rsidRPr="00E516A2" w:rsidRDefault="00E516A2" w:rsidP="00E516A2">
      <w:pPr>
        <w:pStyle w:val="EndNoteBibliography"/>
        <w:spacing w:after="0"/>
        <w:ind w:left="720" w:hanging="720"/>
        <w:rPr>
          <w:noProof/>
        </w:rPr>
      </w:pPr>
      <w:r w:rsidRPr="00E516A2">
        <w:rPr>
          <w:noProof/>
        </w:rPr>
        <w:t>299.</w:t>
      </w:r>
      <w:r w:rsidRPr="00E516A2">
        <w:rPr>
          <w:noProof/>
        </w:rPr>
        <w:tab/>
        <w:t xml:space="preserve">NICE, </w:t>
      </w:r>
      <w:r w:rsidRPr="00E516A2">
        <w:rPr>
          <w:i/>
          <w:noProof/>
        </w:rPr>
        <w:t>Prevention and control of healthcare-associated infections: Quality improvement guide</w:t>
      </w:r>
      <w:r w:rsidRPr="00E516A2">
        <w:rPr>
          <w:noProof/>
        </w:rPr>
        <w:t xml:space="preserve">, in </w:t>
      </w:r>
      <w:r w:rsidRPr="00E516A2">
        <w:rPr>
          <w:i/>
          <w:noProof/>
        </w:rPr>
        <w:t>PH36</w:t>
      </w:r>
      <w:r w:rsidRPr="00E516A2">
        <w:rPr>
          <w:noProof/>
        </w:rPr>
        <w:t>. 2011, National Institute for Health and Care Excellence: London.</w:t>
      </w:r>
    </w:p>
    <w:p w14:paraId="46185708" w14:textId="77777777" w:rsidR="00E516A2" w:rsidRPr="00E516A2" w:rsidRDefault="00E516A2" w:rsidP="00E516A2">
      <w:pPr>
        <w:pStyle w:val="EndNoteBibliography"/>
        <w:spacing w:after="0"/>
        <w:ind w:left="720" w:hanging="720"/>
        <w:rPr>
          <w:noProof/>
        </w:rPr>
      </w:pPr>
      <w:r w:rsidRPr="00E516A2">
        <w:rPr>
          <w:noProof/>
        </w:rPr>
        <w:t>300.</w:t>
      </w:r>
      <w:r w:rsidRPr="00E516A2">
        <w:rPr>
          <w:noProof/>
        </w:rPr>
        <w:tab/>
        <w:t xml:space="preserve">NICE, </w:t>
      </w:r>
      <w:r w:rsidRPr="00E516A2">
        <w:rPr>
          <w:i/>
          <w:noProof/>
        </w:rPr>
        <w:t>Preventing type 2 diabetes: risk identification and interventions for individuals at high risk</w:t>
      </w:r>
      <w:r w:rsidRPr="00E516A2">
        <w:rPr>
          <w:noProof/>
        </w:rPr>
        <w:t xml:space="preserve">, in </w:t>
      </w:r>
      <w:r w:rsidRPr="00E516A2">
        <w:rPr>
          <w:i/>
          <w:noProof/>
        </w:rPr>
        <w:t>PH38</w:t>
      </w:r>
      <w:r w:rsidRPr="00E516A2">
        <w:rPr>
          <w:noProof/>
        </w:rPr>
        <w:t>. 2012, National Institute for Health and Care Excellence: London.</w:t>
      </w:r>
    </w:p>
    <w:p w14:paraId="70B36CED" w14:textId="77777777" w:rsidR="00E516A2" w:rsidRPr="00E516A2" w:rsidRDefault="00E516A2" w:rsidP="00E516A2">
      <w:pPr>
        <w:pStyle w:val="EndNoteBibliography"/>
        <w:spacing w:after="0"/>
        <w:ind w:left="720" w:hanging="720"/>
        <w:rPr>
          <w:noProof/>
        </w:rPr>
      </w:pPr>
      <w:r w:rsidRPr="00E516A2">
        <w:rPr>
          <w:noProof/>
        </w:rPr>
        <w:t>301.</w:t>
      </w:r>
      <w:r w:rsidRPr="00E516A2">
        <w:rPr>
          <w:noProof/>
        </w:rPr>
        <w:tab/>
        <w:t xml:space="preserve">NICE, </w:t>
      </w:r>
      <w:r w:rsidRPr="00E516A2">
        <w:rPr>
          <w:i/>
          <w:noProof/>
        </w:rPr>
        <w:t>Social and emotional wellbeing: early years</w:t>
      </w:r>
      <w:r w:rsidRPr="00E516A2">
        <w:rPr>
          <w:noProof/>
        </w:rPr>
        <w:t xml:space="preserve">, in </w:t>
      </w:r>
      <w:r w:rsidRPr="00E516A2">
        <w:rPr>
          <w:i/>
          <w:noProof/>
        </w:rPr>
        <w:t>PH40</w:t>
      </w:r>
      <w:r w:rsidRPr="00E516A2">
        <w:rPr>
          <w:noProof/>
        </w:rPr>
        <w:t>. 2012, National Institute for Health and Care Excellence: London.</w:t>
      </w:r>
    </w:p>
    <w:p w14:paraId="2B42488C" w14:textId="77777777" w:rsidR="00E516A2" w:rsidRPr="00E516A2" w:rsidRDefault="00E516A2" w:rsidP="00E516A2">
      <w:pPr>
        <w:pStyle w:val="EndNoteBibliography"/>
        <w:spacing w:after="0"/>
        <w:ind w:left="720" w:hanging="720"/>
        <w:rPr>
          <w:noProof/>
        </w:rPr>
      </w:pPr>
      <w:r w:rsidRPr="00E516A2">
        <w:rPr>
          <w:noProof/>
        </w:rPr>
        <w:t>302.</w:t>
      </w:r>
      <w:r w:rsidRPr="00E516A2">
        <w:rPr>
          <w:noProof/>
        </w:rPr>
        <w:tab/>
        <w:t xml:space="preserve">NICE, </w:t>
      </w:r>
      <w:r w:rsidRPr="00E516A2">
        <w:rPr>
          <w:i/>
          <w:noProof/>
        </w:rPr>
        <w:t>Hepatitis B and C: ways to promote and offer testing to people at increased risk of infection</w:t>
      </w:r>
      <w:r w:rsidRPr="00E516A2">
        <w:rPr>
          <w:noProof/>
        </w:rPr>
        <w:t xml:space="preserve">, in </w:t>
      </w:r>
      <w:r w:rsidRPr="00E516A2">
        <w:rPr>
          <w:i/>
          <w:noProof/>
        </w:rPr>
        <w:t>PH43</w:t>
      </w:r>
      <w:r w:rsidRPr="00E516A2">
        <w:rPr>
          <w:noProof/>
        </w:rPr>
        <w:t>. 2012, National Institute for Health and Care Excellence: London.</w:t>
      </w:r>
    </w:p>
    <w:p w14:paraId="17B50C61" w14:textId="77777777" w:rsidR="00E516A2" w:rsidRPr="00E516A2" w:rsidRDefault="00E516A2" w:rsidP="00E516A2">
      <w:pPr>
        <w:pStyle w:val="EndNoteBibliography"/>
        <w:spacing w:after="0"/>
        <w:ind w:left="720" w:hanging="720"/>
        <w:rPr>
          <w:noProof/>
        </w:rPr>
      </w:pPr>
      <w:r w:rsidRPr="00E516A2">
        <w:rPr>
          <w:noProof/>
        </w:rPr>
        <w:t>303.</w:t>
      </w:r>
      <w:r w:rsidRPr="00E516A2">
        <w:rPr>
          <w:noProof/>
        </w:rPr>
        <w:tab/>
        <w:t xml:space="preserve">NICE, </w:t>
      </w:r>
      <w:r w:rsidRPr="00E516A2">
        <w:rPr>
          <w:i/>
          <w:noProof/>
        </w:rPr>
        <w:t>Tobacco: harm-reduction approaches to smoking</w:t>
      </w:r>
      <w:r w:rsidRPr="00E516A2">
        <w:rPr>
          <w:noProof/>
        </w:rPr>
        <w:t xml:space="preserve">, in </w:t>
      </w:r>
      <w:r w:rsidRPr="00E516A2">
        <w:rPr>
          <w:i/>
          <w:noProof/>
        </w:rPr>
        <w:t>PH45</w:t>
      </w:r>
      <w:r w:rsidRPr="00E516A2">
        <w:rPr>
          <w:noProof/>
        </w:rPr>
        <w:t>. 2013, National Institute for Health and Care Excellence: London.</w:t>
      </w:r>
    </w:p>
    <w:p w14:paraId="3A2F98DF" w14:textId="77777777" w:rsidR="00E516A2" w:rsidRPr="00E516A2" w:rsidRDefault="00E516A2" w:rsidP="00E516A2">
      <w:pPr>
        <w:pStyle w:val="EndNoteBibliography"/>
        <w:spacing w:after="0"/>
        <w:ind w:left="720" w:hanging="720"/>
        <w:rPr>
          <w:noProof/>
        </w:rPr>
      </w:pPr>
      <w:r w:rsidRPr="00E516A2">
        <w:rPr>
          <w:noProof/>
        </w:rPr>
        <w:t>304.</w:t>
      </w:r>
      <w:r w:rsidRPr="00E516A2">
        <w:rPr>
          <w:noProof/>
        </w:rPr>
        <w:tab/>
        <w:t xml:space="preserve">NICE, </w:t>
      </w:r>
      <w:r w:rsidRPr="00E516A2">
        <w:rPr>
          <w:i/>
          <w:noProof/>
        </w:rPr>
        <w:t>Assessing body mass index and waist circumference thresholds for intervening to prevent ill health and premature death among adults from black, Asian and other minority ethnic groups in the UK</w:t>
      </w:r>
      <w:r w:rsidRPr="00E516A2">
        <w:rPr>
          <w:noProof/>
        </w:rPr>
        <w:t xml:space="preserve">, in </w:t>
      </w:r>
      <w:r w:rsidRPr="00E516A2">
        <w:rPr>
          <w:i/>
          <w:noProof/>
        </w:rPr>
        <w:t>PH46</w:t>
      </w:r>
      <w:r w:rsidRPr="00E516A2">
        <w:rPr>
          <w:noProof/>
        </w:rPr>
        <w:t>. 2013, National Institute for Health and Care Excellence: London.</w:t>
      </w:r>
    </w:p>
    <w:p w14:paraId="732E978B" w14:textId="77777777" w:rsidR="00E516A2" w:rsidRPr="00E516A2" w:rsidRDefault="00E516A2" w:rsidP="00E516A2">
      <w:pPr>
        <w:pStyle w:val="EndNoteBibliography"/>
        <w:spacing w:after="0"/>
        <w:ind w:left="720" w:hanging="720"/>
        <w:rPr>
          <w:noProof/>
        </w:rPr>
      </w:pPr>
      <w:r w:rsidRPr="00E516A2">
        <w:rPr>
          <w:noProof/>
        </w:rPr>
        <w:t>305.</w:t>
      </w:r>
      <w:r w:rsidRPr="00E516A2">
        <w:rPr>
          <w:noProof/>
        </w:rPr>
        <w:tab/>
        <w:t xml:space="preserve">NICE, </w:t>
      </w:r>
      <w:r w:rsidRPr="00E516A2">
        <w:rPr>
          <w:i/>
          <w:noProof/>
        </w:rPr>
        <w:t>Behaviour change: individual approaches</w:t>
      </w:r>
      <w:r w:rsidRPr="00E516A2">
        <w:rPr>
          <w:noProof/>
        </w:rPr>
        <w:t xml:space="preserve">, in </w:t>
      </w:r>
      <w:r w:rsidRPr="00E516A2">
        <w:rPr>
          <w:i/>
          <w:noProof/>
        </w:rPr>
        <w:t>PH49</w:t>
      </w:r>
      <w:r w:rsidRPr="00E516A2">
        <w:rPr>
          <w:noProof/>
        </w:rPr>
        <w:t>. 2014, National Institute for Health and Care Excellence: London.</w:t>
      </w:r>
    </w:p>
    <w:p w14:paraId="2C3451D0" w14:textId="77777777" w:rsidR="00E516A2" w:rsidRPr="00E516A2" w:rsidRDefault="00E516A2" w:rsidP="00E516A2">
      <w:pPr>
        <w:pStyle w:val="EndNoteBibliography"/>
        <w:spacing w:after="0"/>
        <w:ind w:left="720" w:hanging="720"/>
        <w:rPr>
          <w:noProof/>
        </w:rPr>
      </w:pPr>
      <w:r w:rsidRPr="00E516A2">
        <w:rPr>
          <w:noProof/>
        </w:rPr>
        <w:t>306.</w:t>
      </w:r>
      <w:r w:rsidRPr="00E516A2">
        <w:rPr>
          <w:noProof/>
        </w:rPr>
        <w:tab/>
        <w:t xml:space="preserve">NICE, </w:t>
      </w:r>
      <w:r w:rsidRPr="00E516A2">
        <w:rPr>
          <w:i/>
          <w:noProof/>
        </w:rPr>
        <w:t>Contraceptive services with a focus on young people up to the age of 25</w:t>
      </w:r>
      <w:r w:rsidRPr="00E516A2">
        <w:rPr>
          <w:noProof/>
        </w:rPr>
        <w:t xml:space="preserve">, in </w:t>
      </w:r>
      <w:r w:rsidRPr="00E516A2">
        <w:rPr>
          <w:i/>
          <w:noProof/>
        </w:rPr>
        <w:t>PH51</w:t>
      </w:r>
      <w:r w:rsidRPr="00E516A2">
        <w:rPr>
          <w:noProof/>
        </w:rPr>
        <w:t>. 2014, National Institute for Health and Care Excellence: London.</w:t>
      </w:r>
    </w:p>
    <w:p w14:paraId="444BC706" w14:textId="77777777" w:rsidR="00E516A2" w:rsidRPr="00E516A2" w:rsidRDefault="00E516A2" w:rsidP="00E516A2">
      <w:pPr>
        <w:pStyle w:val="EndNoteBibliography"/>
        <w:spacing w:after="0"/>
        <w:ind w:left="720" w:hanging="720"/>
        <w:rPr>
          <w:noProof/>
        </w:rPr>
      </w:pPr>
      <w:r w:rsidRPr="00E516A2">
        <w:rPr>
          <w:noProof/>
        </w:rPr>
        <w:t>307.</w:t>
      </w:r>
      <w:r w:rsidRPr="00E516A2">
        <w:rPr>
          <w:noProof/>
        </w:rPr>
        <w:tab/>
        <w:t xml:space="preserve">NICE, </w:t>
      </w:r>
      <w:r w:rsidRPr="00E516A2">
        <w:rPr>
          <w:i/>
          <w:noProof/>
        </w:rPr>
        <w:t>Needle and syringe programmes</w:t>
      </w:r>
      <w:r w:rsidRPr="00E516A2">
        <w:rPr>
          <w:noProof/>
        </w:rPr>
        <w:t xml:space="preserve">, in </w:t>
      </w:r>
      <w:r w:rsidRPr="00E516A2">
        <w:rPr>
          <w:i/>
          <w:noProof/>
        </w:rPr>
        <w:t>PH52</w:t>
      </w:r>
      <w:r w:rsidRPr="00E516A2">
        <w:rPr>
          <w:noProof/>
        </w:rPr>
        <w:t>. 2014, National Institute for Health and Care Excellence: London.</w:t>
      </w:r>
    </w:p>
    <w:p w14:paraId="389341DE" w14:textId="77777777" w:rsidR="00E516A2" w:rsidRPr="00E516A2" w:rsidRDefault="00E516A2" w:rsidP="00E516A2">
      <w:pPr>
        <w:pStyle w:val="EndNoteBibliography"/>
        <w:spacing w:after="0"/>
        <w:ind w:left="720" w:hanging="720"/>
        <w:rPr>
          <w:noProof/>
        </w:rPr>
      </w:pPr>
      <w:r w:rsidRPr="00E516A2">
        <w:rPr>
          <w:noProof/>
        </w:rPr>
        <w:t>308.</w:t>
      </w:r>
      <w:r w:rsidRPr="00E516A2">
        <w:rPr>
          <w:noProof/>
        </w:rPr>
        <w:tab/>
        <w:t xml:space="preserve">NICE, </w:t>
      </w:r>
      <w:r w:rsidRPr="00E516A2">
        <w:rPr>
          <w:i/>
          <w:noProof/>
        </w:rPr>
        <w:t>Managing overweight and obesity in adults – lifestyle weight management services</w:t>
      </w:r>
      <w:r w:rsidRPr="00E516A2">
        <w:rPr>
          <w:noProof/>
        </w:rPr>
        <w:t xml:space="preserve">, in </w:t>
      </w:r>
      <w:r w:rsidRPr="00E516A2">
        <w:rPr>
          <w:i/>
          <w:noProof/>
        </w:rPr>
        <w:t>PH53</w:t>
      </w:r>
      <w:r w:rsidRPr="00E516A2">
        <w:rPr>
          <w:noProof/>
        </w:rPr>
        <w:t>. 2014, National Institute for Health and Care Excellence: London.</w:t>
      </w:r>
    </w:p>
    <w:p w14:paraId="730F71AD" w14:textId="77777777" w:rsidR="00E516A2" w:rsidRPr="00E516A2" w:rsidRDefault="00E516A2" w:rsidP="00E516A2">
      <w:pPr>
        <w:pStyle w:val="EndNoteBibliography"/>
        <w:spacing w:after="0"/>
        <w:ind w:left="720" w:hanging="720"/>
        <w:rPr>
          <w:noProof/>
        </w:rPr>
      </w:pPr>
      <w:r w:rsidRPr="00E516A2">
        <w:rPr>
          <w:noProof/>
        </w:rPr>
        <w:t>309.</w:t>
      </w:r>
      <w:r w:rsidRPr="00E516A2">
        <w:rPr>
          <w:noProof/>
        </w:rPr>
        <w:tab/>
        <w:t xml:space="preserve">NICE, </w:t>
      </w:r>
      <w:r w:rsidRPr="00E516A2">
        <w:rPr>
          <w:i/>
          <w:noProof/>
        </w:rPr>
        <w:t>Oral health: approaches for local authorities and their partners to improve the oral health of their communities</w:t>
      </w:r>
      <w:r w:rsidRPr="00E516A2">
        <w:rPr>
          <w:noProof/>
        </w:rPr>
        <w:t xml:space="preserve">, in </w:t>
      </w:r>
      <w:r w:rsidRPr="00E516A2">
        <w:rPr>
          <w:i/>
          <w:noProof/>
        </w:rPr>
        <w:t>PH55</w:t>
      </w:r>
      <w:r w:rsidRPr="00E516A2">
        <w:rPr>
          <w:noProof/>
        </w:rPr>
        <w:t>. 2014, National Institute for Health and Care Excellence: London.</w:t>
      </w:r>
    </w:p>
    <w:p w14:paraId="0487EBDF" w14:textId="77777777" w:rsidR="00E516A2" w:rsidRPr="00E516A2" w:rsidRDefault="00E516A2" w:rsidP="00E516A2">
      <w:pPr>
        <w:pStyle w:val="EndNoteBibliography"/>
        <w:spacing w:after="0"/>
        <w:ind w:left="720" w:hanging="720"/>
        <w:rPr>
          <w:noProof/>
        </w:rPr>
      </w:pPr>
      <w:r w:rsidRPr="00E516A2">
        <w:rPr>
          <w:noProof/>
        </w:rPr>
        <w:t>310.</w:t>
      </w:r>
      <w:r w:rsidRPr="00E516A2">
        <w:rPr>
          <w:noProof/>
        </w:rPr>
        <w:tab/>
        <w:t xml:space="preserve">NICE, </w:t>
      </w:r>
      <w:r w:rsidRPr="00E516A2">
        <w:rPr>
          <w:i/>
          <w:noProof/>
        </w:rPr>
        <w:t>Vitamin D: increasing supplement use among at-risk groups</w:t>
      </w:r>
      <w:r w:rsidRPr="00E516A2">
        <w:rPr>
          <w:noProof/>
        </w:rPr>
        <w:t xml:space="preserve">, in </w:t>
      </w:r>
      <w:r w:rsidRPr="00E516A2">
        <w:rPr>
          <w:i/>
          <w:noProof/>
        </w:rPr>
        <w:t>PH56</w:t>
      </w:r>
      <w:r w:rsidRPr="00E516A2">
        <w:rPr>
          <w:noProof/>
        </w:rPr>
        <w:t>. 2014, National Institute for Health and Care Excellence: London.</w:t>
      </w:r>
    </w:p>
    <w:p w14:paraId="161D023E" w14:textId="77777777" w:rsidR="00E516A2" w:rsidRPr="00E516A2" w:rsidRDefault="00E516A2" w:rsidP="00E516A2">
      <w:pPr>
        <w:pStyle w:val="EndNoteBibliography"/>
        <w:spacing w:after="0"/>
        <w:ind w:left="720" w:hanging="720"/>
        <w:rPr>
          <w:noProof/>
        </w:rPr>
      </w:pPr>
      <w:r w:rsidRPr="00E516A2">
        <w:rPr>
          <w:noProof/>
        </w:rPr>
        <w:t>311.</w:t>
      </w:r>
      <w:r w:rsidRPr="00E516A2">
        <w:rPr>
          <w:noProof/>
        </w:rPr>
        <w:tab/>
        <w:t xml:space="preserve">Drummond M, W.H., Claxton K, Cookson R, Ferguson B, Godfrey C, Rice N, Sculpher M, Sowden A, </w:t>
      </w:r>
      <w:r w:rsidRPr="00E516A2">
        <w:rPr>
          <w:i/>
          <w:noProof/>
        </w:rPr>
        <w:t>Assessing the challenges of applying standard methods of economic evaluation to public health interventions: Final report</w:t>
      </w:r>
      <w:r w:rsidRPr="00E516A2">
        <w:rPr>
          <w:noProof/>
        </w:rPr>
        <w:t xml:space="preserve">, in </w:t>
      </w:r>
      <w:r w:rsidRPr="00E516A2">
        <w:rPr>
          <w:i/>
          <w:noProof/>
        </w:rPr>
        <w:t>Public Health Research Consortium (PHRC)</w:t>
      </w:r>
      <w:r w:rsidRPr="00E516A2">
        <w:rPr>
          <w:noProof/>
        </w:rPr>
        <w:t>. 2007, University of York: York.</w:t>
      </w:r>
    </w:p>
    <w:p w14:paraId="5B622200" w14:textId="77777777" w:rsidR="00E516A2" w:rsidRPr="00E516A2" w:rsidRDefault="00E516A2" w:rsidP="00E516A2">
      <w:pPr>
        <w:pStyle w:val="EndNoteBibliography"/>
        <w:spacing w:after="0"/>
        <w:ind w:left="720" w:hanging="720"/>
        <w:rPr>
          <w:noProof/>
        </w:rPr>
      </w:pPr>
      <w:r w:rsidRPr="00E516A2">
        <w:rPr>
          <w:noProof/>
        </w:rPr>
        <w:t>312.</w:t>
      </w:r>
      <w:r w:rsidRPr="00E516A2">
        <w:rPr>
          <w:noProof/>
        </w:rPr>
        <w:tab/>
        <w:t xml:space="preserve">McDaid, D. and J. Needle, </w:t>
      </w:r>
      <w:r w:rsidRPr="00E516A2">
        <w:rPr>
          <w:i/>
          <w:noProof/>
        </w:rPr>
        <w:t>What use has been made of economic evaluation in public health? A systematic review of the literature</w:t>
      </w:r>
      <w:r w:rsidRPr="00E516A2">
        <w:rPr>
          <w:noProof/>
        </w:rPr>
        <w:t xml:space="preserve">, in </w:t>
      </w:r>
      <w:r w:rsidRPr="00E516A2">
        <w:rPr>
          <w:i/>
          <w:noProof/>
        </w:rPr>
        <w:t>Future Public Health</w:t>
      </w:r>
      <w:r w:rsidRPr="00E516A2">
        <w:rPr>
          <w:noProof/>
        </w:rPr>
        <w:t>, S.M.Z. Dawson S, Editor. 2009, Springer. p. 248-264.</w:t>
      </w:r>
    </w:p>
    <w:p w14:paraId="6A7936A7" w14:textId="77777777" w:rsidR="00E516A2" w:rsidRPr="00E516A2" w:rsidRDefault="00E516A2" w:rsidP="00E516A2">
      <w:pPr>
        <w:pStyle w:val="EndNoteBibliography"/>
        <w:spacing w:after="0"/>
        <w:ind w:left="720" w:hanging="720"/>
        <w:rPr>
          <w:noProof/>
        </w:rPr>
      </w:pPr>
      <w:r w:rsidRPr="00E516A2">
        <w:rPr>
          <w:noProof/>
        </w:rPr>
        <w:t>313.</w:t>
      </w:r>
      <w:r w:rsidRPr="00E516A2">
        <w:rPr>
          <w:noProof/>
        </w:rPr>
        <w:tab/>
        <w:t xml:space="preserve">Sefton, T., et al., </w:t>
      </w:r>
      <w:r w:rsidRPr="00E516A2">
        <w:rPr>
          <w:i/>
          <w:noProof/>
        </w:rPr>
        <w:t>Making the most of it: economic evaluation in the social welfare field.</w:t>
      </w:r>
      <w:r w:rsidRPr="00E516A2">
        <w:rPr>
          <w:noProof/>
        </w:rPr>
        <w:t xml:space="preserve"> 2002.</w:t>
      </w:r>
    </w:p>
    <w:p w14:paraId="319312C3" w14:textId="77777777" w:rsidR="00E516A2" w:rsidRPr="00E516A2" w:rsidRDefault="00E516A2" w:rsidP="00E516A2">
      <w:pPr>
        <w:pStyle w:val="EndNoteBibliography"/>
        <w:spacing w:after="0"/>
        <w:ind w:left="720" w:hanging="720"/>
        <w:rPr>
          <w:noProof/>
        </w:rPr>
      </w:pPr>
      <w:r w:rsidRPr="00E516A2">
        <w:rPr>
          <w:noProof/>
        </w:rPr>
        <w:t>314.</w:t>
      </w:r>
      <w:r w:rsidRPr="00E516A2">
        <w:rPr>
          <w:noProof/>
        </w:rPr>
        <w:tab/>
        <w:t xml:space="preserve">Pettman, T.L., et al., </w:t>
      </w:r>
      <w:r w:rsidRPr="00E516A2">
        <w:rPr>
          <w:i/>
          <w:noProof/>
        </w:rPr>
        <w:t>Strengthening evaluation to capture the breadth of public health practice: ideal vs. real.</w:t>
      </w:r>
      <w:r w:rsidRPr="00E516A2">
        <w:rPr>
          <w:noProof/>
        </w:rPr>
        <w:t xml:space="preserve"> Journal of public health, 2012. </w:t>
      </w:r>
      <w:r w:rsidRPr="00E516A2">
        <w:rPr>
          <w:b/>
          <w:noProof/>
        </w:rPr>
        <w:t>34</w:t>
      </w:r>
      <w:r w:rsidRPr="00E516A2">
        <w:rPr>
          <w:noProof/>
        </w:rPr>
        <w:t>(1): p. 151-155.</w:t>
      </w:r>
    </w:p>
    <w:p w14:paraId="27B34751" w14:textId="77777777" w:rsidR="00E516A2" w:rsidRPr="00E516A2" w:rsidRDefault="00E516A2" w:rsidP="00E516A2">
      <w:pPr>
        <w:pStyle w:val="EndNoteBibliography"/>
        <w:spacing w:after="0"/>
        <w:ind w:left="720" w:hanging="720"/>
        <w:rPr>
          <w:noProof/>
        </w:rPr>
      </w:pPr>
      <w:r w:rsidRPr="00E516A2">
        <w:rPr>
          <w:noProof/>
        </w:rPr>
        <w:t>315.</w:t>
      </w:r>
      <w:r w:rsidRPr="00E516A2">
        <w:rPr>
          <w:noProof/>
        </w:rPr>
        <w:tab/>
        <w:t xml:space="preserve">Kahneman, D., </w:t>
      </w:r>
      <w:r w:rsidRPr="00E516A2">
        <w:rPr>
          <w:i/>
          <w:noProof/>
        </w:rPr>
        <w:t>Thinking, fast and slow</w:t>
      </w:r>
      <w:r w:rsidRPr="00E516A2">
        <w:rPr>
          <w:noProof/>
        </w:rPr>
        <w:t>. 2011: Macmillan.</w:t>
      </w:r>
    </w:p>
    <w:p w14:paraId="44CF7C0F" w14:textId="77777777" w:rsidR="00E516A2" w:rsidRPr="00E516A2" w:rsidRDefault="00E516A2" w:rsidP="00E516A2">
      <w:pPr>
        <w:pStyle w:val="EndNoteBibliography"/>
        <w:spacing w:after="0"/>
        <w:ind w:left="720" w:hanging="720"/>
        <w:rPr>
          <w:noProof/>
        </w:rPr>
      </w:pPr>
      <w:r w:rsidRPr="00E516A2">
        <w:rPr>
          <w:noProof/>
        </w:rPr>
        <w:t>316.</w:t>
      </w:r>
      <w:r w:rsidRPr="00E516A2">
        <w:rPr>
          <w:noProof/>
        </w:rPr>
        <w:tab/>
        <w:t xml:space="preserve">Anderson, L.M., et al., </w:t>
      </w:r>
      <w:r w:rsidRPr="00E516A2">
        <w:rPr>
          <w:i/>
          <w:noProof/>
        </w:rPr>
        <w:t>Using logic models to capture complexity in systematic reviews.</w:t>
      </w:r>
      <w:r w:rsidRPr="00E516A2">
        <w:rPr>
          <w:noProof/>
        </w:rPr>
        <w:t xml:space="preserve"> Research synthesis methods, 2011. </w:t>
      </w:r>
      <w:r w:rsidRPr="00E516A2">
        <w:rPr>
          <w:b/>
          <w:noProof/>
        </w:rPr>
        <w:t>2</w:t>
      </w:r>
      <w:r w:rsidRPr="00E516A2">
        <w:rPr>
          <w:noProof/>
        </w:rPr>
        <w:t>(1): p. 33-42.</w:t>
      </w:r>
    </w:p>
    <w:p w14:paraId="662040AA" w14:textId="77777777" w:rsidR="00E516A2" w:rsidRPr="00E516A2" w:rsidRDefault="00E516A2" w:rsidP="00E516A2">
      <w:pPr>
        <w:pStyle w:val="EndNoteBibliography"/>
        <w:spacing w:after="0"/>
        <w:ind w:left="720" w:hanging="720"/>
        <w:rPr>
          <w:noProof/>
        </w:rPr>
      </w:pPr>
      <w:r w:rsidRPr="00E516A2">
        <w:rPr>
          <w:noProof/>
        </w:rPr>
        <w:t>317.</w:t>
      </w:r>
      <w:r w:rsidRPr="00E516A2">
        <w:rPr>
          <w:noProof/>
        </w:rPr>
        <w:tab/>
        <w:t xml:space="preserve">Shiell, A., </w:t>
      </w:r>
      <w:r w:rsidRPr="00E516A2">
        <w:rPr>
          <w:i/>
          <w:noProof/>
        </w:rPr>
        <w:t>In search of social value.</w:t>
      </w:r>
      <w:r w:rsidRPr="00E516A2">
        <w:rPr>
          <w:noProof/>
        </w:rPr>
        <w:t xml:space="preserve"> International journal of public health, 2007. </w:t>
      </w:r>
      <w:r w:rsidRPr="00E516A2">
        <w:rPr>
          <w:b/>
          <w:noProof/>
        </w:rPr>
        <w:t>52</w:t>
      </w:r>
      <w:r w:rsidRPr="00E516A2">
        <w:rPr>
          <w:noProof/>
        </w:rPr>
        <w:t>(6): p. 333-334.</w:t>
      </w:r>
    </w:p>
    <w:p w14:paraId="77AC40E4" w14:textId="77777777" w:rsidR="00E516A2" w:rsidRPr="00E516A2" w:rsidRDefault="00E516A2" w:rsidP="00E516A2">
      <w:pPr>
        <w:pStyle w:val="EndNoteBibliography"/>
        <w:spacing w:after="0"/>
        <w:ind w:left="720" w:hanging="720"/>
        <w:rPr>
          <w:noProof/>
        </w:rPr>
      </w:pPr>
      <w:r w:rsidRPr="00E516A2">
        <w:rPr>
          <w:noProof/>
        </w:rPr>
        <w:t>318.</w:t>
      </w:r>
      <w:r w:rsidRPr="00E516A2">
        <w:rPr>
          <w:noProof/>
        </w:rPr>
        <w:tab/>
        <w:t xml:space="preserve">Riches, N., et al., </w:t>
      </w:r>
      <w:r w:rsidRPr="00E516A2">
        <w:rPr>
          <w:i/>
          <w:noProof/>
        </w:rPr>
        <w:t>The Role of Local Authorities in Health Issues: A Policy Document Analysis</w:t>
      </w:r>
      <w:r w:rsidRPr="00E516A2">
        <w:rPr>
          <w:noProof/>
        </w:rPr>
        <w:t>. 2015, PRUComm.</w:t>
      </w:r>
    </w:p>
    <w:p w14:paraId="5967CDD0" w14:textId="77777777" w:rsidR="00E516A2" w:rsidRPr="00E516A2" w:rsidRDefault="00E516A2" w:rsidP="00E516A2">
      <w:pPr>
        <w:pStyle w:val="EndNoteBibliography"/>
        <w:spacing w:after="0"/>
        <w:ind w:left="720" w:hanging="720"/>
        <w:rPr>
          <w:noProof/>
        </w:rPr>
      </w:pPr>
      <w:r w:rsidRPr="00E516A2">
        <w:rPr>
          <w:noProof/>
        </w:rPr>
        <w:t>319.</w:t>
      </w:r>
      <w:r w:rsidRPr="00E516A2">
        <w:rPr>
          <w:noProof/>
        </w:rPr>
        <w:tab/>
        <w:t xml:space="preserve">Gigerenzer, G. and P.M. Todd, </w:t>
      </w:r>
      <w:r w:rsidRPr="00E516A2">
        <w:rPr>
          <w:i/>
          <w:noProof/>
        </w:rPr>
        <w:t>Simple heuristics that make us smart</w:t>
      </w:r>
      <w:r w:rsidRPr="00E516A2">
        <w:rPr>
          <w:noProof/>
        </w:rPr>
        <w:t>. 1999: Oxford University Press.</w:t>
      </w:r>
    </w:p>
    <w:p w14:paraId="4BC7DA8B" w14:textId="77777777" w:rsidR="00E516A2" w:rsidRPr="00E516A2" w:rsidRDefault="00E516A2" w:rsidP="00E516A2">
      <w:pPr>
        <w:pStyle w:val="EndNoteBibliography"/>
        <w:spacing w:after="0"/>
        <w:ind w:left="720" w:hanging="720"/>
        <w:rPr>
          <w:noProof/>
        </w:rPr>
      </w:pPr>
      <w:r w:rsidRPr="00E516A2">
        <w:rPr>
          <w:noProof/>
        </w:rPr>
        <w:t>320.</w:t>
      </w:r>
      <w:r w:rsidRPr="00E516A2">
        <w:rPr>
          <w:noProof/>
        </w:rPr>
        <w:tab/>
        <w:t xml:space="preserve">Slovic, P., </w:t>
      </w:r>
      <w:r w:rsidRPr="00E516A2">
        <w:rPr>
          <w:i/>
          <w:noProof/>
        </w:rPr>
        <w:t>Perception of risk.</w:t>
      </w:r>
      <w:r w:rsidRPr="00E516A2">
        <w:rPr>
          <w:noProof/>
        </w:rPr>
        <w:t xml:space="preserve"> Science, 1987. </w:t>
      </w:r>
      <w:r w:rsidRPr="00E516A2">
        <w:rPr>
          <w:b/>
          <w:noProof/>
        </w:rPr>
        <w:t>236</w:t>
      </w:r>
      <w:r w:rsidRPr="00E516A2">
        <w:rPr>
          <w:noProof/>
        </w:rPr>
        <w:t>(4799): p. 280-285.</w:t>
      </w:r>
    </w:p>
    <w:p w14:paraId="54ADF678" w14:textId="77777777" w:rsidR="00E516A2" w:rsidRPr="00E516A2" w:rsidRDefault="00E516A2" w:rsidP="00E516A2">
      <w:pPr>
        <w:pStyle w:val="EndNoteBibliography"/>
        <w:spacing w:after="0"/>
        <w:ind w:left="720" w:hanging="720"/>
        <w:rPr>
          <w:noProof/>
        </w:rPr>
      </w:pPr>
      <w:r w:rsidRPr="00E516A2">
        <w:rPr>
          <w:noProof/>
        </w:rPr>
        <w:t>321.</w:t>
      </w:r>
      <w:r w:rsidRPr="00E516A2">
        <w:rPr>
          <w:noProof/>
        </w:rPr>
        <w:tab/>
        <w:t xml:space="preserve">Loewenstein, G. and J. Mather, </w:t>
      </w:r>
      <w:r w:rsidRPr="00E516A2">
        <w:rPr>
          <w:i/>
          <w:noProof/>
        </w:rPr>
        <w:t>Dynamic processes in risk perception.</w:t>
      </w:r>
      <w:r w:rsidRPr="00E516A2">
        <w:rPr>
          <w:noProof/>
        </w:rPr>
        <w:t xml:space="preserve"> Journal of Risk and Uncertainty, 1990. </w:t>
      </w:r>
      <w:r w:rsidRPr="00E516A2">
        <w:rPr>
          <w:b/>
          <w:noProof/>
        </w:rPr>
        <w:t>3</w:t>
      </w:r>
      <w:r w:rsidRPr="00E516A2">
        <w:rPr>
          <w:noProof/>
        </w:rPr>
        <w:t>(2): p. 155-175.</w:t>
      </w:r>
    </w:p>
    <w:p w14:paraId="2A4E1D4E" w14:textId="77777777" w:rsidR="00E516A2" w:rsidRPr="00E516A2" w:rsidRDefault="00E516A2" w:rsidP="00E516A2">
      <w:pPr>
        <w:pStyle w:val="EndNoteBibliography"/>
        <w:spacing w:after="0"/>
        <w:ind w:left="720" w:hanging="720"/>
        <w:rPr>
          <w:noProof/>
        </w:rPr>
      </w:pPr>
      <w:r w:rsidRPr="00E516A2">
        <w:rPr>
          <w:noProof/>
        </w:rPr>
        <w:t>322.</w:t>
      </w:r>
      <w:r w:rsidRPr="00E516A2">
        <w:rPr>
          <w:noProof/>
        </w:rPr>
        <w:tab/>
        <w:t xml:space="preserve">Cookson, R., M. Drummond, and H. Weatherly, </w:t>
      </w:r>
      <w:r w:rsidRPr="00E516A2">
        <w:rPr>
          <w:i/>
          <w:noProof/>
        </w:rPr>
        <w:t>Explicit incorporation of equity considerations into economic evaluation of public health interventions.</w:t>
      </w:r>
      <w:r w:rsidRPr="00E516A2">
        <w:rPr>
          <w:noProof/>
        </w:rPr>
        <w:t xml:space="preserve"> Health Economics, policy and law, 2009. </w:t>
      </w:r>
      <w:r w:rsidRPr="00E516A2">
        <w:rPr>
          <w:b/>
          <w:noProof/>
        </w:rPr>
        <w:t>4</w:t>
      </w:r>
      <w:r w:rsidRPr="00E516A2">
        <w:rPr>
          <w:noProof/>
        </w:rPr>
        <w:t>(02): p. 231-245.</w:t>
      </w:r>
    </w:p>
    <w:p w14:paraId="42ECC3A0" w14:textId="77777777" w:rsidR="00E516A2" w:rsidRPr="00E516A2" w:rsidRDefault="00E516A2" w:rsidP="00E516A2">
      <w:pPr>
        <w:pStyle w:val="EndNoteBibliography"/>
        <w:spacing w:after="0"/>
        <w:ind w:left="720" w:hanging="720"/>
        <w:rPr>
          <w:noProof/>
        </w:rPr>
      </w:pPr>
      <w:r w:rsidRPr="00E516A2">
        <w:rPr>
          <w:noProof/>
        </w:rPr>
        <w:t>323.</w:t>
      </w:r>
      <w:r w:rsidRPr="00E516A2">
        <w:rPr>
          <w:noProof/>
        </w:rPr>
        <w:tab/>
        <w:t xml:space="preserve">Schmitz, S., et al., </w:t>
      </w:r>
      <w:r w:rsidRPr="00E516A2">
        <w:rPr>
          <w:i/>
          <w:noProof/>
        </w:rPr>
        <w:t>Identifying and Revealing the Importance of Decision-Making Criteria for Health Technology Assessment: A Retrospective Analysis of Reimbursement Recommendations in Ireland.</w:t>
      </w:r>
      <w:r w:rsidRPr="00E516A2">
        <w:rPr>
          <w:noProof/>
        </w:rPr>
        <w:t xml:space="preserve"> PharmacoEconomics, 2016: p. 1-13.</w:t>
      </w:r>
    </w:p>
    <w:p w14:paraId="43438CFE" w14:textId="77777777" w:rsidR="00E516A2" w:rsidRPr="00E516A2" w:rsidRDefault="00E516A2" w:rsidP="00E516A2">
      <w:pPr>
        <w:pStyle w:val="EndNoteBibliography"/>
        <w:spacing w:after="0"/>
        <w:ind w:left="720" w:hanging="720"/>
        <w:rPr>
          <w:noProof/>
        </w:rPr>
      </w:pPr>
      <w:r w:rsidRPr="00E516A2">
        <w:rPr>
          <w:noProof/>
        </w:rPr>
        <w:t>324.</w:t>
      </w:r>
      <w:r w:rsidRPr="00E516A2">
        <w:rPr>
          <w:noProof/>
        </w:rPr>
        <w:tab/>
        <w:t xml:space="preserve">Reddy, B., et al., </w:t>
      </w:r>
      <w:r w:rsidRPr="00E516A2">
        <w:rPr>
          <w:i/>
          <w:noProof/>
        </w:rPr>
        <w:t>Using MCDA to generate and interpret evidence to inform local government investment in public health.</w:t>
      </w:r>
      <w:r w:rsidRPr="00E516A2">
        <w:rPr>
          <w:noProof/>
        </w:rPr>
        <w:t xml:space="preserve"> EURO Journal on Decision Processes, 2016: p. 1-21.</w:t>
      </w:r>
    </w:p>
    <w:p w14:paraId="397782B3" w14:textId="77777777" w:rsidR="00E516A2" w:rsidRPr="00E516A2" w:rsidRDefault="00E516A2" w:rsidP="00E516A2">
      <w:pPr>
        <w:pStyle w:val="EndNoteBibliography"/>
        <w:spacing w:after="0"/>
        <w:ind w:left="720" w:hanging="720"/>
        <w:rPr>
          <w:noProof/>
        </w:rPr>
      </w:pPr>
      <w:r w:rsidRPr="00E516A2">
        <w:rPr>
          <w:noProof/>
        </w:rPr>
        <w:t>325.</w:t>
      </w:r>
      <w:r w:rsidRPr="00E516A2">
        <w:rPr>
          <w:noProof/>
        </w:rPr>
        <w:tab/>
        <w:t xml:space="preserve">Gigerenzer, G. and H. Brighton, </w:t>
      </w:r>
      <w:r w:rsidRPr="00E516A2">
        <w:rPr>
          <w:i/>
          <w:noProof/>
        </w:rPr>
        <w:t>Homo heuristicus: Why biased minds make better inferences.</w:t>
      </w:r>
      <w:r w:rsidRPr="00E516A2">
        <w:rPr>
          <w:noProof/>
        </w:rPr>
        <w:t xml:space="preserve"> Topics in Cognitive Science, 2009. </w:t>
      </w:r>
      <w:r w:rsidRPr="00E516A2">
        <w:rPr>
          <w:b/>
          <w:noProof/>
        </w:rPr>
        <w:t>1</w:t>
      </w:r>
      <w:r w:rsidRPr="00E516A2">
        <w:rPr>
          <w:noProof/>
        </w:rPr>
        <w:t>(1): p. 107-143.</w:t>
      </w:r>
    </w:p>
    <w:p w14:paraId="63992A6F" w14:textId="77777777" w:rsidR="00E516A2" w:rsidRPr="00E516A2" w:rsidRDefault="00E516A2" w:rsidP="00E516A2">
      <w:pPr>
        <w:pStyle w:val="EndNoteBibliography"/>
        <w:spacing w:after="0"/>
        <w:ind w:left="720" w:hanging="720"/>
        <w:rPr>
          <w:noProof/>
        </w:rPr>
      </w:pPr>
      <w:r w:rsidRPr="00E516A2">
        <w:rPr>
          <w:noProof/>
        </w:rPr>
        <w:t>326.</w:t>
      </w:r>
      <w:r w:rsidRPr="00E516A2">
        <w:rPr>
          <w:noProof/>
        </w:rPr>
        <w:tab/>
        <w:t xml:space="preserve">Airoldi, M., et al., </w:t>
      </w:r>
      <w:r w:rsidRPr="00E516A2">
        <w:rPr>
          <w:i/>
          <w:noProof/>
        </w:rPr>
        <w:t>STAR—People-Powered Prioritization A 21st-Century Solution to Allocation Headaches.</w:t>
      </w:r>
      <w:r w:rsidRPr="00E516A2">
        <w:rPr>
          <w:noProof/>
        </w:rPr>
        <w:t xml:space="preserve"> Medical Decision Making, 2014. </w:t>
      </w:r>
      <w:r w:rsidRPr="00E516A2">
        <w:rPr>
          <w:b/>
          <w:noProof/>
        </w:rPr>
        <w:t>34</w:t>
      </w:r>
      <w:r w:rsidRPr="00E516A2">
        <w:rPr>
          <w:noProof/>
        </w:rPr>
        <w:t>(8): p. 965-975.</w:t>
      </w:r>
    </w:p>
    <w:p w14:paraId="74FEC5B3" w14:textId="77777777" w:rsidR="00E516A2" w:rsidRPr="00E516A2" w:rsidRDefault="00E516A2" w:rsidP="00E516A2">
      <w:pPr>
        <w:pStyle w:val="EndNoteBibliography"/>
        <w:spacing w:after="0"/>
        <w:ind w:left="720" w:hanging="720"/>
        <w:rPr>
          <w:noProof/>
        </w:rPr>
      </w:pPr>
      <w:r w:rsidRPr="00E516A2">
        <w:rPr>
          <w:noProof/>
        </w:rPr>
        <w:t>327.</w:t>
      </w:r>
      <w:r w:rsidRPr="00E516A2">
        <w:rPr>
          <w:noProof/>
        </w:rPr>
        <w:tab/>
        <w:t xml:space="preserve">Towse A, P.C., </w:t>
      </w:r>
      <w:r w:rsidRPr="00E516A2">
        <w:rPr>
          <w:i/>
          <w:noProof/>
        </w:rPr>
        <w:t xml:space="preserve">Does NICE have a threshold? An external view. </w:t>
      </w:r>
      <w:r w:rsidRPr="00E516A2">
        <w:rPr>
          <w:noProof/>
        </w:rPr>
        <w:t xml:space="preserve">, in </w:t>
      </w:r>
      <w:r w:rsidRPr="00E516A2">
        <w:rPr>
          <w:i/>
          <w:noProof/>
        </w:rPr>
        <w:t>Cost-effectiveness thresholds: economic and ethical issues.</w:t>
      </w:r>
      <w:r w:rsidRPr="00E516A2">
        <w:rPr>
          <w:noProof/>
        </w:rPr>
        <w:t>, P.C. Towse A, Devlin N, Editor. 2002, King’s Fund: London.</w:t>
      </w:r>
    </w:p>
    <w:p w14:paraId="40407653" w14:textId="77777777" w:rsidR="00E516A2" w:rsidRPr="00E516A2" w:rsidRDefault="00E516A2" w:rsidP="00E516A2">
      <w:pPr>
        <w:pStyle w:val="EndNoteBibliography"/>
        <w:spacing w:after="0"/>
        <w:ind w:left="720" w:hanging="720"/>
        <w:rPr>
          <w:noProof/>
        </w:rPr>
      </w:pPr>
      <w:r w:rsidRPr="00E516A2">
        <w:rPr>
          <w:noProof/>
        </w:rPr>
        <w:t>328.</w:t>
      </w:r>
      <w:r w:rsidRPr="00E516A2">
        <w:rPr>
          <w:noProof/>
        </w:rPr>
        <w:tab/>
        <w:t xml:space="preserve">Al-Janabi, H., T.N. Flynn, and J. Coast, </w:t>
      </w:r>
      <w:r w:rsidRPr="00E516A2">
        <w:rPr>
          <w:i/>
          <w:noProof/>
        </w:rPr>
        <w:t>Development of a self-report measure of capability wellbeing for adults: the ICECAP-A.</w:t>
      </w:r>
      <w:r w:rsidRPr="00E516A2">
        <w:rPr>
          <w:noProof/>
        </w:rPr>
        <w:t xml:space="preserve"> Quality of Life Research, 2012. </w:t>
      </w:r>
      <w:r w:rsidRPr="00E516A2">
        <w:rPr>
          <w:b/>
          <w:noProof/>
        </w:rPr>
        <w:t>21</w:t>
      </w:r>
      <w:r w:rsidRPr="00E516A2">
        <w:rPr>
          <w:noProof/>
        </w:rPr>
        <w:t>(1): p. 167-176.</w:t>
      </w:r>
    </w:p>
    <w:p w14:paraId="49D31759" w14:textId="77777777" w:rsidR="00E516A2" w:rsidRPr="00E516A2" w:rsidRDefault="00E516A2" w:rsidP="00E516A2">
      <w:pPr>
        <w:pStyle w:val="EndNoteBibliography"/>
        <w:spacing w:after="0"/>
        <w:ind w:left="720" w:hanging="720"/>
        <w:rPr>
          <w:noProof/>
        </w:rPr>
      </w:pPr>
      <w:r w:rsidRPr="00E516A2">
        <w:rPr>
          <w:noProof/>
        </w:rPr>
        <w:t>329.</w:t>
      </w:r>
      <w:r w:rsidRPr="00E516A2">
        <w:rPr>
          <w:noProof/>
        </w:rPr>
        <w:tab/>
        <w:t xml:space="preserve">Claxton, K., </w:t>
      </w:r>
      <w:r w:rsidRPr="00E516A2">
        <w:rPr>
          <w:i/>
          <w:noProof/>
        </w:rPr>
        <w:t>Three questions to ask when examining MCDA.</w:t>
      </w:r>
      <w:r w:rsidRPr="00E516A2">
        <w:rPr>
          <w:noProof/>
        </w:rPr>
        <w:t xml:space="preserve"> Value &amp; Outcomes Spotlight, 2015. </w:t>
      </w:r>
      <w:r w:rsidRPr="00E516A2">
        <w:rPr>
          <w:b/>
          <w:noProof/>
        </w:rPr>
        <w:t>1</w:t>
      </w:r>
      <w:r w:rsidRPr="00E516A2">
        <w:rPr>
          <w:noProof/>
        </w:rPr>
        <w:t>: p. 18-20.</w:t>
      </w:r>
    </w:p>
    <w:p w14:paraId="4EB6C56C" w14:textId="77777777" w:rsidR="00E516A2" w:rsidRPr="00E516A2" w:rsidRDefault="00E516A2" w:rsidP="00E516A2">
      <w:pPr>
        <w:pStyle w:val="EndNoteBibliography"/>
        <w:spacing w:after="0"/>
        <w:ind w:left="720" w:hanging="720"/>
        <w:rPr>
          <w:noProof/>
        </w:rPr>
      </w:pPr>
      <w:r w:rsidRPr="00E516A2">
        <w:rPr>
          <w:noProof/>
        </w:rPr>
        <w:t>330.</w:t>
      </w:r>
      <w:r w:rsidRPr="00E516A2">
        <w:rPr>
          <w:noProof/>
        </w:rPr>
        <w:tab/>
        <w:t xml:space="preserve">Walker, S., L. Phillips, and M. Cone, </w:t>
      </w:r>
      <w:r w:rsidRPr="00E516A2">
        <w:rPr>
          <w:i/>
          <w:noProof/>
        </w:rPr>
        <w:t>Benefit-risk assessment model for medicines: Developing a structured approach to decision making.</w:t>
      </w:r>
      <w:r w:rsidRPr="00E516A2">
        <w:rPr>
          <w:noProof/>
        </w:rPr>
        <w:t xml:space="preserve"> Surrey: CMR International, 2006.</w:t>
      </w:r>
    </w:p>
    <w:p w14:paraId="2A9CA9D9" w14:textId="77777777" w:rsidR="00E516A2" w:rsidRPr="00E516A2" w:rsidRDefault="00E516A2" w:rsidP="00E516A2">
      <w:pPr>
        <w:pStyle w:val="EndNoteBibliography"/>
        <w:spacing w:after="0"/>
        <w:ind w:left="720" w:hanging="720"/>
        <w:rPr>
          <w:noProof/>
        </w:rPr>
      </w:pPr>
      <w:r w:rsidRPr="00E516A2">
        <w:rPr>
          <w:noProof/>
        </w:rPr>
        <w:t>331.</w:t>
      </w:r>
      <w:r w:rsidRPr="00E516A2">
        <w:rPr>
          <w:noProof/>
        </w:rPr>
        <w:tab/>
        <w:t xml:space="preserve">Devlin, N., </w:t>
      </w:r>
      <w:r w:rsidRPr="00E516A2">
        <w:rPr>
          <w:i/>
          <w:noProof/>
        </w:rPr>
        <w:t>An introduction to the use of cost-effectiveness threshold in decision-making: what are the issues?</w:t>
      </w:r>
      <w:r w:rsidRPr="00E516A2">
        <w:rPr>
          <w:noProof/>
        </w:rPr>
        <w:t xml:space="preserve">, in </w:t>
      </w:r>
      <w:r w:rsidRPr="00E516A2">
        <w:rPr>
          <w:i/>
          <w:noProof/>
        </w:rPr>
        <w:t>From Cost-effectiveness thresholds: Economic and ethical issues</w:t>
      </w:r>
      <w:r w:rsidRPr="00E516A2">
        <w:rPr>
          <w:noProof/>
        </w:rPr>
        <w:t>. 2002, King’s Fund and Office of Health Economics. : London.</w:t>
      </w:r>
    </w:p>
    <w:p w14:paraId="26A50F18" w14:textId="77777777" w:rsidR="00E516A2" w:rsidRPr="00E516A2" w:rsidRDefault="00E516A2" w:rsidP="00E516A2">
      <w:pPr>
        <w:pStyle w:val="EndNoteBibliography"/>
        <w:spacing w:after="0"/>
        <w:ind w:left="720" w:hanging="720"/>
        <w:rPr>
          <w:noProof/>
        </w:rPr>
      </w:pPr>
      <w:r w:rsidRPr="00E516A2">
        <w:rPr>
          <w:noProof/>
        </w:rPr>
        <w:t>332.</w:t>
      </w:r>
      <w:r w:rsidRPr="00E516A2">
        <w:rPr>
          <w:noProof/>
        </w:rPr>
        <w:tab/>
        <w:t xml:space="preserve">Endrei, D., B. Molics, and I. Ágoston, </w:t>
      </w:r>
      <w:r w:rsidRPr="00E516A2">
        <w:rPr>
          <w:i/>
          <w:noProof/>
        </w:rPr>
        <w:t>Multicriteria decision analysis in the reimbursement of new medical technologies: real-world experiences from Hungary.</w:t>
      </w:r>
      <w:r w:rsidRPr="00E516A2">
        <w:rPr>
          <w:noProof/>
        </w:rPr>
        <w:t xml:space="preserve"> Value in Health, 2014. </w:t>
      </w:r>
      <w:r w:rsidRPr="00E516A2">
        <w:rPr>
          <w:b/>
          <w:noProof/>
        </w:rPr>
        <w:t>4</w:t>
      </w:r>
      <w:r w:rsidRPr="00E516A2">
        <w:rPr>
          <w:noProof/>
        </w:rPr>
        <w:t>(17): p. 487-489.</w:t>
      </w:r>
    </w:p>
    <w:p w14:paraId="4446610C" w14:textId="77777777" w:rsidR="00E516A2" w:rsidRPr="00E516A2" w:rsidRDefault="00E516A2" w:rsidP="00E516A2">
      <w:pPr>
        <w:pStyle w:val="EndNoteBibliography"/>
        <w:spacing w:after="0"/>
        <w:ind w:left="720" w:hanging="720"/>
        <w:rPr>
          <w:noProof/>
        </w:rPr>
      </w:pPr>
      <w:r w:rsidRPr="00E516A2">
        <w:rPr>
          <w:noProof/>
        </w:rPr>
        <w:t>333.</w:t>
      </w:r>
      <w:r w:rsidRPr="00E516A2">
        <w:rPr>
          <w:noProof/>
        </w:rPr>
        <w:tab/>
        <w:t xml:space="preserve">Fedyaeva, V., et al., </w:t>
      </w:r>
      <w:r w:rsidRPr="00E516A2">
        <w:rPr>
          <w:i/>
          <w:noProof/>
        </w:rPr>
        <w:t>Mcda Approach To Ranking Rare Diseases In Russia: Preliminary Results.</w:t>
      </w:r>
      <w:r w:rsidRPr="00E516A2">
        <w:rPr>
          <w:noProof/>
        </w:rPr>
        <w:t xml:space="preserve"> Value in Health, 2014. </w:t>
      </w:r>
      <w:r w:rsidRPr="00E516A2">
        <w:rPr>
          <w:b/>
          <w:noProof/>
        </w:rPr>
        <w:t>17</w:t>
      </w:r>
      <w:r w:rsidRPr="00E516A2">
        <w:rPr>
          <w:noProof/>
        </w:rPr>
        <w:t>(7): p. A539.</w:t>
      </w:r>
    </w:p>
    <w:p w14:paraId="3E416995" w14:textId="77777777" w:rsidR="00E516A2" w:rsidRPr="00E516A2" w:rsidRDefault="00E516A2" w:rsidP="00E516A2">
      <w:pPr>
        <w:pStyle w:val="EndNoteBibliography"/>
        <w:spacing w:after="0"/>
        <w:ind w:left="720" w:hanging="720"/>
        <w:rPr>
          <w:noProof/>
        </w:rPr>
      </w:pPr>
      <w:r w:rsidRPr="00E516A2">
        <w:rPr>
          <w:noProof/>
        </w:rPr>
        <w:t>334.</w:t>
      </w:r>
      <w:r w:rsidRPr="00E516A2">
        <w:rPr>
          <w:noProof/>
        </w:rPr>
        <w:tab/>
        <w:t xml:space="preserve">Schein, E.H., </w:t>
      </w:r>
      <w:r w:rsidRPr="00E516A2">
        <w:rPr>
          <w:i/>
          <w:noProof/>
        </w:rPr>
        <w:t>Process consultation revisited: Building the helping relationship</w:t>
      </w:r>
      <w:r w:rsidRPr="00E516A2">
        <w:rPr>
          <w:noProof/>
        </w:rPr>
        <w:t>. 1999: Addison-Wesley Reading, MA.</w:t>
      </w:r>
    </w:p>
    <w:p w14:paraId="60D35A0D" w14:textId="77777777" w:rsidR="00E516A2" w:rsidRPr="00E516A2" w:rsidRDefault="00E516A2" w:rsidP="00E516A2">
      <w:pPr>
        <w:pStyle w:val="EndNoteBibliography"/>
        <w:spacing w:after="0"/>
        <w:ind w:left="720" w:hanging="720"/>
        <w:rPr>
          <w:noProof/>
        </w:rPr>
      </w:pPr>
      <w:r w:rsidRPr="00E516A2">
        <w:rPr>
          <w:noProof/>
        </w:rPr>
        <w:t>335.</w:t>
      </w:r>
      <w:r w:rsidRPr="00E516A2">
        <w:rPr>
          <w:noProof/>
        </w:rPr>
        <w:tab/>
        <w:t xml:space="preserve">Marsh K; IJzerman M; Thokala P; Baltussen R; Boysen, M.K., Z; Lönngren, T; Mussen, F; Peacock, S; Watkins, J; Devlin N, </w:t>
      </w:r>
      <w:r w:rsidRPr="00E516A2">
        <w:rPr>
          <w:i/>
          <w:noProof/>
        </w:rPr>
        <w:t xml:space="preserve">MCDA for Health Care Decisions - Emerging Good Practices: Report 2 of the ISPOR MCDA Task Force </w:t>
      </w:r>
      <w:r w:rsidRPr="00E516A2">
        <w:rPr>
          <w:noProof/>
        </w:rPr>
        <w:t xml:space="preserve">Value in Health, 2016. </w:t>
      </w:r>
      <w:r w:rsidRPr="00E516A2">
        <w:rPr>
          <w:b/>
          <w:noProof/>
        </w:rPr>
        <w:t>19</w:t>
      </w:r>
      <w:r w:rsidRPr="00E516A2">
        <w:rPr>
          <w:noProof/>
        </w:rPr>
        <w:t>: p. 125-137.</w:t>
      </w:r>
    </w:p>
    <w:p w14:paraId="582FA81D" w14:textId="77777777" w:rsidR="00E516A2" w:rsidRPr="00E516A2" w:rsidRDefault="00E516A2" w:rsidP="00E516A2">
      <w:pPr>
        <w:pStyle w:val="EndNoteBibliography"/>
        <w:spacing w:after="0"/>
        <w:ind w:left="720" w:hanging="720"/>
        <w:rPr>
          <w:noProof/>
        </w:rPr>
      </w:pPr>
      <w:r w:rsidRPr="00E516A2">
        <w:rPr>
          <w:noProof/>
        </w:rPr>
        <w:t>336.</w:t>
      </w:r>
      <w:r w:rsidRPr="00E516A2">
        <w:rPr>
          <w:noProof/>
        </w:rPr>
        <w:tab/>
        <w:t xml:space="preserve">Gruskin, S. and N. Daniels, </w:t>
      </w:r>
      <w:r w:rsidRPr="00E516A2">
        <w:rPr>
          <w:i/>
          <w:noProof/>
        </w:rPr>
        <w:t>Process is the point: justice and human rights: priority setting and fair deliberative process.</w:t>
      </w:r>
      <w:r w:rsidRPr="00E516A2">
        <w:rPr>
          <w:noProof/>
        </w:rPr>
        <w:t xml:space="preserve"> American Journal of Public Health, 2008. </w:t>
      </w:r>
      <w:r w:rsidRPr="00E516A2">
        <w:rPr>
          <w:b/>
          <w:noProof/>
        </w:rPr>
        <w:t>98</w:t>
      </w:r>
      <w:r w:rsidRPr="00E516A2">
        <w:rPr>
          <w:noProof/>
        </w:rPr>
        <w:t>(9): p. 1573.</w:t>
      </w:r>
    </w:p>
    <w:p w14:paraId="6B097A11" w14:textId="77777777" w:rsidR="00E516A2" w:rsidRPr="00E516A2" w:rsidRDefault="00E516A2" w:rsidP="00E516A2">
      <w:pPr>
        <w:pStyle w:val="EndNoteBibliography"/>
        <w:spacing w:after="0"/>
        <w:ind w:left="720" w:hanging="720"/>
        <w:rPr>
          <w:noProof/>
        </w:rPr>
      </w:pPr>
      <w:r w:rsidRPr="00E516A2">
        <w:rPr>
          <w:noProof/>
        </w:rPr>
        <w:t>337.</w:t>
      </w:r>
      <w:r w:rsidRPr="00E516A2">
        <w:rPr>
          <w:noProof/>
        </w:rPr>
        <w:tab/>
        <w:t xml:space="preserve">Reddy, B., et al., </w:t>
      </w:r>
      <w:r w:rsidRPr="00E516A2">
        <w:rPr>
          <w:i/>
          <w:noProof/>
        </w:rPr>
        <w:t>Prioritising public health guidance topics in the National Institute for Health and Care Excellence using the Analytic Hierarchy Process.</w:t>
      </w:r>
      <w:r w:rsidRPr="00E516A2">
        <w:rPr>
          <w:noProof/>
        </w:rPr>
        <w:t xml:space="preserve"> Public health, 2014. </w:t>
      </w:r>
      <w:r w:rsidRPr="00E516A2">
        <w:rPr>
          <w:b/>
          <w:noProof/>
        </w:rPr>
        <w:t>128</w:t>
      </w:r>
      <w:r w:rsidRPr="00E516A2">
        <w:rPr>
          <w:noProof/>
        </w:rPr>
        <w:t>(10): p. 896-903.</w:t>
      </w:r>
    </w:p>
    <w:p w14:paraId="491E19AF" w14:textId="77777777" w:rsidR="00E516A2" w:rsidRPr="00E516A2" w:rsidRDefault="00E516A2" w:rsidP="00E516A2">
      <w:pPr>
        <w:pStyle w:val="EndNoteBibliography"/>
        <w:spacing w:after="0"/>
        <w:ind w:left="720" w:hanging="720"/>
        <w:rPr>
          <w:noProof/>
        </w:rPr>
      </w:pPr>
      <w:r w:rsidRPr="00E516A2">
        <w:rPr>
          <w:noProof/>
        </w:rPr>
        <w:t>338.</w:t>
      </w:r>
      <w:r w:rsidRPr="00E516A2">
        <w:rPr>
          <w:noProof/>
        </w:rPr>
        <w:tab/>
        <w:t xml:space="preserve">Simon, H.A., </w:t>
      </w:r>
      <w:r w:rsidRPr="00E516A2">
        <w:rPr>
          <w:i/>
          <w:noProof/>
        </w:rPr>
        <w:t>Models of man; social and rational.</w:t>
      </w:r>
      <w:r w:rsidRPr="00E516A2">
        <w:rPr>
          <w:noProof/>
        </w:rPr>
        <w:t xml:space="preserve"> 1957.</w:t>
      </w:r>
    </w:p>
    <w:p w14:paraId="0E0ED27C" w14:textId="77777777" w:rsidR="00E516A2" w:rsidRPr="00E516A2" w:rsidRDefault="00E516A2" w:rsidP="00E516A2">
      <w:pPr>
        <w:pStyle w:val="EndNoteBibliography"/>
        <w:spacing w:after="0"/>
        <w:ind w:left="720" w:hanging="720"/>
        <w:rPr>
          <w:noProof/>
        </w:rPr>
      </w:pPr>
      <w:r w:rsidRPr="00E516A2">
        <w:rPr>
          <w:noProof/>
        </w:rPr>
        <w:t>339.</w:t>
      </w:r>
      <w:r w:rsidRPr="00E516A2">
        <w:rPr>
          <w:noProof/>
        </w:rPr>
        <w:tab/>
        <w:t xml:space="preserve">Williams, I.P.B., Stirling, </w:t>
      </w:r>
      <w:r w:rsidRPr="00E516A2">
        <w:rPr>
          <w:i/>
          <w:noProof/>
        </w:rPr>
        <w:t>Cost-effectiveness analysis and formulary decision making in England: findings from research.</w:t>
      </w:r>
      <w:r w:rsidRPr="00E516A2">
        <w:rPr>
          <w:noProof/>
        </w:rPr>
        <w:t xml:space="preserve"> Social science &amp; medicine, 2007. </w:t>
      </w:r>
      <w:r w:rsidRPr="00E516A2">
        <w:rPr>
          <w:b/>
          <w:noProof/>
        </w:rPr>
        <w:t>65</w:t>
      </w:r>
      <w:r w:rsidRPr="00E516A2">
        <w:rPr>
          <w:noProof/>
        </w:rPr>
        <w:t>(10): p. 2116-2129.</w:t>
      </w:r>
    </w:p>
    <w:p w14:paraId="50A30BE9" w14:textId="77777777" w:rsidR="00E516A2" w:rsidRPr="00E516A2" w:rsidRDefault="00E516A2" w:rsidP="00E516A2">
      <w:pPr>
        <w:pStyle w:val="EndNoteBibliography"/>
        <w:spacing w:after="0"/>
        <w:ind w:left="720" w:hanging="720"/>
        <w:rPr>
          <w:noProof/>
        </w:rPr>
      </w:pPr>
      <w:r w:rsidRPr="00E516A2">
        <w:rPr>
          <w:noProof/>
        </w:rPr>
        <w:t>340.</w:t>
      </w:r>
      <w:r w:rsidRPr="00E516A2">
        <w:rPr>
          <w:noProof/>
        </w:rPr>
        <w:tab/>
        <w:t xml:space="preserve">Rawlins, M.D. and A.J. Culyer, </w:t>
      </w:r>
      <w:r w:rsidRPr="00E516A2">
        <w:rPr>
          <w:i/>
          <w:noProof/>
        </w:rPr>
        <w:t>National Institute for Clinical Excellence and its value judgments.</w:t>
      </w:r>
      <w:r w:rsidRPr="00E516A2">
        <w:rPr>
          <w:noProof/>
        </w:rPr>
        <w:t xml:space="preserve"> BMJ: British Medical Journal, 2004. </w:t>
      </w:r>
      <w:r w:rsidRPr="00E516A2">
        <w:rPr>
          <w:b/>
          <w:noProof/>
        </w:rPr>
        <w:t>329</w:t>
      </w:r>
      <w:r w:rsidRPr="00E516A2">
        <w:rPr>
          <w:noProof/>
        </w:rPr>
        <w:t>(7459): p. 224.</w:t>
      </w:r>
    </w:p>
    <w:p w14:paraId="61BFDD55" w14:textId="77777777" w:rsidR="00E516A2" w:rsidRPr="00E516A2" w:rsidRDefault="00E516A2" w:rsidP="00E516A2">
      <w:pPr>
        <w:pStyle w:val="EndNoteBibliography"/>
        <w:spacing w:after="0"/>
        <w:ind w:left="720" w:hanging="720"/>
        <w:rPr>
          <w:noProof/>
        </w:rPr>
      </w:pPr>
      <w:r w:rsidRPr="00E516A2">
        <w:rPr>
          <w:noProof/>
        </w:rPr>
        <w:t>341.</w:t>
      </w:r>
      <w:r w:rsidRPr="00E516A2">
        <w:rPr>
          <w:noProof/>
        </w:rPr>
        <w:tab/>
        <w:t xml:space="preserve">Daniels, N., </w:t>
      </w:r>
      <w:r w:rsidRPr="00E516A2">
        <w:rPr>
          <w:i/>
          <w:noProof/>
        </w:rPr>
        <w:t>Accountability for reasonableness: Establishing a fair process for priority setting is easier than agreeing on principles.</w:t>
      </w:r>
      <w:r w:rsidRPr="00E516A2">
        <w:rPr>
          <w:noProof/>
        </w:rPr>
        <w:t xml:space="preserve"> BMJ: British Medical Journal, 2000. </w:t>
      </w:r>
      <w:r w:rsidRPr="00E516A2">
        <w:rPr>
          <w:b/>
          <w:noProof/>
        </w:rPr>
        <w:t>321</w:t>
      </w:r>
      <w:r w:rsidRPr="00E516A2">
        <w:rPr>
          <w:noProof/>
        </w:rPr>
        <w:t>(7272): p. 1300.</w:t>
      </w:r>
    </w:p>
    <w:p w14:paraId="1BFDF9AB" w14:textId="77777777" w:rsidR="00E516A2" w:rsidRPr="00E516A2" w:rsidRDefault="00E516A2" w:rsidP="00E516A2">
      <w:pPr>
        <w:pStyle w:val="EndNoteBibliography"/>
        <w:spacing w:after="0"/>
        <w:ind w:left="720" w:hanging="720"/>
        <w:rPr>
          <w:noProof/>
        </w:rPr>
      </w:pPr>
      <w:r w:rsidRPr="00E516A2">
        <w:rPr>
          <w:noProof/>
        </w:rPr>
        <w:t>342.</w:t>
      </w:r>
      <w:r w:rsidRPr="00E516A2">
        <w:rPr>
          <w:noProof/>
        </w:rPr>
        <w:tab/>
        <w:t xml:space="preserve">Baltussen R, Y.S., Paolucci F, Niessen L, </w:t>
      </w:r>
      <w:r w:rsidRPr="00E516A2">
        <w:rPr>
          <w:i/>
          <w:noProof/>
        </w:rPr>
        <w:t>Multi-criteria decision analysis to prioritize health interventions: Capitalizing on first experiences.</w:t>
      </w:r>
      <w:r w:rsidRPr="00E516A2">
        <w:rPr>
          <w:noProof/>
        </w:rPr>
        <w:t xml:space="preserve"> Health Policy, 2010. </w:t>
      </w:r>
      <w:r w:rsidRPr="00E516A2">
        <w:rPr>
          <w:b/>
          <w:noProof/>
        </w:rPr>
        <w:t>96</w:t>
      </w:r>
      <w:r w:rsidRPr="00E516A2">
        <w:rPr>
          <w:noProof/>
        </w:rPr>
        <w:t>(3): p. 262-264.</w:t>
      </w:r>
    </w:p>
    <w:p w14:paraId="6B1541F3" w14:textId="77777777" w:rsidR="00E516A2" w:rsidRPr="00E516A2" w:rsidRDefault="00E516A2" w:rsidP="00E516A2">
      <w:pPr>
        <w:pStyle w:val="EndNoteBibliography"/>
        <w:spacing w:after="0"/>
        <w:ind w:left="720" w:hanging="720"/>
        <w:rPr>
          <w:noProof/>
        </w:rPr>
      </w:pPr>
      <w:r w:rsidRPr="00E516A2">
        <w:rPr>
          <w:noProof/>
        </w:rPr>
        <w:t>343.</w:t>
      </w:r>
      <w:r w:rsidRPr="00E516A2">
        <w:rPr>
          <w:noProof/>
        </w:rPr>
        <w:tab/>
        <w:t xml:space="preserve">Husereau, D., M. Boucher, and H. Noorani, </w:t>
      </w:r>
      <w:r w:rsidRPr="00E516A2">
        <w:rPr>
          <w:i/>
          <w:noProof/>
        </w:rPr>
        <w:t>Priority setting for health technology assessment at CADTH.</w:t>
      </w:r>
      <w:r w:rsidRPr="00E516A2">
        <w:rPr>
          <w:noProof/>
        </w:rPr>
        <w:t xml:space="preserve"> International journal of technology assessment in health care, 2010. </w:t>
      </w:r>
      <w:r w:rsidRPr="00E516A2">
        <w:rPr>
          <w:b/>
          <w:noProof/>
        </w:rPr>
        <w:t>26</w:t>
      </w:r>
      <w:r w:rsidRPr="00E516A2">
        <w:rPr>
          <w:noProof/>
        </w:rPr>
        <w:t>(3): p. 341-347.</w:t>
      </w:r>
    </w:p>
    <w:p w14:paraId="76E86A7F" w14:textId="77777777" w:rsidR="00E516A2" w:rsidRPr="00E516A2" w:rsidRDefault="00E516A2" w:rsidP="00E516A2">
      <w:pPr>
        <w:pStyle w:val="EndNoteBibliography"/>
        <w:spacing w:after="0"/>
        <w:ind w:left="720" w:hanging="720"/>
        <w:rPr>
          <w:noProof/>
        </w:rPr>
      </w:pPr>
      <w:r w:rsidRPr="00E516A2">
        <w:rPr>
          <w:noProof/>
        </w:rPr>
        <w:t>344.</w:t>
      </w:r>
      <w:r w:rsidRPr="00E516A2">
        <w:rPr>
          <w:noProof/>
        </w:rPr>
        <w:tab/>
        <w:t xml:space="preserve">Sanders, W.B. and T.K. Pinhey, </w:t>
      </w:r>
      <w:r w:rsidRPr="00E516A2">
        <w:rPr>
          <w:i/>
          <w:noProof/>
        </w:rPr>
        <w:t>The conduct of social research</w:t>
      </w:r>
      <w:r w:rsidRPr="00E516A2">
        <w:rPr>
          <w:noProof/>
        </w:rPr>
        <w:t>. 1983: Holt, Rinehart and Winston New York.</w:t>
      </w:r>
    </w:p>
    <w:p w14:paraId="3CE6DD2B" w14:textId="77777777" w:rsidR="00E516A2" w:rsidRPr="00E516A2" w:rsidRDefault="00E516A2" w:rsidP="00E516A2">
      <w:pPr>
        <w:pStyle w:val="EndNoteBibliography"/>
        <w:spacing w:after="0"/>
        <w:ind w:left="720" w:hanging="720"/>
        <w:rPr>
          <w:noProof/>
        </w:rPr>
      </w:pPr>
      <w:r w:rsidRPr="00E516A2">
        <w:rPr>
          <w:noProof/>
        </w:rPr>
        <w:t>345.</w:t>
      </w:r>
      <w:r w:rsidRPr="00E516A2">
        <w:rPr>
          <w:noProof/>
        </w:rPr>
        <w:tab/>
        <w:t xml:space="preserve">Saaty, T.L., </w:t>
      </w:r>
      <w:r w:rsidRPr="00E516A2">
        <w:rPr>
          <w:i/>
          <w:noProof/>
        </w:rPr>
        <w:t>The analytic hierarchy process: planning, priority setting, resources allocation.</w:t>
      </w:r>
      <w:r w:rsidRPr="00E516A2">
        <w:rPr>
          <w:noProof/>
        </w:rPr>
        <w:t xml:space="preserve"> New York: McGraw, 1980.</w:t>
      </w:r>
    </w:p>
    <w:p w14:paraId="7AF59C3A" w14:textId="77777777" w:rsidR="00E516A2" w:rsidRPr="00E516A2" w:rsidRDefault="00E516A2" w:rsidP="00E516A2">
      <w:pPr>
        <w:pStyle w:val="EndNoteBibliography"/>
        <w:spacing w:after="0"/>
        <w:ind w:left="720" w:hanging="720"/>
        <w:rPr>
          <w:noProof/>
        </w:rPr>
      </w:pPr>
      <w:r w:rsidRPr="00E516A2">
        <w:rPr>
          <w:noProof/>
        </w:rPr>
        <w:t>346.</w:t>
      </w:r>
      <w:r w:rsidRPr="00E516A2">
        <w:rPr>
          <w:noProof/>
        </w:rPr>
        <w:tab/>
        <w:t xml:space="preserve">Saaty, T.L., </w:t>
      </w:r>
      <w:r w:rsidRPr="00E516A2">
        <w:rPr>
          <w:i/>
          <w:noProof/>
        </w:rPr>
        <w:t>How to make a decision: the analytic hierarchy process.</w:t>
      </w:r>
      <w:r w:rsidRPr="00E516A2">
        <w:rPr>
          <w:noProof/>
        </w:rPr>
        <w:t xml:space="preserve"> European journal of operational research, 1990. </w:t>
      </w:r>
      <w:r w:rsidRPr="00E516A2">
        <w:rPr>
          <w:b/>
          <w:noProof/>
        </w:rPr>
        <w:t>48</w:t>
      </w:r>
      <w:r w:rsidRPr="00E516A2">
        <w:rPr>
          <w:noProof/>
        </w:rPr>
        <w:t>(1): p. 9-26.</w:t>
      </w:r>
    </w:p>
    <w:p w14:paraId="17D88E95" w14:textId="77777777" w:rsidR="00E516A2" w:rsidRPr="00E516A2" w:rsidRDefault="00E516A2" w:rsidP="00E516A2">
      <w:pPr>
        <w:pStyle w:val="EndNoteBibliography"/>
        <w:spacing w:after="0"/>
        <w:ind w:left="720" w:hanging="720"/>
        <w:rPr>
          <w:noProof/>
        </w:rPr>
      </w:pPr>
      <w:r w:rsidRPr="00E516A2">
        <w:rPr>
          <w:noProof/>
        </w:rPr>
        <w:t>347.</w:t>
      </w:r>
      <w:r w:rsidRPr="00E516A2">
        <w:rPr>
          <w:noProof/>
        </w:rPr>
        <w:tab/>
        <w:t xml:space="preserve">Wilson, E.C.R., John; Fordham, Richard J, </w:t>
      </w:r>
      <w:r w:rsidRPr="00E516A2">
        <w:rPr>
          <w:i/>
          <w:noProof/>
        </w:rPr>
        <w:t>Developing a prioritisation framework in an English Primary Care Trust.</w:t>
      </w:r>
      <w:r w:rsidRPr="00E516A2">
        <w:rPr>
          <w:noProof/>
        </w:rPr>
        <w:t xml:space="preserve"> Cost Effectiveness and Resource Allocation, 2006. </w:t>
      </w:r>
      <w:r w:rsidRPr="00E516A2">
        <w:rPr>
          <w:b/>
          <w:noProof/>
        </w:rPr>
        <w:t>4</w:t>
      </w:r>
      <w:r w:rsidRPr="00E516A2">
        <w:rPr>
          <w:noProof/>
        </w:rPr>
        <w:t>: p. 3.</w:t>
      </w:r>
    </w:p>
    <w:p w14:paraId="35241C39" w14:textId="77777777" w:rsidR="00E516A2" w:rsidRPr="00E516A2" w:rsidRDefault="00E516A2" w:rsidP="00E516A2">
      <w:pPr>
        <w:pStyle w:val="EndNoteBibliography"/>
        <w:spacing w:after="0"/>
        <w:ind w:left="720" w:hanging="720"/>
        <w:rPr>
          <w:noProof/>
        </w:rPr>
      </w:pPr>
      <w:r w:rsidRPr="00E516A2">
        <w:rPr>
          <w:noProof/>
        </w:rPr>
        <w:t>348.</w:t>
      </w:r>
      <w:r w:rsidRPr="00E516A2">
        <w:rPr>
          <w:noProof/>
        </w:rPr>
        <w:tab/>
        <w:t xml:space="preserve">Arrow, K.J., </w:t>
      </w:r>
      <w:r w:rsidRPr="00E516A2">
        <w:rPr>
          <w:i/>
          <w:noProof/>
        </w:rPr>
        <w:t>Uncertainty and the welfare economics of medical care.</w:t>
      </w:r>
      <w:r w:rsidRPr="00E516A2">
        <w:rPr>
          <w:noProof/>
        </w:rPr>
        <w:t xml:space="preserve"> The American economic review, 1963: p. 941-973.</w:t>
      </w:r>
    </w:p>
    <w:p w14:paraId="64CADC45" w14:textId="77777777" w:rsidR="00E516A2" w:rsidRPr="00E516A2" w:rsidRDefault="00E516A2" w:rsidP="00E516A2">
      <w:pPr>
        <w:pStyle w:val="EndNoteBibliography"/>
        <w:spacing w:after="0"/>
        <w:ind w:left="720" w:hanging="720"/>
        <w:rPr>
          <w:noProof/>
        </w:rPr>
      </w:pPr>
      <w:r w:rsidRPr="00E516A2">
        <w:rPr>
          <w:noProof/>
        </w:rPr>
        <w:t>349.</w:t>
      </w:r>
      <w:r w:rsidRPr="00E516A2">
        <w:rPr>
          <w:noProof/>
        </w:rPr>
        <w:tab/>
        <w:t xml:space="preserve">Belton, V. and T. Gear, </w:t>
      </w:r>
      <w:r w:rsidRPr="00E516A2">
        <w:rPr>
          <w:i/>
          <w:noProof/>
        </w:rPr>
        <w:t>On a short-coming of Saaty's method of analytic hierarchies.</w:t>
      </w:r>
      <w:r w:rsidRPr="00E516A2">
        <w:rPr>
          <w:noProof/>
        </w:rPr>
        <w:t xml:space="preserve"> Omega, 1983. </w:t>
      </w:r>
      <w:r w:rsidRPr="00E516A2">
        <w:rPr>
          <w:b/>
          <w:noProof/>
        </w:rPr>
        <w:t>11</w:t>
      </w:r>
      <w:r w:rsidRPr="00E516A2">
        <w:rPr>
          <w:noProof/>
        </w:rPr>
        <w:t>(3): p. 228-230.</w:t>
      </w:r>
    </w:p>
    <w:p w14:paraId="2D3C1C81" w14:textId="77777777" w:rsidR="00E516A2" w:rsidRPr="00E516A2" w:rsidRDefault="00E516A2" w:rsidP="00E516A2">
      <w:pPr>
        <w:pStyle w:val="EndNoteBibliography"/>
        <w:spacing w:after="0"/>
        <w:ind w:left="720" w:hanging="720"/>
        <w:rPr>
          <w:noProof/>
        </w:rPr>
      </w:pPr>
      <w:r w:rsidRPr="00E516A2">
        <w:rPr>
          <w:noProof/>
        </w:rPr>
        <w:t>350.</w:t>
      </w:r>
      <w:r w:rsidRPr="00E516A2">
        <w:rPr>
          <w:noProof/>
        </w:rPr>
        <w:tab/>
        <w:t xml:space="preserve">Reddy, B., P. Thokala, and A. Duenas, </w:t>
      </w:r>
      <w:r w:rsidRPr="00E516A2">
        <w:rPr>
          <w:i/>
          <w:noProof/>
        </w:rPr>
        <w:t>MCDA for resource allocation at a local level: an application in the UK</w:t>
      </w:r>
      <w:r w:rsidRPr="00E516A2">
        <w:rPr>
          <w:noProof/>
        </w:rPr>
        <w:t xml:space="preserve">, in </w:t>
      </w:r>
      <w:r w:rsidRPr="00E516A2">
        <w:rPr>
          <w:i/>
          <w:noProof/>
        </w:rPr>
        <w:t>Multi-criteria decision analysis to support healthcare decisions</w:t>
      </w:r>
      <w:r w:rsidRPr="00E516A2">
        <w:rPr>
          <w:noProof/>
        </w:rPr>
        <w:t>, P.T. Kevin Marsh, Rob Baltussen, Mireille Goetghebeur Editor. In press, Springer: Cham. p. 171–194.</w:t>
      </w:r>
    </w:p>
    <w:p w14:paraId="027400A2" w14:textId="77777777" w:rsidR="00E516A2" w:rsidRPr="00E516A2" w:rsidRDefault="00E516A2" w:rsidP="00E516A2">
      <w:pPr>
        <w:pStyle w:val="EndNoteBibliography"/>
        <w:spacing w:after="0"/>
        <w:ind w:left="720" w:hanging="720"/>
        <w:rPr>
          <w:noProof/>
        </w:rPr>
      </w:pPr>
      <w:r w:rsidRPr="00E516A2">
        <w:rPr>
          <w:noProof/>
        </w:rPr>
        <w:t>351.</w:t>
      </w:r>
      <w:r w:rsidRPr="00E516A2">
        <w:rPr>
          <w:noProof/>
        </w:rPr>
        <w:tab/>
        <w:t xml:space="preserve">Jarvis, M.J. and J. Wardle, </w:t>
      </w:r>
      <w:r w:rsidRPr="00E516A2">
        <w:rPr>
          <w:i/>
          <w:noProof/>
        </w:rPr>
        <w:t>Social patterning of individual health behaviours: the case of cigarette smoking</w:t>
      </w:r>
      <w:r w:rsidRPr="00E516A2">
        <w:rPr>
          <w:noProof/>
        </w:rPr>
        <w:t>. Vol. 90. 1999: Social determinants of health. Oxford: Oxford University Press.</w:t>
      </w:r>
    </w:p>
    <w:p w14:paraId="2599EE13" w14:textId="77777777" w:rsidR="00E516A2" w:rsidRPr="00E516A2" w:rsidRDefault="00E516A2" w:rsidP="00E516A2">
      <w:pPr>
        <w:pStyle w:val="EndNoteBibliography"/>
        <w:spacing w:after="0"/>
        <w:ind w:left="720" w:hanging="720"/>
        <w:rPr>
          <w:noProof/>
        </w:rPr>
      </w:pPr>
      <w:r w:rsidRPr="00E516A2">
        <w:rPr>
          <w:noProof/>
        </w:rPr>
        <w:t>352.</w:t>
      </w:r>
      <w:r w:rsidRPr="00E516A2">
        <w:rPr>
          <w:noProof/>
        </w:rPr>
        <w:tab/>
        <w:t xml:space="preserve">Nash, R. and H. Featherstone, </w:t>
      </w:r>
      <w:r w:rsidRPr="00E516A2">
        <w:rPr>
          <w:i/>
          <w:noProof/>
        </w:rPr>
        <w:t>Cough Up: Balancing tobacco income and costs in society</w:t>
      </w:r>
      <w:r w:rsidRPr="00E516A2">
        <w:rPr>
          <w:noProof/>
        </w:rPr>
        <w:t>. 2010, Policy Exchange: London.</w:t>
      </w:r>
    </w:p>
    <w:p w14:paraId="7BC7A426" w14:textId="77777777" w:rsidR="00E516A2" w:rsidRPr="00E516A2" w:rsidRDefault="00E516A2" w:rsidP="00E516A2">
      <w:pPr>
        <w:pStyle w:val="EndNoteBibliography"/>
        <w:spacing w:after="0"/>
        <w:ind w:left="720" w:hanging="720"/>
        <w:rPr>
          <w:noProof/>
        </w:rPr>
      </w:pPr>
      <w:r w:rsidRPr="00E516A2">
        <w:rPr>
          <w:noProof/>
        </w:rPr>
        <w:t>353.</w:t>
      </w:r>
      <w:r w:rsidRPr="00E516A2">
        <w:rPr>
          <w:noProof/>
        </w:rPr>
        <w:tab/>
        <w:t xml:space="preserve">UK Government, </w:t>
      </w:r>
      <w:r w:rsidRPr="00E516A2">
        <w:rPr>
          <w:i/>
          <w:noProof/>
        </w:rPr>
        <w:t>Healthy lives, healthy people: our strategy for public health in England</w:t>
      </w:r>
      <w:r w:rsidRPr="00E516A2">
        <w:rPr>
          <w:noProof/>
        </w:rPr>
        <w:t>. 2010, Stationery Office (Great Britain).</w:t>
      </w:r>
    </w:p>
    <w:p w14:paraId="6EA0EF47" w14:textId="77777777" w:rsidR="00E516A2" w:rsidRPr="00E516A2" w:rsidRDefault="00E516A2" w:rsidP="00E516A2">
      <w:pPr>
        <w:pStyle w:val="EndNoteBibliography"/>
        <w:spacing w:after="0"/>
        <w:ind w:left="720" w:hanging="720"/>
        <w:rPr>
          <w:noProof/>
        </w:rPr>
      </w:pPr>
      <w:r w:rsidRPr="00E516A2">
        <w:rPr>
          <w:noProof/>
        </w:rPr>
        <w:t>354.</w:t>
      </w:r>
      <w:r w:rsidRPr="00E516A2">
        <w:rPr>
          <w:noProof/>
        </w:rPr>
        <w:tab/>
        <w:t xml:space="preserve">Office for National Statistics, </w:t>
      </w:r>
      <w:r w:rsidRPr="00E516A2">
        <w:rPr>
          <w:i/>
          <w:noProof/>
        </w:rPr>
        <w:t xml:space="preserve">Social Survey Division, Integrated Household Survey, April 2011 - March 2012 </w:t>
      </w:r>
      <w:r w:rsidRPr="00E516A2">
        <w:rPr>
          <w:noProof/>
        </w:rPr>
        <w:t>2012, UK Data Archive: Colchester, Essex.</w:t>
      </w:r>
    </w:p>
    <w:p w14:paraId="0E39250B" w14:textId="77777777" w:rsidR="00E516A2" w:rsidRPr="00E516A2" w:rsidRDefault="00E516A2" w:rsidP="00E516A2">
      <w:pPr>
        <w:pStyle w:val="EndNoteBibliography"/>
        <w:spacing w:after="0"/>
        <w:ind w:left="720" w:hanging="720"/>
        <w:rPr>
          <w:noProof/>
        </w:rPr>
      </w:pPr>
      <w:r w:rsidRPr="00E516A2">
        <w:rPr>
          <w:noProof/>
        </w:rPr>
        <w:t>355.</w:t>
      </w:r>
      <w:r w:rsidRPr="00E516A2">
        <w:rPr>
          <w:noProof/>
        </w:rPr>
        <w:tab/>
        <w:t xml:space="preserve">All-Party Parliamentary Group on Smoking and Health, </w:t>
      </w:r>
      <w:r w:rsidRPr="00E516A2">
        <w:rPr>
          <w:i/>
          <w:noProof/>
        </w:rPr>
        <w:t>Inquiry into the effectiveness and cost-effectiveness of tobacco control: Submission to the 2010 Spending Review and Public Health White Paper Consultation Process</w:t>
      </w:r>
      <w:r w:rsidRPr="00E516A2">
        <w:rPr>
          <w:noProof/>
        </w:rPr>
        <w:t>. 2010, All Party Parliamentary Group on Smoking and Health.: UK.</w:t>
      </w:r>
    </w:p>
    <w:p w14:paraId="053EE6B4" w14:textId="77777777" w:rsidR="00E516A2" w:rsidRPr="00E516A2" w:rsidRDefault="00E516A2" w:rsidP="00E516A2">
      <w:pPr>
        <w:pStyle w:val="EndNoteBibliography"/>
        <w:spacing w:after="0"/>
        <w:ind w:left="720" w:hanging="720"/>
        <w:rPr>
          <w:noProof/>
        </w:rPr>
      </w:pPr>
      <w:r w:rsidRPr="00E516A2">
        <w:rPr>
          <w:noProof/>
        </w:rPr>
        <w:t>356.</w:t>
      </w:r>
      <w:r w:rsidRPr="00E516A2">
        <w:rPr>
          <w:noProof/>
        </w:rPr>
        <w:tab/>
        <w:t xml:space="preserve">World Health Organization, </w:t>
      </w:r>
      <w:r w:rsidRPr="00E516A2">
        <w:rPr>
          <w:i/>
          <w:noProof/>
        </w:rPr>
        <w:t xml:space="preserve">WHO framework convention on tobacco control. </w:t>
      </w:r>
      <w:r w:rsidRPr="00E516A2">
        <w:rPr>
          <w:noProof/>
        </w:rPr>
        <w:t>. 2003, WHO: Geneva.</w:t>
      </w:r>
    </w:p>
    <w:p w14:paraId="1DCF3DC7" w14:textId="77777777" w:rsidR="00E516A2" w:rsidRPr="00E516A2" w:rsidRDefault="00E516A2" w:rsidP="00E516A2">
      <w:pPr>
        <w:pStyle w:val="EndNoteBibliography"/>
        <w:spacing w:after="0"/>
        <w:ind w:left="720" w:hanging="720"/>
        <w:rPr>
          <w:noProof/>
        </w:rPr>
      </w:pPr>
      <w:r w:rsidRPr="00E516A2">
        <w:rPr>
          <w:noProof/>
        </w:rPr>
        <w:t>357.</w:t>
      </w:r>
      <w:r w:rsidRPr="00E516A2">
        <w:rPr>
          <w:noProof/>
        </w:rPr>
        <w:tab/>
        <w:t xml:space="preserve">Weiss, C., </w:t>
      </w:r>
      <w:r w:rsidRPr="00E516A2">
        <w:rPr>
          <w:i/>
          <w:noProof/>
        </w:rPr>
        <w:t>The many meanings of research utilisation. I Bulmer, M (ed) Social Science &amp; Social Policy</w:t>
      </w:r>
      <w:r w:rsidRPr="00E516A2">
        <w:rPr>
          <w:noProof/>
        </w:rPr>
        <w:t>. 1986, London: Allen &amp; Unwin.</w:t>
      </w:r>
    </w:p>
    <w:p w14:paraId="6F4CF67B" w14:textId="77777777" w:rsidR="00E516A2" w:rsidRPr="00E516A2" w:rsidRDefault="00E516A2" w:rsidP="00E516A2">
      <w:pPr>
        <w:pStyle w:val="EndNoteBibliography"/>
        <w:spacing w:after="0"/>
        <w:ind w:left="720" w:hanging="720"/>
        <w:rPr>
          <w:noProof/>
        </w:rPr>
      </w:pPr>
      <w:r w:rsidRPr="00E516A2">
        <w:rPr>
          <w:noProof/>
        </w:rPr>
        <w:t>358.</w:t>
      </w:r>
      <w:r w:rsidRPr="00E516A2">
        <w:rPr>
          <w:noProof/>
        </w:rPr>
        <w:tab/>
        <w:t xml:space="preserve">Hoffmann, C. and J.-M.G. von der Schulenburg, </w:t>
      </w:r>
      <w:r w:rsidRPr="00E516A2">
        <w:rPr>
          <w:i/>
          <w:noProof/>
        </w:rPr>
        <w:t>The influence of economic evaluation studies on decision making.: A European survey.</w:t>
      </w:r>
      <w:r w:rsidRPr="00E516A2">
        <w:rPr>
          <w:noProof/>
        </w:rPr>
        <w:t xml:space="preserve"> Health policy, 2000. </w:t>
      </w:r>
      <w:r w:rsidRPr="00E516A2">
        <w:rPr>
          <w:b/>
          <w:noProof/>
        </w:rPr>
        <w:t>52</w:t>
      </w:r>
      <w:r w:rsidRPr="00E516A2">
        <w:rPr>
          <w:noProof/>
        </w:rPr>
        <w:t>(3): p. 179-192.</w:t>
      </w:r>
    </w:p>
    <w:p w14:paraId="5B6C9B14" w14:textId="77777777" w:rsidR="00E516A2" w:rsidRPr="00E516A2" w:rsidRDefault="00E516A2" w:rsidP="00E516A2">
      <w:pPr>
        <w:pStyle w:val="EndNoteBibliography"/>
        <w:spacing w:after="0"/>
        <w:ind w:left="720" w:hanging="720"/>
        <w:rPr>
          <w:noProof/>
        </w:rPr>
      </w:pPr>
      <w:r w:rsidRPr="00E516A2">
        <w:rPr>
          <w:noProof/>
        </w:rPr>
        <w:t>359.</w:t>
      </w:r>
      <w:r w:rsidRPr="00E516A2">
        <w:rPr>
          <w:noProof/>
        </w:rPr>
        <w:tab/>
        <w:t xml:space="preserve">Innvær, S., et al., </w:t>
      </w:r>
      <w:r w:rsidRPr="00E516A2">
        <w:rPr>
          <w:i/>
          <w:noProof/>
        </w:rPr>
        <w:t>Health policy-makers' perceptions of their use of evidence: a systematic review.</w:t>
      </w:r>
      <w:r w:rsidRPr="00E516A2">
        <w:rPr>
          <w:noProof/>
        </w:rPr>
        <w:t xml:space="preserve"> Journal of health services research &amp; policy, 2002. </w:t>
      </w:r>
      <w:r w:rsidRPr="00E516A2">
        <w:rPr>
          <w:b/>
          <w:noProof/>
        </w:rPr>
        <w:t>7</w:t>
      </w:r>
      <w:r w:rsidRPr="00E516A2">
        <w:rPr>
          <w:noProof/>
        </w:rPr>
        <w:t>(4): p. 239-244.</w:t>
      </w:r>
    </w:p>
    <w:p w14:paraId="066BCAAB" w14:textId="77777777" w:rsidR="00E516A2" w:rsidRPr="00E516A2" w:rsidRDefault="00E516A2" w:rsidP="00E516A2">
      <w:pPr>
        <w:pStyle w:val="EndNoteBibliography"/>
        <w:spacing w:after="0"/>
        <w:ind w:left="720" w:hanging="720"/>
        <w:rPr>
          <w:noProof/>
        </w:rPr>
      </w:pPr>
      <w:r w:rsidRPr="00E516A2">
        <w:rPr>
          <w:noProof/>
        </w:rPr>
        <w:t>360.</w:t>
      </w:r>
      <w:r w:rsidRPr="00E516A2">
        <w:rPr>
          <w:noProof/>
        </w:rPr>
        <w:tab/>
        <w:t xml:space="preserve">Lavis, J.N., et al., </w:t>
      </w:r>
      <w:r w:rsidRPr="00E516A2">
        <w:rPr>
          <w:i/>
          <w:noProof/>
        </w:rPr>
        <w:t>How can research organizations more effectively transfer research knowledge to decision makers?</w:t>
      </w:r>
      <w:r w:rsidRPr="00E516A2">
        <w:rPr>
          <w:noProof/>
        </w:rPr>
        <w:t xml:space="preserve"> Milbank quarterly, 2003. </w:t>
      </w:r>
      <w:r w:rsidRPr="00E516A2">
        <w:rPr>
          <w:b/>
          <w:noProof/>
        </w:rPr>
        <w:t>81</w:t>
      </w:r>
      <w:r w:rsidRPr="00E516A2">
        <w:rPr>
          <w:noProof/>
        </w:rPr>
        <w:t>(2): p. 221-248.</w:t>
      </w:r>
    </w:p>
    <w:p w14:paraId="2AED38DF" w14:textId="77777777" w:rsidR="00E516A2" w:rsidRPr="00E516A2" w:rsidRDefault="00E516A2" w:rsidP="00E516A2">
      <w:pPr>
        <w:pStyle w:val="EndNoteBibliography"/>
        <w:spacing w:after="0"/>
        <w:ind w:left="720" w:hanging="720"/>
        <w:rPr>
          <w:noProof/>
        </w:rPr>
      </w:pPr>
      <w:r w:rsidRPr="00E516A2">
        <w:rPr>
          <w:noProof/>
        </w:rPr>
        <w:t>361.</w:t>
      </w:r>
      <w:r w:rsidRPr="00E516A2">
        <w:rPr>
          <w:noProof/>
        </w:rPr>
        <w:tab/>
        <w:t xml:space="preserve">Duthie, T., et al., </w:t>
      </w:r>
      <w:r w:rsidRPr="00E516A2">
        <w:rPr>
          <w:i/>
          <w:noProof/>
        </w:rPr>
        <w:t>Research into the use of health economics in decision making in the United Kingdom—Phase II: Is health economics ‘for good or evil’?</w:t>
      </w:r>
      <w:r w:rsidRPr="00E516A2">
        <w:rPr>
          <w:noProof/>
        </w:rPr>
        <w:t xml:space="preserve"> Health Policy, 1999. </w:t>
      </w:r>
      <w:r w:rsidRPr="00E516A2">
        <w:rPr>
          <w:b/>
          <w:noProof/>
        </w:rPr>
        <w:t>46</w:t>
      </w:r>
      <w:r w:rsidRPr="00E516A2">
        <w:rPr>
          <w:noProof/>
        </w:rPr>
        <w:t>(2): p. 143-157.</w:t>
      </w:r>
    </w:p>
    <w:p w14:paraId="72942394" w14:textId="77777777" w:rsidR="00E516A2" w:rsidRPr="00E516A2" w:rsidRDefault="00E516A2" w:rsidP="00E516A2">
      <w:pPr>
        <w:pStyle w:val="EndNoteBibliography"/>
        <w:spacing w:after="0"/>
        <w:ind w:left="720" w:hanging="720"/>
        <w:rPr>
          <w:noProof/>
        </w:rPr>
      </w:pPr>
      <w:r w:rsidRPr="00E516A2">
        <w:rPr>
          <w:noProof/>
        </w:rPr>
        <w:t>362.</w:t>
      </w:r>
      <w:r w:rsidRPr="00E516A2">
        <w:rPr>
          <w:noProof/>
        </w:rPr>
        <w:tab/>
        <w:t xml:space="preserve">Craig, P., et al., </w:t>
      </w:r>
      <w:r w:rsidRPr="00E516A2">
        <w:rPr>
          <w:i/>
          <w:noProof/>
        </w:rPr>
        <w:t>Developing and evaluating complex interventions: the new Medical Research Council guidance.</w:t>
      </w:r>
      <w:r w:rsidRPr="00E516A2">
        <w:rPr>
          <w:noProof/>
        </w:rPr>
        <w:t xml:space="preserve"> Bmj, 2008. </w:t>
      </w:r>
      <w:r w:rsidRPr="00E516A2">
        <w:rPr>
          <w:b/>
          <w:noProof/>
        </w:rPr>
        <w:t>337</w:t>
      </w:r>
      <w:r w:rsidRPr="00E516A2">
        <w:rPr>
          <w:noProof/>
        </w:rPr>
        <w:t>.</w:t>
      </w:r>
    </w:p>
    <w:p w14:paraId="28900106" w14:textId="77777777" w:rsidR="00E516A2" w:rsidRPr="00E516A2" w:rsidRDefault="00E516A2" w:rsidP="00E516A2">
      <w:pPr>
        <w:pStyle w:val="EndNoteBibliography"/>
        <w:spacing w:after="0"/>
        <w:ind w:left="720" w:hanging="720"/>
        <w:rPr>
          <w:noProof/>
        </w:rPr>
      </w:pPr>
      <w:r w:rsidRPr="00E516A2">
        <w:rPr>
          <w:noProof/>
        </w:rPr>
        <w:t>363.</w:t>
      </w:r>
      <w:r w:rsidRPr="00E516A2">
        <w:rPr>
          <w:noProof/>
        </w:rPr>
        <w:tab/>
        <w:t xml:space="preserve">Niessen, L.W., et al., </w:t>
      </w:r>
      <w:r w:rsidRPr="00E516A2">
        <w:rPr>
          <w:i/>
          <w:noProof/>
        </w:rPr>
        <w:t>Assessing the Impact of Economic Evidence on Policymakers in Health Care—A Systematic Review</w:t>
      </w:r>
      <w:r w:rsidRPr="00E516A2">
        <w:rPr>
          <w:noProof/>
        </w:rPr>
        <w:t>. 2012, Johns Hopkins University Evidence-based Practice Center Rockville, MD: Agency for Healthcare Research and Quality.</w:t>
      </w:r>
    </w:p>
    <w:p w14:paraId="3A3F7D92" w14:textId="77777777" w:rsidR="00E516A2" w:rsidRPr="00E516A2" w:rsidRDefault="00E516A2" w:rsidP="00E516A2">
      <w:pPr>
        <w:pStyle w:val="EndNoteBibliography"/>
        <w:spacing w:after="0"/>
        <w:ind w:left="720" w:hanging="720"/>
        <w:rPr>
          <w:noProof/>
        </w:rPr>
      </w:pPr>
      <w:r w:rsidRPr="00E516A2">
        <w:rPr>
          <w:noProof/>
        </w:rPr>
        <w:t>364.</w:t>
      </w:r>
      <w:r w:rsidRPr="00E516A2">
        <w:rPr>
          <w:noProof/>
        </w:rPr>
        <w:tab/>
        <w:t xml:space="preserve">Shafir, E., </w:t>
      </w:r>
      <w:r w:rsidRPr="00E516A2">
        <w:rPr>
          <w:i/>
          <w:noProof/>
        </w:rPr>
        <w:t>Choosing versus rejecting: Why some options are both better and worse than others.</w:t>
      </w:r>
      <w:r w:rsidRPr="00E516A2">
        <w:rPr>
          <w:noProof/>
        </w:rPr>
        <w:t xml:space="preserve"> Memory &amp; cognition, 1993. </w:t>
      </w:r>
      <w:r w:rsidRPr="00E516A2">
        <w:rPr>
          <w:b/>
          <w:noProof/>
        </w:rPr>
        <w:t>21</w:t>
      </w:r>
      <w:r w:rsidRPr="00E516A2">
        <w:rPr>
          <w:noProof/>
        </w:rPr>
        <w:t>(4): p. 546-556.</w:t>
      </w:r>
    </w:p>
    <w:p w14:paraId="57596262" w14:textId="77777777" w:rsidR="00E516A2" w:rsidRPr="00E516A2" w:rsidRDefault="00E516A2" w:rsidP="00E516A2">
      <w:pPr>
        <w:pStyle w:val="EndNoteBibliography"/>
        <w:spacing w:after="0"/>
        <w:ind w:left="720" w:hanging="720"/>
        <w:rPr>
          <w:noProof/>
        </w:rPr>
      </w:pPr>
      <w:r w:rsidRPr="00E516A2">
        <w:rPr>
          <w:noProof/>
        </w:rPr>
        <w:t>365.</w:t>
      </w:r>
      <w:r w:rsidRPr="00E516A2">
        <w:rPr>
          <w:noProof/>
        </w:rPr>
        <w:tab/>
        <w:t xml:space="preserve">United Nations Framework for Climate Change, </w:t>
      </w:r>
      <w:r w:rsidRPr="00E516A2">
        <w:rPr>
          <w:i/>
          <w:noProof/>
        </w:rPr>
        <w:t>Input of the least developed countries expert group on the improvement of the guidelines for the preparation of national adaptation programmes of action FCCC/SBI/2002/INF.14</w:t>
      </w:r>
      <w:r w:rsidRPr="00E516A2">
        <w:rPr>
          <w:noProof/>
        </w:rPr>
        <w:t>. 2002, United Nations: Geneva.</w:t>
      </w:r>
    </w:p>
    <w:p w14:paraId="3EC24C45" w14:textId="77777777" w:rsidR="00E516A2" w:rsidRPr="00E516A2" w:rsidRDefault="00E516A2" w:rsidP="00E516A2">
      <w:pPr>
        <w:pStyle w:val="EndNoteBibliography"/>
        <w:spacing w:after="0"/>
        <w:ind w:left="720" w:hanging="720"/>
        <w:rPr>
          <w:noProof/>
        </w:rPr>
      </w:pPr>
      <w:r w:rsidRPr="00E516A2">
        <w:rPr>
          <w:noProof/>
        </w:rPr>
        <w:t>366.</w:t>
      </w:r>
      <w:r w:rsidRPr="00E516A2">
        <w:rPr>
          <w:noProof/>
        </w:rPr>
        <w:tab/>
        <w:t xml:space="preserve">Kennedy, I., </w:t>
      </w:r>
      <w:r w:rsidRPr="00E516A2">
        <w:rPr>
          <w:i/>
          <w:noProof/>
        </w:rPr>
        <w:t>Getting it right for children and young people: Overcoming cultural barriers in the NHS so as to meet their needs.</w:t>
      </w:r>
      <w:r w:rsidRPr="00E516A2">
        <w:rPr>
          <w:noProof/>
        </w:rPr>
        <w:t xml:space="preserve"> 2010.</w:t>
      </w:r>
    </w:p>
    <w:p w14:paraId="258E60F0" w14:textId="77777777" w:rsidR="00E516A2" w:rsidRPr="00E516A2" w:rsidRDefault="00E516A2" w:rsidP="00E516A2">
      <w:pPr>
        <w:pStyle w:val="EndNoteBibliography"/>
        <w:spacing w:after="0"/>
        <w:ind w:left="720" w:hanging="720"/>
        <w:rPr>
          <w:noProof/>
        </w:rPr>
      </w:pPr>
      <w:r w:rsidRPr="00E516A2">
        <w:rPr>
          <w:noProof/>
        </w:rPr>
        <w:t>367.</w:t>
      </w:r>
      <w:r w:rsidRPr="00E516A2">
        <w:rPr>
          <w:noProof/>
        </w:rPr>
        <w:tab/>
        <w:t xml:space="preserve">Brooks, R. and E. Group, </w:t>
      </w:r>
      <w:r w:rsidRPr="00E516A2">
        <w:rPr>
          <w:i/>
          <w:noProof/>
        </w:rPr>
        <w:t>EuroQol: the current state of play.</w:t>
      </w:r>
      <w:r w:rsidRPr="00E516A2">
        <w:rPr>
          <w:noProof/>
        </w:rPr>
        <w:t xml:space="preserve"> Health policy, 1996. </w:t>
      </w:r>
      <w:r w:rsidRPr="00E516A2">
        <w:rPr>
          <w:b/>
          <w:noProof/>
        </w:rPr>
        <w:t>37</w:t>
      </w:r>
      <w:r w:rsidRPr="00E516A2">
        <w:rPr>
          <w:noProof/>
        </w:rPr>
        <w:t>(1): p. 53-72.</w:t>
      </w:r>
    </w:p>
    <w:p w14:paraId="6FB3822D" w14:textId="77777777" w:rsidR="00E516A2" w:rsidRPr="00E516A2" w:rsidRDefault="00E516A2" w:rsidP="00E516A2">
      <w:pPr>
        <w:pStyle w:val="EndNoteBibliography"/>
        <w:spacing w:after="0"/>
        <w:ind w:left="720" w:hanging="720"/>
        <w:rPr>
          <w:noProof/>
        </w:rPr>
      </w:pPr>
      <w:r w:rsidRPr="00E516A2">
        <w:rPr>
          <w:noProof/>
        </w:rPr>
        <w:t>368.</w:t>
      </w:r>
      <w:r w:rsidRPr="00E516A2">
        <w:rPr>
          <w:noProof/>
        </w:rPr>
        <w:tab/>
        <w:t xml:space="preserve">Thornton, J., et al., </w:t>
      </w:r>
      <w:r w:rsidRPr="00E516A2">
        <w:rPr>
          <w:i/>
          <w:noProof/>
        </w:rPr>
        <w:t>Introducing GRADE across the NICE clinical guideline program.</w:t>
      </w:r>
      <w:r w:rsidRPr="00E516A2">
        <w:rPr>
          <w:noProof/>
        </w:rPr>
        <w:t xml:space="preserve"> Journal of Clinical Epidemiology, 2013. </w:t>
      </w:r>
      <w:r w:rsidRPr="00E516A2">
        <w:rPr>
          <w:b/>
          <w:noProof/>
        </w:rPr>
        <w:t>66</w:t>
      </w:r>
      <w:r w:rsidRPr="00E516A2">
        <w:rPr>
          <w:noProof/>
        </w:rPr>
        <w:t>(2): p. 124-131.</w:t>
      </w:r>
    </w:p>
    <w:p w14:paraId="55F21A97" w14:textId="77777777" w:rsidR="00E516A2" w:rsidRPr="00E516A2" w:rsidRDefault="00E516A2" w:rsidP="00E516A2">
      <w:pPr>
        <w:pStyle w:val="EndNoteBibliography"/>
        <w:spacing w:after="0"/>
        <w:ind w:left="720" w:hanging="720"/>
        <w:rPr>
          <w:noProof/>
        </w:rPr>
      </w:pPr>
      <w:r w:rsidRPr="00E516A2">
        <w:rPr>
          <w:noProof/>
        </w:rPr>
        <w:t>369.</w:t>
      </w:r>
      <w:r w:rsidRPr="00E516A2">
        <w:rPr>
          <w:noProof/>
        </w:rPr>
        <w:tab/>
        <w:t xml:space="preserve">Williams, A., </w:t>
      </w:r>
      <w:r w:rsidRPr="00E516A2">
        <w:rPr>
          <w:i/>
          <w:noProof/>
        </w:rPr>
        <w:t>Intergenerational equity: an exploration of the'fair innings' argument.</w:t>
      </w:r>
      <w:r w:rsidRPr="00E516A2">
        <w:rPr>
          <w:noProof/>
        </w:rPr>
        <w:t xml:space="preserve"> Health economics, 1997. </w:t>
      </w:r>
      <w:r w:rsidRPr="00E516A2">
        <w:rPr>
          <w:b/>
          <w:noProof/>
        </w:rPr>
        <w:t>6</w:t>
      </w:r>
      <w:r w:rsidRPr="00E516A2">
        <w:rPr>
          <w:noProof/>
        </w:rPr>
        <w:t>(2): p. 117-132.</w:t>
      </w:r>
    </w:p>
    <w:p w14:paraId="4A76C7A9" w14:textId="77777777" w:rsidR="00E516A2" w:rsidRPr="00E516A2" w:rsidRDefault="00E516A2" w:rsidP="00E516A2">
      <w:pPr>
        <w:pStyle w:val="EndNoteBibliography"/>
        <w:spacing w:after="0"/>
        <w:ind w:left="720" w:hanging="720"/>
        <w:rPr>
          <w:noProof/>
        </w:rPr>
      </w:pPr>
      <w:r w:rsidRPr="00E516A2">
        <w:rPr>
          <w:rFonts w:hint="eastAsia"/>
          <w:noProof/>
        </w:rPr>
        <w:t>370.</w:t>
      </w:r>
      <w:r w:rsidRPr="00E516A2">
        <w:rPr>
          <w:rFonts w:hint="eastAsia"/>
          <w:noProof/>
        </w:rPr>
        <w:tab/>
        <w:t xml:space="preserve">Linley, W.G. and D.A. Hughes, </w:t>
      </w:r>
      <w:r w:rsidRPr="00E516A2">
        <w:rPr>
          <w:rFonts w:hint="eastAsia"/>
          <w:i/>
          <w:noProof/>
        </w:rPr>
        <w:t>Societal views on NICE, cancer drugs fund and value</w:t>
      </w:r>
      <w:r w:rsidRPr="00E516A2">
        <w:rPr>
          <w:rFonts w:hint="eastAsia"/>
          <w:i/>
          <w:noProof/>
        </w:rPr>
        <w:t>‐</w:t>
      </w:r>
      <w:r w:rsidRPr="00E516A2">
        <w:rPr>
          <w:rFonts w:hint="eastAsia"/>
          <w:i/>
          <w:noProof/>
        </w:rPr>
        <w:t>based pricing criteria for prioritising medicines: A cross</w:t>
      </w:r>
      <w:r w:rsidRPr="00E516A2">
        <w:rPr>
          <w:rFonts w:hint="eastAsia"/>
          <w:i/>
          <w:noProof/>
        </w:rPr>
        <w:t>‐</w:t>
      </w:r>
      <w:r w:rsidRPr="00E516A2">
        <w:rPr>
          <w:rFonts w:hint="eastAsia"/>
          <w:i/>
          <w:noProof/>
        </w:rPr>
        <w:t>sectional survey of 4118 adults in Great Britain.</w:t>
      </w:r>
      <w:r w:rsidRPr="00E516A2">
        <w:rPr>
          <w:rFonts w:hint="eastAsia"/>
          <w:noProof/>
        </w:rPr>
        <w:t xml:space="preserve"> Health economics, 2013. </w:t>
      </w:r>
      <w:r w:rsidRPr="00E516A2">
        <w:rPr>
          <w:rFonts w:hint="eastAsia"/>
          <w:b/>
          <w:noProof/>
        </w:rPr>
        <w:t>22</w:t>
      </w:r>
      <w:r w:rsidRPr="00E516A2">
        <w:rPr>
          <w:rFonts w:hint="eastAsia"/>
          <w:noProof/>
        </w:rPr>
        <w:t>(8): p. 948-964.</w:t>
      </w:r>
    </w:p>
    <w:p w14:paraId="3BAFC819" w14:textId="77777777" w:rsidR="00E516A2" w:rsidRPr="00E516A2" w:rsidRDefault="00E516A2" w:rsidP="00E516A2">
      <w:pPr>
        <w:pStyle w:val="EndNoteBibliography"/>
        <w:spacing w:after="0"/>
        <w:ind w:left="720" w:hanging="720"/>
        <w:rPr>
          <w:noProof/>
        </w:rPr>
      </w:pPr>
      <w:r w:rsidRPr="00E516A2">
        <w:rPr>
          <w:noProof/>
        </w:rPr>
        <w:t>371.</w:t>
      </w:r>
      <w:r w:rsidRPr="00E516A2">
        <w:rPr>
          <w:noProof/>
        </w:rPr>
        <w:tab/>
        <w:t xml:space="preserve">Dubourg, R., J. Hamed, and J. Thorns, </w:t>
      </w:r>
      <w:r w:rsidRPr="00E516A2">
        <w:rPr>
          <w:i/>
          <w:noProof/>
        </w:rPr>
        <w:t>The economic and social costs of crime against individuals and households 2003/04.</w:t>
      </w:r>
      <w:r w:rsidRPr="00E516A2">
        <w:rPr>
          <w:noProof/>
        </w:rPr>
        <w:t xml:space="preserve"> Home Office Online Report, 2005. </w:t>
      </w:r>
      <w:r w:rsidRPr="00E516A2">
        <w:rPr>
          <w:b/>
          <w:noProof/>
        </w:rPr>
        <w:t>30</w:t>
      </w:r>
      <w:r w:rsidRPr="00E516A2">
        <w:rPr>
          <w:noProof/>
        </w:rPr>
        <w:t>(05).</w:t>
      </w:r>
    </w:p>
    <w:p w14:paraId="4217738B" w14:textId="77777777" w:rsidR="00E516A2" w:rsidRPr="00E516A2" w:rsidRDefault="00E516A2" w:rsidP="00E516A2">
      <w:pPr>
        <w:pStyle w:val="EndNoteBibliography"/>
        <w:ind w:left="720" w:hanging="720"/>
        <w:rPr>
          <w:noProof/>
        </w:rPr>
      </w:pPr>
      <w:r w:rsidRPr="00E516A2">
        <w:rPr>
          <w:noProof/>
        </w:rPr>
        <w:t>372.</w:t>
      </w:r>
      <w:r w:rsidRPr="00E516A2">
        <w:rPr>
          <w:noProof/>
        </w:rPr>
        <w:tab/>
        <w:t xml:space="preserve">Airoldi, M., </w:t>
      </w:r>
      <w:r w:rsidRPr="00E516A2">
        <w:rPr>
          <w:i/>
          <w:noProof/>
        </w:rPr>
        <w:t>Disinvestments in practice: overcoming resistance to change through a sociotechnical approach with local stakeholders.</w:t>
      </w:r>
      <w:r w:rsidRPr="00E516A2">
        <w:rPr>
          <w:noProof/>
        </w:rPr>
        <w:t xml:space="preserve"> Journal of health politics, policy and law, 2013. </w:t>
      </w:r>
      <w:r w:rsidRPr="00E516A2">
        <w:rPr>
          <w:b/>
          <w:noProof/>
        </w:rPr>
        <w:t>38</w:t>
      </w:r>
      <w:r w:rsidRPr="00E516A2">
        <w:rPr>
          <w:noProof/>
        </w:rPr>
        <w:t>(6): p. 1149-1171.</w:t>
      </w:r>
    </w:p>
    <w:p w14:paraId="721A5440" w14:textId="619C3E86" w:rsidR="00D22CE3" w:rsidRPr="00F10391" w:rsidRDefault="00D22CE3" w:rsidP="00494A9A">
      <w:r w:rsidRPr="00F10391">
        <w:fldChar w:fldCharType="end"/>
      </w:r>
    </w:p>
    <w:p w14:paraId="771F227E" w14:textId="77777777" w:rsidR="00D22CE3" w:rsidRPr="00F10391" w:rsidRDefault="00D22CE3">
      <w:pPr>
        <w:rPr>
          <w:sz w:val="28"/>
          <w:szCs w:val="28"/>
        </w:rPr>
      </w:pPr>
      <w:r w:rsidRPr="00F10391">
        <w:br w:type="page"/>
      </w:r>
    </w:p>
    <w:p w14:paraId="007B36BC" w14:textId="77777777" w:rsidR="0006798A" w:rsidRPr="00F10391" w:rsidRDefault="00D22CE3">
      <w:pPr>
        <w:pStyle w:val="Heading1"/>
        <w:numPr>
          <w:ilvl w:val="0"/>
          <w:numId w:val="0"/>
        </w:numPr>
      </w:pPr>
      <w:bookmarkStart w:id="881" w:name="_Toc313187909"/>
      <w:bookmarkStart w:id="882" w:name="_Toc313619480"/>
      <w:bookmarkStart w:id="883" w:name="_Toc453595568"/>
      <w:bookmarkStart w:id="884" w:name="_Toc476241665"/>
      <w:bookmarkEnd w:id="30"/>
      <w:bookmarkEnd w:id="31"/>
      <w:r w:rsidRPr="00F10391">
        <w:t>A</w:t>
      </w:r>
      <w:r w:rsidR="00E403D6" w:rsidRPr="00F10391">
        <w:t>ppendices</w:t>
      </w:r>
      <w:bookmarkEnd w:id="881"/>
      <w:bookmarkEnd w:id="882"/>
      <w:bookmarkEnd w:id="883"/>
      <w:bookmarkEnd w:id="884"/>
    </w:p>
    <w:p w14:paraId="11EF809F" w14:textId="77777777" w:rsidR="009E5B38" w:rsidRPr="00F10391" w:rsidRDefault="009E5B38" w:rsidP="00494A9A">
      <w:pPr>
        <w:rPr>
          <w:specVanish/>
        </w:rPr>
      </w:pPr>
      <w:bookmarkStart w:id="885" w:name="_Toc453595569"/>
      <w:bookmarkStart w:id="886" w:name="_Toc313187910"/>
      <w:bookmarkStart w:id="887" w:name="_Toc313619481"/>
    </w:p>
    <w:p w14:paraId="2C2621B1" w14:textId="77777777" w:rsidR="000C6044" w:rsidRPr="00F10391" w:rsidRDefault="00D22CE3" w:rsidP="0063065F">
      <w:pPr>
        <w:pStyle w:val="Heading2"/>
        <w:rPr>
          <w:vanish/>
          <w:specVanish/>
        </w:rPr>
      </w:pPr>
      <w:bookmarkStart w:id="888" w:name="_Toc476241666"/>
      <w:r w:rsidRPr="00F10391">
        <w:t>Appendix A:</w:t>
      </w:r>
      <w:r w:rsidR="000C6044" w:rsidRPr="00F10391">
        <w:t xml:space="preserve"> Ethics approval</w:t>
      </w:r>
      <w:bookmarkEnd w:id="885"/>
      <w:bookmarkEnd w:id="888"/>
    </w:p>
    <w:p w14:paraId="4DE73EAE" w14:textId="77777777" w:rsidR="00935794" w:rsidRPr="00F10391" w:rsidRDefault="00935794">
      <w:pPr>
        <w:rPr>
          <w:lang w:eastAsia="en-US"/>
        </w:rPr>
      </w:pPr>
      <w:r w:rsidRPr="00F10391">
        <w:rPr>
          <w:lang w:eastAsia="en-US"/>
        </w:rPr>
        <w:t xml:space="preserve"> </w:t>
      </w:r>
    </w:p>
    <w:p w14:paraId="3B5C8452" w14:textId="77777777" w:rsidR="007C5A74" w:rsidRPr="00F10391" w:rsidRDefault="007C5A74">
      <w:pPr>
        <w:rPr>
          <w:lang w:eastAsia="en-US"/>
        </w:rPr>
      </w:pPr>
    </w:p>
    <w:p w14:paraId="674D1D8C" w14:textId="77777777" w:rsidR="00455057" w:rsidRPr="00F10391" w:rsidRDefault="00556ADA">
      <w:pPr>
        <w:pStyle w:val="Heading3"/>
      </w:pPr>
      <w:bookmarkStart w:id="889" w:name="_Toc476241667"/>
      <w:r w:rsidRPr="00F10391">
        <w:t>Original ethics application</w:t>
      </w:r>
      <w:bookmarkEnd w:id="889"/>
    </w:p>
    <w:p w14:paraId="147362F2" w14:textId="77777777" w:rsidR="00DB57DA" w:rsidRPr="00F10391" w:rsidRDefault="00455057">
      <w:r w:rsidRPr="00F10391">
        <w:t>This section shows the original ethics application, wh</w:t>
      </w:r>
      <w:r w:rsidR="00F10391" w:rsidRPr="00F10391">
        <w:t>ich at the time applied only to</w:t>
      </w:r>
      <w:r w:rsidRPr="00F10391">
        <w:t xml:space="preserve"> the case study outlined in Chapter 6. It was approved in February 2012.</w:t>
      </w:r>
      <w:r w:rsidR="00B72DD4" w:rsidRPr="00F10391">
        <w:br w:type="page"/>
      </w:r>
      <w:r w:rsidR="00DB57DA" w:rsidRPr="00F10391">
        <w:rPr>
          <w:noProof/>
          <w:lang w:val="en-IE" w:eastAsia="en-IE"/>
        </w:rPr>
        <w:drawing>
          <wp:inline distT="0" distB="0" distL="0" distR="0" wp14:anchorId="723DD62C" wp14:editId="494E4C39">
            <wp:extent cx="5731510" cy="80968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8096885"/>
                    </a:xfrm>
                    <a:prstGeom prst="rect">
                      <a:avLst/>
                    </a:prstGeom>
                  </pic:spPr>
                </pic:pic>
              </a:graphicData>
            </a:graphic>
          </wp:inline>
        </w:drawing>
      </w:r>
    </w:p>
    <w:p w14:paraId="29A7A4A6" w14:textId="77777777" w:rsidR="00DB57DA" w:rsidRPr="00F10391" w:rsidRDefault="00DB57DA">
      <w:r w:rsidRPr="00F10391">
        <w:br w:type="page"/>
      </w:r>
    </w:p>
    <w:p w14:paraId="1F6439C4" w14:textId="77777777" w:rsidR="00DB57DA" w:rsidRPr="00F10391" w:rsidRDefault="00DB57DA">
      <w:r w:rsidRPr="00F10391">
        <w:rPr>
          <w:noProof/>
          <w:lang w:val="en-IE" w:eastAsia="en-IE"/>
        </w:rPr>
        <w:drawing>
          <wp:inline distT="0" distB="0" distL="0" distR="0" wp14:anchorId="5BCEF275" wp14:editId="2D3864D9">
            <wp:extent cx="5731510" cy="80968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8096885"/>
                    </a:xfrm>
                    <a:prstGeom prst="rect">
                      <a:avLst/>
                    </a:prstGeom>
                  </pic:spPr>
                </pic:pic>
              </a:graphicData>
            </a:graphic>
          </wp:inline>
        </w:drawing>
      </w:r>
    </w:p>
    <w:p w14:paraId="6308D64A" w14:textId="77777777" w:rsidR="00DB57DA" w:rsidRPr="00F10391" w:rsidRDefault="00DB57DA">
      <w:r w:rsidRPr="00F10391">
        <w:br w:type="page"/>
      </w:r>
    </w:p>
    <w:p w14:paraId="6511B6AA" w14:textId="77777777" w:rsidR="00DB57DA" w:rsidRPr="00F10391" w:rsidRDefault="00DB57DA">
      <w:r w:rsidRPr="00F10391">
        <w:rPr>
          <w:noProof/>
          <w:lang w:val="en-IE" w:eastAsia="en-IE"/>
        </w:rPr>
        <w:drawing>
          <wp:inline distT="0" distB="0" distL="0" distR="0" wp14:anchorId="67819359" wp14:editId="70FEB836">
            <wp:extent cx="5731510" cy="80968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8096885"/>
                    </a:xfrm>
                    <a:prstGeom prst="rect">
                      <a:avLst/>
                    </a:prstGeom>
                  </pic:spPr>
                </pic:pic>
              </a:graphicData>
            </a:graphic>
          </wp:inline>
        </w:drawing>
      </w:r>
    </w:p>
    <w:p w14:paraId="7399732B" w14:textId="77777777" w:rsidR="00DB57DA" w:rsidRPr="00F10391" w:rsidRDefault="00DB57DA">
      <w:r w:rsidRPr="00F10391">
        <w:rPr>
          <w:noProof/>
          <w:lang w:val="en-IE" w:eastAsia="en-IE"/>
        </w:rPr>
        <w:drawing>
          <wp:inline distT="0" distB="0" distL="0" distR="0" wp14:anchorId="76EDEB9F" wp14:editId="20752448">
            <wp:extent cx="5731510" cy="809688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8096885"/>
                    </a:xfrm>
                    <a:prstGeom prst="rect">
                      <a:avLst/>
                    </a:prstGeom>
                  </pic:spPr>
                </pic:pic>
              </a:graphicData>
            </a:graphic>
          </wp:inline>
        </w:drawing>
      </w:r>
    </w:p>
    <w:p w14:paraId="60E42989" w14:textId="77777777" w:rsidR="00DB57DA" w:rsidRPr="00F10391" w:rsidRDefault="00DB57DA">
      <w:r w:rsidRPr="00F10391">
        <w:rPr>
          <w:noProof/>
          <w:lang w:val="en-IE" w:eastAsia="en-IE"/>
        </w:rPr>
        <w:drawing>
          <wp:inline distT="0" distB="0" distL="0" distR="0" wp14:anchorId="48FD98D3" wp14:editId="43DCB91C">
            <wp:extent cx="5731510" cy="809688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8096885"/>
                    </a:xfrm>
                    <a:prstGeom prst="rect">
                      <a:avLst/>
                    </a:prstGeom>
                  </pic:spPr>
                </pic:pic>
              </a:graphicData>
            </a:graphic>
          </wp:inline>
        </w:drawing>
      </w:r>
      <w:r w:rsidRPr="00F10391">
        <w:rPr>
          <w:noProof/>
          <w:lang w:val="en-IE" w:eastAsia="en-IE"/>
        </w:rPr>
        <w:drawing>
          <wp:inline distT="0" distB="0" distL="0" distR="0" wp14:anchorId="05B63494" wp14:editId="3A0BB73B">
            <wp:extent cx="5731510" cy="809688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8096885"/>
                    </a:xfrm>
                    <a:prstGeom prst="rect">
                      <a:avLst/>
                    </a:prstGeom>
                  </pic:spPr>
                </pic:pic>
              </a:graphicData>
            </a:graphic>
          </wp:inline>
        </w:drawing>
      </w:r>
      <w:r w:rsidRPr="00F10391">
        <w:rPr>
          <w:noProof/>
          <w:lang w:val="en-IE" w:eastAsia="en-IE"/>
        </w:rPr>
        <w:drawing>
          <wp:inline distT="0" distB="0" distL="0" distR="0" wp14:anchorId="6E812560" wp14:editId="6B83D6FF">
            <wp:extent cx="5731510" cy="80968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8096885"/>
                    </a:xfrm>
                    <a:prstGeom prst="rect">
                      <a:avLst/>
                    </a:prstGeom>
                  </pic:spPr>
                </pic:pic>
              </a:graphicData>
            </a:graphic>
          </wp:inline>
        </w:drawing>
      </w:r>
    </w:p>
    <w:p w14:paraId="2C1A62C8" w14:textId="77777777" w:rsidR="00DB57DA" w:rsidRPr="00F10391" w:rsidRDefault="00DB57DA">
      <w:r w:rsidRPr="00F10391">
        <w:rPr>
          <w:noProof/>
          <w:lang w:val="en-IE" w:eastAsia="en-IE"/>
        </w:rPr>
        <w:drawing>
          <wp:inline distT="0" distB="0" distL="0" distR="0" wp14:anchorId="3BDBF00B" wp14:editId="7F94B620">
            <wp:extent cx="5731510" cy="809688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8096885"/>
                    </a:xfrm>
                    <a:prstGeom prst="rect">
                      <a:avLst/>
                    </a:prstGeom>
                  </pic:spPr>
                </pic:pic>
              </a:graphicData>
            </a:graphic>
          </wp:inline>
        </w:drawing>
      </w:r>
    </w:p>
    <w:p w14:paraId="0B4C6FB9" w14:textId="77777777" w:rsidR="00455057" w:rsidRPr="00F10391" w:rsidRDefault="00455057"/>
    <w:p w14:paraId="0E66B040" w14:textId="77777777" w:rsidR="00455057" w:rsidRPr="00F10391" w:rsidRDefault="00455057"/>
    <w:p w14:paraId="148448E4" w14:textId="77777777" w:rsidR="00455057" w:rsidRPr="00F10391" w:rsidRDefault="00455057">
      <w:pPr>
        <w:pStyle w:val="Heading3"/>
      </w:pPr>
      <w:bookmarkStart w:id="890" w:name="_Toc476241668"/>
      <w:r w:rsidRPr="00F10391">
        <w:t>Notice of amendment to ethics application</w:t>
      </w:r>
      <w:bookmarkEnd w:id="890"/>
    </w:p>
    <w:p w14:paraId="31ED0ACD" w14:textId="77777777" w:rsidR="00455057" w:rsidRPr="00F10391" w:rsidRDefault="00455057">
      <w:r w:rsidRPr="00F10391">
        <w:t>This section shows the application to amend and extend the date of the prior ethics application so that it would also be suitable for use in the case study in described in Chapter 7. It was approved in December 2012.</w:t>
      </w:r>
    </w:p>
    <w:p w14:paraId="6DC4283F" w14:textId="77777777" w:rsidR="00DB57DA" w:rsidRPr="00F10391" w:rsidRDefault="00DB57DA">
      <w:r w:rsidRPr="00F10391">
        <w:rPr>
          <w:noProof/>
          <w:lang w:val="en-IE" w:eastAsia="en-IE"/>
        </w:rPr>
        <w:drawing>
          <wp:inline distT="0" distB="0" distL="0" distR="0" wp14:anchorId="071BEB8E" wp14:editId="552858DD">
            <wp:extent cx="5731510" cy="80968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8096885"/>
                    </a:xfrm>
                    <a:prstGeom prst="rect">
                      <a:avLst/>
                    </a:prstGeom>
                  </pic:spPr>
                </pic:pic>
              </a:graphicData>
            </a:graphic>
          </wp:inline>
        </w:drawing>
      </w:r>
      <w:r w:rsidRPr="00F10391">
        <w:rPr>
          <w:noProof/>
          <w:lang w:val="en-IE" w:eastAsia="en-IE"/>
        </w:rPr>
        <w:drawing>
          <wp:inline distT="0" distB="0" distL="0" distR="0" wp14:anchorId="07E5EB8F" wp14:editId="1A8A7530">
            <wp:extent cx="5731510" cy="80968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8096885"/>
                    </a:xfrm>
                    <a:prstGeom prst="rect">
                      <a:avLst/>
                    </a:prstGeom>
                  </pic:spPr>
                </pic:pic>
              </a:graphicData>
            </a:graphic>
          </wp:inline>
        </w:drawing>
      </w:r>
      <w:r w:rsidRPr="00F10391">
        <w:rPr>
          <w:noProof/>
          <w:lang w:val="en-IE" w:eastAsia="en-IE"/>
        </w:rPr>
        <w:drawing>
          <wp:inline distT="0" distB="0" distL="0" distR="0" wp14:anchorId="4CBE7AAB" wp14:editId="4274CFDB">
            <wp:extent cx="5731510" cy="80968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8096885"/>
                    </a:xfrm>
                    <a:prstGeom prst="rect">
                      <a:avLst/>
                    </a:prstGeom>
                  </pic:spPr>
                </pic:pic>
              </a:graphicData>
            </a:graphic>
          </wp:inline>
        </w:drawing>
      </w:r>
    </w:p>
    <w:p w14:paraId="1948E78F" w14:textId="77777777" w:rsidR="00C333BF" w:rsidRPr="00F10391" w:rsidRDefault="00DB57DA">
      <w:r w:rsidRPr="00F10391">
        <w:rPr>
          <w:noProof/>
          <w:lang w:val="en-IE" w:eastAsia="en-IE"/>
        </w:rPr>
        <w:drawing>
          <wp:inline distT="0" distB="0" distL="0" distR="0" wp14:anchorId="1656E751" wp14:editId="1EF4D157">
            <wp:extent cx="5731510" cy="80968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8096885"/>
                    </a:xfrm>
                    <a:prstGeom prst="rect">
                      <a:avLst/>
                    </a:prstGeom>
                  </pic:spPr>
                </pic:pic>
              </a:graphicData>
            </a:graphic>
          </wp:inline>
        </w:drawing>
      </w:r>
    </w:p>
    <w:p w14:paraId="1CE8175E" w14:textId="77777777" w:rsidR="00C333BF" w:rsidRPr="00F10391" w:rsidRDefault="00C333BF">
      <w:pPr>
        <w:sectPr w:rsidR="00C333BF" w:rsidRPr="00F10391" w:rsidSect="003569DA">
          <w:footerReference w:type="default" r:id="rId78"/>
          <w:type w:val="continuous"/>
          <w:pgSz w:w="11906" w:h="16838" w:code="9"/>
          <w:pgMar w:top="1440" w:right="1440" w:bottom="1440" w:left="1440" w:header="708" w:footer="708" w:gutter="0"/>
          <w:cols w:space="708"/>
          <w:docGrid w:linePitch="360"/>
        </w:sectPr>
      </w:pPr>
    </w:p>
    <w:p w14:paraId="0ED53064" w14:textId="77777777" w:rsidR="002376A5" w:rsidRPr="00F10391" w:rsidRDefault="00E403D6">
      <w:pPr>
        <w:pStyle w:val="Heading2"/>
      </w:pPr>
      <w:bookmarkStart w:id="891" w:name="_Toc453595570"/>
      <w:bookmarkStart w:id="892" w:name="_Toc476241669"/>
      <w:r w:rsidRPr="00F10391">
        <w:t xml:space="preserve">Appendix </w:t>
      </w:r>
      <w:r w:rsidR="00D22CE3" w:rsidRPr="00F10391">
        <w:t>B</w:t>
      </w:r>
      <w:r w:rsidRPr="00F10391">
        <w:t>: Complete list of papers found in 2011 search and the point at which they were excluded</w:t>
      </w:r>
      <w:bookmarkEnd w:id="886"/>
      <w:bookmarkEnd w:id="887"/>
      <w:bookmarkEnd w:id="891"/>
      <w:bookmarkEnd w:id="892"/>
    </w:p>
    <w:p w14:paraId="23AE2B7F" w14:textId="77777777" w:rsidR="00764233" w:rsidRPr="00F10391" w:rsidRDefault="00764233"/>
    <w:tbl>
      <w:tblPr>
        <w:tblW w:w="14351" w:type="dxa"/>
        <w:tblInd w:w="-176" w:type="dxa"/>
        <w:tblLayout w:type="fixed"/>
        <w:tblLook w:val="04A0" w:firstRow="1" w:lastRow="0" w:firstColumn="1" w:lastColumn="0" w:noHBand="0" w:noVBand="1"/>
      </w:tblPr>
      <w:tblGrid>
        <w:gridCol w:w="3711"/>
        <w:gridCol w:w="2475"/>
        <w:gridCol w:w="2475"/>
        <w:gridCol w:w="919"/>
        <w:gridCol w:w="794"/>
        <w:gridCol w:w="974"/>
        <w:gridCol w:w="707"/>
        <w:gridCol w:w="707"/>
        <w:gridCol w:w="794"/>
        <w:gridCol w:w="795"/>
      </w:tblGrid>
      <w:tr w:rsidR="00E403D6" w:rsidRPr="00F10391" w14:paraId="12A5294A" w14:textId="77777777" w:rsidTr="00E403D6">
        <w:trPr>
          <w:cantSplit/>
          <w:trHeight w:val="425"/>
          <w:tblHeader/>
        </w:trPr>
        <w:tc>
          <w:tcPr>
            <w:tcW w:w="37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75F55" w14:textId="77777777" w:rsidR="00E403D6" w:rsidRPr="00E156D5" w:rsidRDefault="00E403D6">
            <w:pPr>
              <w:rPr>
                <w:b/>
                <w:lang w:eastAsia="en-GB"/>
              </w:rPr>
            </w:pPr>
            <w:r w:rsidRPr="00E156D5">
              <w:rPr>
                <w:b/>
              </w:rPr>
              <w:br w:type="page"/>
            </w:r>
            <w:r w:rsidRPr="00E156D5">
              <w:rPr>
                <w:b/>
                <w:lang w:eastAsia="en-GB"/>
              </w:rPr>
              <w:t>Title</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5AA1228F" w14:textId="77777777" w:rsidR="00E403D6" w:rsidRPr="00E156D5" w:rsidRDefault="00E403D6">
            <w:pPr>
              <w:rPr>
                <w:b/>
                <w:lang w:eastAsia="en-GB"/>
              </w:rPr>
            </w:pPr>
            <w:r w:rsidRPr="00E156D5">
              <w:rPr>
                <w:b/>
                <w:lang w:eastAsia="en-GB"/>
              </w:rPr>
              <w:t>Authors</w:t>
            </w:r>
          </w:p>
        </w:tc>
        <w:tc>
          <w:tcPr>
            <w:tcW w:w="2475" w:type="dxa"/>
            <w:tcBorders>
              <w:top w:val="single" w:sz="4" w:space="0" w:color="auto"/>
              <w:left w:val="nil"/>
              <w:bottom w:val="single" w:sz="4" w:space="0" w:color="auto"/>
              <w:right w:val="single" w:sz="4" w:space="0" w:color="auto"/>
            </w:tcBorders>
            <w:shd w:val="clear" w:color="auto" w:fill="auto"/>
            <w:vAlign w:val="bottom"/>
            <w:hideMark/>
          </w:tcPr>
          <w:p w14:paraId="72B7AA54" w14:textId="77777777" w:rsidR="00E403D6" w:rsidRPr="00E156D5" w:rsidRDefault="00E403D6">
            <w:pPr>
              <w:rPr>
                <w:b/>
                <w:lang w:eastAsia="en-GB"/>
              </w:rPr>
            </w:pPr>
            <w:r w:rsidRPr="00E156D5">
              <w:rPr>
                <w:b/>
                <w:lang w:eastAsia="en-GB"/>
              </w:rPr>
              <w:t>Reference</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14:paraId="0B0E4551" w14:textId="77777777" w:rsidR="00E403D6" w:rsidRPr="00E156D5" w:rsidRDefault="00E403D6">
            <w:pPr>
              <w:rPr>
                <w:b/>
                <w:lang w:eastAsia="en-GB"/>
              </w:rPr>
            </w:pPr>
            <w:r w:rsidRPr="00E156D5">
              <w:rPr>
                <w:b/>
                <w:lang w:eastAsia="en-GB"/>
              </w:rPr>
              <w:t>Source</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3D85DE03" w14:textId="77777777" w:rsidR="00E403D6" w:rsidRPr="00E156D5" w:rsidRDefault="00E403D6">
            <w:pPr>
              <w:rPr>
                <w:b/>
                <w:lang w:eastAsia="en-GB"/>
              </w:rPr>
            </w:pPr>
            <w:r w:rsidRPr="00E156D5">
              <w:rPr>
                <w:b/>
                <w:lang w:eastAsia="en-GB"/>
              </w:rPr>
              <w:t>Duplicate</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3A2EBA9" w14:textId="77777777" w:rsidR="00E403D6" w:rsidRPr="00E156D5" w:rsidRDefault="00E403D6">
            <w:pPr>
              <w:rPr>
                <w:b/>
                <w:lang w:eastAsia="en-GB"/>
              </w:rPr>
            </w:pPr>
            <w:r w:rsidRPr="00E156D5">
              <w:rPr>
                <w:b/>
                <w:lang w:eastAsia="en-GB"/>
              </w:rPr>
              <w:t>Could be located</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2C3792AE" w14:textId="77777777" w:rsidR="00E403D6" w:rsidRPr="00E156D5" w:rsidRDefault="00E403D6">
            <w:pPr>
              <w:rPr>
                <w:b/>
                <w:lang w:eastAsia="en-GB"/>
              </w:rPr>
            </w:pPr>
            <w:r w:rsidRPr="00E156D5">
              <w:rPr>
                <w:b/>
                <w:lang w:eastAsia="en-GB"/>
              </w:rPr>
              <w:t>Incl. after title</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6B02E058" w14:textId="77777777" w:rsidR="00E403D6" w:rsidRPr="00E156D5" w:rsidRDefault="00E403D6">
            <w:pPr>
              <w:rPr>
                <w:b/>
                <w:lang w:eastAsia="en-GB"/>
              </w:rPr>
            </w:pPr>
            <w:r w:rsidRPr="00E156D5">
              <w:rPr>
                <w:b/>
                <w:lang w:eastAsia="en-GB"/>
              </w:rPr>
              <w:t>Incl. after abs.</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68658694" w14:textId="77777777" w:rsidR="00E403D6" w:rsidRPr="00E156D5" w:rsidRDefault="00E403D6">
            <w:pPr>
              <w:rPr>
                <w:b/>
                <w:lang w:eastAsia="en-GB"/>
              </w:rPr>
            </w:pPr>
            <w:r w:rsidRPr="00E156D5">
              <w:rPr>
                <w:b/>
                <w:lang w:eastAsia="en-GB"/>
              </w:rPr>
              <w:t>Incl. after full text</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19E8CA4A" w14:textId="77777777" w:rsidR="00E403D6" w:rsidRPr="00E156D5" w:rsidRDefault="00E403D6">
            <w:pPr>
              <w:rPr>
                <w:b/>
                <w:lang w:eastAsia="en-GB"/>
              </w:rPr>
            </w:pPr>
            <w:r w:rsidRPr="00E156D5">
              <w:rPr>
                <w:b/>
                <w:lang w:eastAsia="en-GB"/>
              </w:rPr>
              <w:t>Included</w:t>
            </w:r>
          </w:p>
        </w:tc>
      </w:tr>
      <w:tr w:rsidR="00E403D6" w:rsidRPr="00F10391" w14:paraId="415B0AA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52DBC65" w14:textId="77777777" w:rsidR="00E403D6" w:rsidRPr="00F10391" w:rsidRDefault="00E403D6" w:rsidP="00494A9A">
            <w:pPr>
              <w:rPr>
                <w:lang w:eastAsia="en-GB"/>
              </w:rPr>
            </w:pPr>
            <w:r w:rsidRPr="00F10391">
              <w:rPr>
                <w:lang w:eastAsia="en-GB"/>
              </w:rPr>
              <w:t>A combined MOIP-MCDA approach to building and screening atmospheric pollution control strategies in urban regions</w:t>
            </w:r>
          </w:p>
        </w:tc>
        <w:tc>
          <w:tcPr>
            <w:tcW w:w="2475" w:type="dxa"/>
            <w:tcBorders>
              <w:top w:val="nil"/>
              <w:left w:val="nil"/>
              <w:bottom w:val="single" w:sz="4" w:space="0" w:color="auto"/>
              <w:right w:val="single" w:sz="4" w:space="0" w:color="auto"/>
            </w:tcBorders>
            <w:shd w:val="clear" w:color="auto" w:fill="auto"/>
            <w:vAlign w:val="center"/>
            <w:hideMark/>
          </w:tcPr>
          <w:p w14:paraId="26A15798" w14:textId="77777777" w:rsidR="00E403D6" w:rsidRPr="00F10391" w:rsidRDefault="00E403D6" w:rsidP="00490B5D">
            <w:pPr>
              <w:rPr>
                <w:lang w:eastAsia="en-GB"/>
              </w:rPr>
            </w:pPr>
            <w:r w:rsidRPr="00F10391">
              <w:rPr>
                <w:lang w:eastAsia="en-GB"/>
              </w:rPr>
              <w:t>Mavrotas G, Ziomas IC, Diakouaki D</w:t>
            </w:r>
          </w:p>
        </w:tc>
        <w:tc>
          <w:tcPr>
            <w:tcW w:w="2475" w:type="dxa"/>
            <w:tcBorders>
              <w:top w:val="nil"/>
              <w:left w:val="nil"/>
              <w:bottom w:val="single" w:sz="4" w:space="0" w:color="auto"/>
              <w:right w:val="single" w:sz="4" w:space="0" w:color="auto"/>
            </w:tcBorders>
            <w:shd w:val="clear" w:color="auto" w:fill="auto"/>
            <w:vAlign w:val="center"/>
            <w:hideMark/>
          </w:tcPr>
          <w:p w14:paraId="16AA2116" w14:textId="77777777" w:rsidR="00E403D6" w:rsidRPr="00F10391" w:rsidRDefault="00E403D6">
            <w:pPr>
              <w:rPr>
                <w:lang w:eastAsia="en-GB"/>
              </w:rPr>
            </w:pPr>
            <w:r w:rsidRPr="00F10391">
              <w:rPr>
                <w:lang w:eastAsia="en-GB"/>
              </w:rPr>
              <w:t>Environmental management 38 (1):149-160 2006</w:t>
            </w:r>
          </w:p>
        </w:tc>
        <w:tc>
          <w:tcPr>
            <w:tcW w:w="919" w:type="dxa"/>
            <w:tcBorders>
              <w:top w:val="nil"/>
              <w:left w:val="nil"/>
              <w:bottom w:val="single" w:sz="4" w:space="0" w:color="auto"/>
              <w:right w:val="single" w:sz="4" w:space="0" w:color="auto"/>
            </w:tcBorders>
            <w:shd w:val="clear" w:color="auto" w:fill="auto"/>
            <w:noWrap/>
            <w:vAlign w:val="center"/>
            <w:hideMark/>
          </w:tcPr>
          <w:p w14:paraId="17C40BA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700DF0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77856E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EAA831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E747C93"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45DBDE1B"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EE48F5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9C9E05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CB404DA" w14:textId="77777777" w:rsidR="00E403D6" w:rsidRPr="00F10391" w:rsidRDefault="00E403D6" w:rsidP="00494A9A">
            <w:pPr>
              <w:rPr>
                <w:lang w:eastAsia="en-GB"/>
              </w:rPr>
            </w:pPr>
            <w:r w:rsidRPr="00F10391">
              <w:rPr>
                <w:lang w:eastAsia="en-GB"/>
              </w:rPr>
              <w:t>A Comparative Approach for Ranking Contaminated Sites Based on the Risk Assessment Paradigm Using Fuzzy PROMETHEE</w:t>
            </w:r>
          </w:p>
        </w:tc>
        <w:tc>
          <w:tcPr>
            <w:tcW w:w="2475" w:type="dxa"/>
            <w:tcBorders>
              <w:top w:val="nil"/>
              <w:left w:val="nil"/>
              <w:bottom w:val="single" w:sz="4" w:space="0" w:color="auto"/>
              <w:right w:val="single" w:sz="4" w:space="0" w:color="auto"/>
            </w:tcBorders>
            <w:shd w:val="clear" w:color="auto" w:fill="auto"/>
            <w:vAlign w:val="center"/>
            <w:hideMark/>
          </w:tcPr>
          <w:p w14:paraId="012AFFC8" w14:textId="77777777" w:rsidR="00E403D6" w:rsidRPr="00E156D5" w:rsidRDefault="00E403D6" w:rsidP="00490B5D">
            <w:pPr>
              <w:rPr>
                <w:lang w:eastAsia="en-GB"/>
              </w:rPr>
            </w:pPr>
            <w:r w:rsidRPr="00E156D5">
              <w:rPr>
                <w:lang w:eastAsia="en-GB"/>
              </w:rPr>
              <w:t>Zhang K, Kluck C, Achari G</w:t>
            </w:r>
          </w:p>
        </w:tc>
        <w:tc>
          <w:tcPr>
            <w:tcW w:w="2475" w:type="dxa"/>
            <w:tcBorders>
              <w:top w:val="nil"/>
              <w:left w:val="nil"/>
              <w:bottom w:val="single" w:sz="4" w:space="0" w:color="auto"/>
              <w:right w:val="single" w:sz="4" w:space="0" w:color="auto"/>
            </w:tcBorders>
            <w:shd w:val="clear" w:color="auto" w:fill="auto"/>
            <w:vAlign w:val="center"/>
            <w:hideMark/>
          </w:tcPr>
          <w:p w14:paraId="69A3544D" w14:textId="77777777" w:rsidR="00E403D6" w:rsidRPr="00F10391" w:rsidRDefault="00E403D6">
            <w:pPr>
              <w:rPr>
                <w:lang w:eastAsia="en-GB"/>
              </w:rPr>
            </w:pPr>
            <w:r w:rsidRPr="00F10391">
              <w:rPr>
                <w:lang w:eastAsia="en-GB"/>
              </w:rPr>
              <w:t>Environmental Management 44 (5):952-967 Art No. 2009</w:t>
            </w:r>
          </w:p>
        </w:tc>
        <w:tc>
          <w:tcPr>
            <w:tcW w:w="919" w:type="dxa"/>
            <w:tcBorders>
              <w:top w:val="nil"/>
              <w:left w:val="nil"/>
              <w:bottom w:val="single" w:sz="4" w:space="0" w:color="auto"/>
              <w:right w:val="single" w:sz="4" w:space="0" w:color="auto"/>
            </w:tcBorders>
            <w:shd w:val="clear" w:color="auto" w:fill="auto"/>
            <w:noWrap/>
            <w:vAlign w:val="center"/>
            <w:hideMark/>
          </w:tcPr>
          <w:p w14:paraId="39E5F41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5D25E7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27FC17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A2DED2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EF1270C"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0473E4AF"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D18C1A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FDB2FE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0B1085C" w14:textId="77777777" w:rsidR="00E403D6" w:rsidRPr="00F10391" w:rsidRDefault="00E403D6" w:rsidP="00494A9A">
            <w:pPr>
              <w:rPr>
                <w:lang w:eastAsia="en-GB"/>
              </w:rPr>
            </w:pPr>
            <w:r w:rsidRPr="00F10391">
              <w:rPr>
                <w:lang w:eastAsia="en-GB"/>
              </w:rPr>
              <w:t>A comparative study of the elemental composition of the exhaust emissions of cars powered by liquefied petroleum gas and unleaded petrol</w:t>
            </w:r>
          </w:p>
        </w:tc>
        <w:tc>
          <w:tcPr>
            <w:tcW w:w="2475" w:type="dxa"/>
            <w:tcBorders>
              <w:top w:val="nil"/>
              <w:left w:val="nil"/>
              <w:bottom w:val="single" w:sz="4" w:space="0" w:color="auto"/>
              <w:right w:val="single" w:sz="4" w:space="0" w:color="auto"/>
            </w:tcBorders>
            <w:shd w:val="clear" w:color="auto" w:fill="auto"/>
            <w:vAlign w:val="center"/>
            <w:hideMark/>
          </w:tcPr>
          <w:p w14:paraId="229A6A38" w14:textId="77777777" w:rsidR="00E403D6" w:rsidRPr="00F10391" w:rsidRDefault="00E403D6" w:rsidP="00490B5D">
            <w:pPr>
              <w:rPr>
                <w:lang w:eastAsia="en-GB"/>
              </w:rPr>
            </w:pPr>
            <w:r w:rsidRPr="00F10391">
              <w:rPr>
                <w:lang w:eastAsia="en-GB"/>
              </w:rPr>
              <w:t>Lim MCH, Ayoko GA, Morawska L, Ristovski ZD, Jayaratne ER, Kokot S</w:t>
            </w:r>
          </w:p>
        </w:tc>
        <w:tc>
          <w:tcPr>
            <w:tcW w:w="2475" w:type="dxa"/>
            <w:tcBorders>
              <w:top w:val="nil"/>
              <w:left w:val="nil"/>
              <w:bottom w:val="single" w:sz="4" w:space="0" w:color="auto"/>
              <w:right w:val="single" w:sz="4" w:space="0" w:color="auto"/>
            </w:tcBorders>
            <w:shd w:val="clear" w:color="auto" w:fill="auto"/>
            <w:vAlign w:val="center"/>
            <w:hideMark/>
          </w:tcPr>
          <w:p w14:paraId="18E9B40C" w14:textId="77777777" w:rsidR="00E403D6" w:rsidRPr="00F10391" w:rsidRDefault="00E403D6">
            <w:pPr>
              <w:rPr>
                <w:lang w:eastAsia="en-GB"/>
              </w:rPr>
            </w:pPr>
            <w:r w:rsidRPr="00F10391">
              <w:rPr>
                <w:lang w:eastAsia="en-GB"/>
              </w:rPr>
              <w:t>Atmospheric environment 40 (17):3111-3122 2006</w:t>
            </w:r>
          </w:p>
        </w:tc>
        <w:tc>
          <w:tcPr>
            <w:tcW w:w="919" w:type="dxa"/>
            <w:tcBorders>
              <w:top w:val="nil"/>
              <w:left w:val="nil"/>
              <w:bottom w:val="single" w:sz="4" w:space="0" w:color="auto"/>
              <w:right w:val="single" w:sz="4" w:space="0" w:color="auto"/>
            </w:tcBorders>
            <w:shd w:val="clear" w:color="auto" w:fill="auto"/>
            <w:noWrap/>
            <w:vAlign w:val="center"/>
            <w:hideMark/>
          </w:tcPr>
          <w:p w14:paraId="58ACFD32"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7F7A5EA2"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48D71E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1585B5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5B565C3"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1B0DAA0E"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7641A81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A89730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6C8D8BB" w14:textId="77777777" w:rsidR="00E403D6" w:rsidRPr="00F10391" w:rsidRDefault="00E403D6" w:rsidP="00494A9A">
            <w:pPr>
              <w:rPr>
                <w:lang w:eastAsia="en-GB"/>
              </w:rPr>
            </w:pPr>
            <w:r w:rsidRPr="00F10391">
              <w:rPr>
                <w:lang w:eastAsia="en-GB"/>
              </w:rPr>
              <w:t>A decision support tool to prioritize risk management options for contaminated sites</w:t>
            </w:r>
          </w:p>
        </w:tc>
        <w:tc>
          <w:tcPr>
            <w:tcW w:w="2475" w:type="dxa"/>
            <w:tcBorders>
              <w:top w:val="nil"/>
              <w:left w:val="nil"/>
              <w:bottom w:val="single" w:sz="4" w:space="0" w:color="auto"/>
              <w:right w:val="single" w:sz="4" w:space="0" w:color="auto"/>
            </w:tcBorders>
            <w:shd w:val="clear" w:color="auto" w:fill="auto"/>
            <w:vAlign w:val="center"/>
            <w:hideMark/>
          </w:tcPr>
          <w:p w14:paraId="022F396E" w14:textId="77777777" w:rsidR="00E403D6" w:rsidRPr="00F10391" w:rsidRDefault="00E403D6" w:rsidP="00490B5D">
            <w:pPr>
              <w:rPr>
                <w:lang w:eastAsia="en-GB"/>
              </w:rPr>
            </w:pPr>
            <w:r w:rsidRPr="00F10391">
              <w:rPr>
                <w:lang w:eastAsia="en-GB"/>
              </w:rPr>
              <w:t>Sorvari J, Seppala J</w:t>
            </w:r>
          </w:p>
        </w:tc>
        <w:tc>
          <w:tcPr>
            <w:tcW w:w="2475" w:type="dxa"/>
            <w:tcBorders>
              <w:top w:val="nil"/>
              <w:left w:val="nil"/>
              <w:bottom w:val="single" w:sz="4" w:space="0" w:color="auto"/>
              <w:right w:val="single" w:sz="4" w:space="0" w:color="auto"/>
            </w:tcBorders>
            <w:shd w:val="clear" w:color="auto" w:fill="auto"/>
            <w:vAlign w:val="center"/>
            <w:hideMark/>
          </w:tcPr>
          <w:p w14:paraId="68BAECFA" w14:textId="77777777" w:rsidR="00E403D6" w:rsidRPr="00F10391" w:rsidRDefault="00E403D6">
            <w:pPr>
              <w:rPr>
                <w:lang w:eastAsia="en-GB"/>
              </w:rPr>
            </w:pPr>
            <w:r w:rsidRPr="00F10391">
              <w:rPr>
                <w:lang w:eastAsia="en-GB"/>
              </w:rPr>
              <w:t>Science of the total environment 408 (8):1786-1799 2010</w:t>
            </w:r>
          </w:p>
        </w:tc>
        <w:tc>
          <w:tcPr>
            <w:tcW w:w="919" w:type="dxa"/>
            <w:tcBorders>
              <w:top w:val="nil"/>
              <w:left w:val="nil"/>
              <w:bottom w:val="single" w:sz="4" w:space="0" w:color="auto"/>
              <w:right w:val="single" w:sz="4" w:space="0" w:color="auto"/>
            </w:tcBorders>
            <w:shd w:val="clear" w:color="auto" w:fill="auto"/>
            <w:noWrap/>
            <w:vAlign w:val="center"/>
            <w:hideMark/>
          </w:tcPr>
          <w:p w14:paraId="66221F9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623D75A"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809613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AE2C2A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851AA46"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FFE2F1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560B84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1D98A59"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60F809B" w14:textId="77777777" w:rsidR="00E403D6" w:rsidRPr="00F10391" w:rsidRDefault="00E403D6" w:rsidP="00494A9A">
            <w:pPr>
              <w:rPr>
                <w:lang w:eastAsia="en-GB"/>
              </w:rPr>
            </w:pPr>
            <w:r w:rsidRPr="00F10391">
              <w:rPr>
                <w:lang w:eastAsia="en-GB"/>
              </w:rPr>
              <w:t>A fuzzy MCDM framework for the environmental pollution potential of industries focusing on air pollution</w:t>
            </w:r>
          </w:p>
        </w:tc>
        <w:tc>
          <w:tcPr>
            <w:tcW w:w="2475" w:type="dxa"/>
            <w:tcBorders>
              <w:top w:val="nil"/>
              <w:left w:val="nil"/>
              <w:bottom w:val="single" w:sz="4" w:space="0" w:color="auto"/>
              <w:right w:val="single" w:sz="4" w:space="0" w:color="auto"/>
            </w:tcBorders>
            <w:shd w:val="clear" w:color="auto" w:fill="auto"/>
            <w:vAlign w:val="center"/>
            <w:hideMark/>
          </w:tcPr>
          <w:p w14:paraId="0BC58DB5" w14:textId="77777777" w:rsidR="00E403D6" w:rsidRPr="00F10391" w:rsidRDefault="00E403D6" w:rsidP="00490B5D">
            <w:pPr>
              <w:rPr>
                <w:lang w:eastAsia="en-GB"/>
              </w:rPr>
            </w:pPr>
            <w:r w:rsidRPr="00F10391">
              <w:rPr>
                <w:lang w:eastAsia="en-GB"/>
              </w:rPr>
              <w:t>Lad RK, Christian RA, Deshpande AW</w:t>
            </w:r>
          </w:p>
        </w:tc>
        <w:tc>
          <w:tcPr>
            <w:tcW w:w="2475" w:type="dxa"/>
            <w:tcBorders>
              <w:top w:val="nil"/>
              <w:left w:val="nil"/>
              <w:bottom w:val="single" w:sz="4" w:space="0" w:color="auto"/>
              <w:right w:val="single" w:sz="4" w:space="0" w:color="auto"/>
            </w:tcBorders>
            <w:shd w:val="clear" w:color="auto" w:fill="auto"/>
            <w:vAlign w:val="center"/>
            <w:hideMark/>
          </w:tcPr>
          <w:p w14:paraId="34DA1299" w14:textId="77777777" w:rsidR="00E403D6" w:rsidRPr="00F10391" w:rsidRDefault="00E403D6">
            <w:pPr>
              <w:rPr>
                <w:lang w:eastAsia="en-GB"/>
              </w:rPr>
            </w:pPr>
            <w:r w:rsidRPr="00F10391">
              <w:rPr>
                <w:lang w:eastAsia="en-GB"/>
              </w:rPr>
              <w:t>Air Pollution XVI, Sixteenth International Conference on Modelling, Monitoring and Management of Air Pollution, 2008</w:t>
            </w:r>
          </w:p>
        </w:tc>
        <w:tc>
          <w:tcPr>
            <w:tcW w:w="919" w:type="dxa"/>
            <w:tcBorders>
              <w:top w:val="nil"/>
              <w:left w:val="nil"/>
              <w:bottom w:val="single" w:sz="4" w:space="0" w:color="auto"/>
              <w:right w:val="single" w:sz="4" w:space="0" w:color="auto"/>
            </w:tcBorders>
            <w:shd w:val="clear" w:color="auto" w:fill="auto"/>
            <w:noWrap/>
            <w:vAlign w:val="center"/>
            <w:hideMark/>
          </w:tcPr>
          <w:p w14:paraId="2D085A1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475DEE8"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8F531F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18B8A3B"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4142D2AC"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B98F723"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64DCDB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75CC9D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19D39E5" w14:textId="77777777" w:rsidR="00E403D6" w:rsidRPr="00F10391" w:rsidRDefault="00E403D6" w:rsidP="00494A9A">
            <w:pPr>
              <w:rPr>
                <w:lang w:eastAsia="en-GB"/>
              </w:rPr>
            </w:pPr>
            <w:r w:rsidRPr="00F10391">
              <w:rPr>
                <w:lang w:eastAsia="en-GB"/>
              </w:rPr>
              <w:t>A fuzzy multi-criteria decision analysis approach for the management of petroleum-contaminated sites</w:t>
            </w:r>
          </w:p>
        </w:tc>
        <w:tc>
          <w:tcPr>
            <w:tcW w:w="2475" w:type="dxa"/>
            <w:tcBorders>
              <w:top w:val="nil"/>
              <w:left w:val="nil"/>
              <w:bottom w:val="single" w:sz="4" w:space="0" w:color="auto"/>
              <w:right w:val="single" w:sz="4" w:space="0" w:color="auto"/>
            </w:tcBorders>
            <w:shd w:val="clear" w:color="auto" w:fill="auto"/>
            <w:vAlign w:val="center"/>
            <w:hideMark/>
          </w:tcPr>
          <w:p w14:paraId="77C2DD8E" w14:textId="77777777" w:rsidR="00E403D6" w:rsidRPr="00F10391" w:rsidRDefault="00E403D6" w:rsidP="00490B5D">
            <w:pPr>
              <w:rPr>
                <w:lang w:eastAsia="en-GB"/>
              </w:rPr>
            </w:pPr>
            <w:r w:rsidRPr="00F10391">
              <w:rPr>
                <w:lang w:eastAsia="en-GB"/>
              </w:rPr>
              <w:t>Li JB, Rahman MH, Thring RW</w:t>
            </w:r>
          </w:p>
        </w:tc>
        <w:tc>
          <w:tcPr>
            <w:tcW w:w="2475" w:type="dxa"/>
            <w:tcBorders>
              <w:top w:val="nil"/>
              <w:left w:val="nil"/>
              <w:bottom w:val="single" w:sz="4" w:space="0" w:color="auto"/>
              <w:right w:val="single" w:sz="4" w:space="0" w:color="auto"/>
            </w:tcBorders>
            <w:shd w:val="clear" w:color="auto" w:fill="auto"/>
            <w:vAlign w:val="center"/>
            <w:hideMark/>
          </w:tcPr>
          <w:p w14:paraId="09BA88D9" w14:textId="77777777" w:rsidR="00E403D6" w:rsidRPr="00F10391" w:rsidRDefault="00E403D6">
            <w:pPr>
              <w:rPr>
                <w:lang w:eastAsia="en-GB"/>
              </w:rPr>
            </w:pPr>
            <w:r w:rsidRPr="00F10391">
              <w:rPr>
                <w:lang w:eastAsia="en-GB"/>
              </w:rPr>
              <w:t>International journal of environment and pollution 42 (1-3):220-239 2010</w:t>
            </w:r>
          </w:p>
        </w:tc>
        <w:tc>
          <w:tcPr>
            <w:tcW w:w="919" w:type="dxa"/>
            <w:tcBorders>
              <w:top w:val="nil"/>
              <w:left w:val="nil"/>
              <w:bottom w:val="single" w:sz="4" w:space="0" w:color="auto"/>
              <w:right w:val="single" w:sz="4" w:space="0" w:color="auto"/>
            </w:tcBorders>
            <w:shd w:val="clear" w:color="auto" w:fill="auto"/>
            <w:noWrap/>
            <w:vAlign w:val="center"/>
            <w:hideMark/>
          </w:tcPr>
          <w:p w14:paraId="5420B4D6"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05C664F1"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71B13F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4D8ECB3"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20FD7B4D"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76FFE8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E838A48"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A97EE0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DB732B7" w14:textId="77777777" w:rsidR="00E403D6" w:rsidRPr="00F10391" w:rsidRDefault="00E403D6" w:rsidP="00494A9A">
            <w:pPr>
              <w:rPr>
                <w:lang w:eastAsia="en-GB"/>
              </w:rPr>
            </w:pPr>
            <w:r w:rsidRPr="00F10391">
              <w:rPr>
                <w:lang w:eastAsia="en-GB"/>
              </w:rPr>
              <w:t>A Multifactorial Risk Prioritization Framework for Foodborne Pathogens</w:t>
            </w:r>
          </w:p>
        </w:tc>
        <w:tc>
          <w:tcPr>
            <w:tcW w:w="2475" w:type="dxa"/>
            <w:tcBorders>
              <w:top w:val="nil"/>
              <w:left w:val="nil"/>
              <w:bottom w:val="single" w:sz="4" w:space="0" w:color="auto"/>
              <w:right w:val="single" w:sz="4" w:space="0" w:color="auto"/>
            </w:tcBorders>
            <w:shd w:val="clear" w:color="auto" w:fill="auto"/>
            <w:vAlign w:val="center"/>
            <w:hideMark/>
          </w:tcPr>
          <w:p w14:paraId="38215D97" w14:textId="77777777" w:rsidR="00E403D6" w:rsidRPr="00F10391" w:rsidRDefault="00E403D6" w:rsidP="00490B5D">
            <w:pPr>
              <w:rPr>
                <w:lang w:eastAsia="en-GB"/>
              </w:rPr>
            </w:pPr>
            <w:r w:rsidRPr="00F10391">
              <w:rPr>
                <w:lang w:eastAsia="en-GB"/>
              </w:rPr>
              <w:t>Ruzante JM, Davidson VJ, Caswell J, Fazil A, Cranfield JAL, Henson SJ, Anders SM, Schmidt C, Farber JM</w:t>
            </w:r>
          </w:p>
        </w:tc>
        <w:tc>
          <w:tcPr>
            <w:tcW w:w="2475" w:type="dxa"/>
            <w:tcBorders>
              <w:top w:val="nil"/>
              <w:left w:val="nil"/>
              <w:bottom w:val="single" w:sz="4" w:space="0" w:color="auto"/>
              <w:right w:val="single" w:sz="4" w:space="0" w:color="auto"/>
            </w:tcBorders>
            <w:shd w:val="clear" w:color="auto" w:fill="auto"/>
            <w:vAlign w:val="center"/>
            <w:hideMark/>
          </w:tcPr>
          <w:p w14:paraId="73102BCA" w14:textId="77777777" w:rsidR="00E403D6" w:rsidRPr="00F10391" w:rsidRDefault="00E403D6">
            <w:pPr>
              <w:rPr>
                <w:lang w:eastAsia="en-GB"/>
              </w:rPr>
            </w:pPr>
            <w:r w:rsidRPr="00F10391">
              <w:rPr>
                <w:lang w:eastAsia="en-GB"/>
              </w:rPr>
              <w:t>Risk analysis 30 (5):724-742 2010</w:t>
            </w:r>
          </w:p>
        </w:tc>
        <w:tc>
          <w:tcPr>
            <w:tcW w:w="919" w:type="dxa"/>
            <w:tcBorders>
              <w:top w:val="nil"/>
              <w:left w:val="nil"/>
              <w:bottom w:val="single" w:sz="4" w:space="0" w:color="auto"/>
              <w:right w:val="single" w:sz="4" w:space="0" w:color="auto"/>
            </w:tcBorders>
            <w:shd w:val="clear" w:color="auto" w:fill="auto"/>
            <w:noWrap/>
            <w:vAlign w:val="center"/>
            <w:hideMark/>
          </w:tcPr>
          <w:p w14:paraId="4E6CDE97"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1A42A9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2028D4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6F23C3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5FC49D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4AA9AABA"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6A07717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EEA5A2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192F3DB" w14:textId="77777777" w:rsidR="00E403D6" w:rsidRPr="00F10391" w:rsidRDefault="00E403D6" w:rsidP="00494A9A">
            <w:pPr>
              <w:rPr>
                <w:lang w:eastAsia="en-GB"/>
              </w:rPr>
            </w:pPr>
            <w:r w:rsidRPr="00F10391">
              <w:rPr>
                <w:lang w:eastAsia="en-GB"/>
              </w:rPr>
              <w:t>A multifactorial risk prioritization framework for foodborne pathogens.</w:t>
            </w:r>
          </w:p>
        </w:tc>
        <w:tc>
          <w:tcPr>
            <w:tcW w:w="2475" w:type="dxa"/>
            <w:tcBorders>
              <w:top w:val="nil"/>
              <w:left w:val="nil"/>
              <w:bottom w:val="single" w:sz="4" w:space="0" w:color="auto"/>
              <w:right w:val="single" w:sz="4" w:space="0" w:color="auto"/>
            </w:tcBorders>
            <w:shd w:val="clear" w:color="auto" w:fill="auto"/>
            <w:vAlign w:val="center"/>
            <w:hideMark/>
          </w:tcPr>
          <w:p w14:paraId="2DA201AF" w14:textId="77777777" w:rsidR="00E403D6" w:rsidRPr="00F10391" w:rsidRDefault="00E403D6" w:rsidP="00490B5D">
            <w:pPr>
              <w:rPr>
                <w:lang w:eastAsia="en-GB"/>
              </w:rPr>
            </w:pPr>
            <w:r w:rsidRPr="00F10391">
              <w:rPr>
                <w:lang w:eastAsia="en-GB"/>
              </w:rPr>
              <w:t>Ruzante JM, Davidson VJ, Caswell J, Fazil A, Cranfield JA, Henson SJ, Anders SM, Schmidt C, Farber JM.</w:t>
            </w:r>
          </w:p>
        </w:tc>
        <w:tc>
          <w:tcPr>
            <w:tcW w:w="2475" w:type="dxa"/>
            <w:tcBorders>
              <w:top w:val="nil"/>
              <w:left w:val="nil"/>
              <w:bottom w:val="single" w:sz="4" w:space="0" w:color="auto"/>
              <w:right w:val="single" w:sz="4" w:space="0" w:color="auto"/>
            </w:tcBorders>
            <w:shd w:val="clear" w:color="auto" w:fill="auto"/>
            <w:vAlign w:val="center"/>
            <w:hideMark/>
          </w:tcPr>
          <w:p w14:paraId="3B276A6B" w14:textId="77777777" w:rsidR="00E403D6" w:rsidRPr="00F10391" w:rsidRDefault="00E403D6">
            <w:pPr>
              <w:rPr>
                <w:lang w:eastAsia="en-GB"/>
              </w:rPr>
            </w:pPr>
            <w:r w:rsidRPr="00F10391">
              <w:rPr>
                <w:lang w:eastAsia="en-GB"/>
              </w:rPr>
              <w:t>Risk analysis May 30(5):724-42. 2009</w:t>
            </w:r>
          </w:p>
        </w:tc>
        <w:tc>
          <w:tcPr>
            <w:tcW w:w="919" w:type="dxa"/>
            <w:tcBorders>
              <w:top w:val="nil"/>
              <w:left w:val="nil"/>
              <w:bottom w:val="single" w:sz="4" w:space="0" w:color="auto"/>
              <w:right w:val="single" w:sz="4" w:space="0" w:color="auto"/>
            </w:tcBorders>
            <w:shd w:val="clear" w:color="auto" w:fill="auto"/>
            <w:noWrap/>
            <w:vAlign w:val="center"/>
            <w:hideMark/>
          </w:tcPr>
          <w:p w14:paraId="722A6E86"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0DEFAD8"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654A2D86"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69C14D96"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7CA6084"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9E56671"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097E9A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731193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F92028D" w14:textId="77777777" w:rsidR="00E403D6" w:rsidRPr="00F10391" w:rsidRDefault="00E403D6" w:rsidP="00494A9A">
            <w:pPr>
              <w:rPr>
                <w:lang w:eastAsia="en-GB"/>
              </w:rPr>
            </w:pPr>
            <w:r w:rsidRPr="00F10391">
              <w:rPr>
                <w:lang w:eastAsia="en-GB"/>
              </w:rPr>
              <w:t>A novel sustainable decision-making model for municipal solid waste management</w:t>
            </w:r>
          </w:p>
        </w:tc>
        <w:tc>
          <w:tcPr>
            <w:tcW w:w="2475" w:type="dxa"/>
            <w:tcBorders>
              <w:top w:val="nil"/>
              <w:left w:val="nil"/>
              <w:bottom w:val="single" w:sz="4" w:space="0" w:color="auto"/>
              <w:right w:val="single" w:sz="4" w:space="0" w:color="auto"/>
            </w:tcBorders>
            <w:shd w:val="clear" w:color="auto" w:fill="auto"/>
            <w:vAlign w:val="center"/>
            <w:hideMark/>
          </w:tcPr>
          <w:p w14:paraId="1F78E0D2" w14:textId="77777777" w:rsidR="00E403D6" w:rsidRPr="00E156D5" w:rsidRDefault="00E403D6" w:rsidP="00490B5D">
            <w:pPr>
              <w:rPr>
                <w:lang w:eastAsia="en-GB"/>
              </w:rPr>
            </w:pPr>
            <w:r w:rsidRPr="00E156D5">
              <w:rPr>
                <w:lang w:eastAsia="en-GB"/>
              </w:rPr>
              <w:t>Hung, ML, Ma, HW, Yang, WF</w:t>
            </w:r>
          </w:p>
        </w:tc>
        <w:tc>
          <w:tcPr>
            <w:tcW w:w="2475" w:type="dxa"/>
            <w:tcBorders>
              <w:top w:val="nil"/>
              <w:left w:val="nil"/>
              <w:bottom w:val="single" w:sz="4" w:space="0" w:color="auto"/>
              <w:right w:val="single" w:sz="4" w:space="0" w:color="auto"/>
            </w:tcBorders>
            <w:shd w:val="clear" w:color="auto" w:fill="auto"/>
            <w:vAlign w:val="center"/>
            <w:hideMark/>
          </w:tcPr>
          <w:p w14:paraId="7B55AD08" w14:textId="77777777" w:rsidR="00E403D6" w:rsidRPr="00F10391" w:rsidRDefault="00E403D6">
            <w:pPr>
              <w:rPr>
                <w:lang w:eastAsia="en-GB"/>
              </w:rPr>
            </w:pPr>
            <w:r w:rsidRPr="00F10391">
              <w:rPr>
                <w:lang w:eastAsia="en-GB"/>
              </w:rPr>
              <w:t>Waste management 27 (2):209-219 2007</w:t>
            </w:r>
          </w:p>
        </w:tc>
        <w:tc>
          <w:tcPr>
            <w:tcW w:w="919" w:type="dxa"/>
            <w:tcBorders>
              <w:top w:val="nil"/>
              <w:left w:val="nil"/>
              <w:bottom w:val="single" w:sz="4" w:space="0" w:color="auto"/>
              <w:right w:val="single" w:sz="4" w:space="0" w:color="auto"/>
            </w:tcBorders>
            <w:shd w:val="clear" w:color="auto" w:fill="auto"/>
            <w:noWrap/>
            <w:vAlign w:val="center"/>
            <w:hideMark/>
          </w:tcPr>
          <w:p w14:paraId="20DBF675"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18AA55F"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EF6F03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269A15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95EF453"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0ACFE1B5"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412902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D450BC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1A1F04E" w14:textId="77777777" w:rsidR="00E403D6" w:rsidRPr="00F10391" w:rsidRDefault="00E403D6" w:rsidP="00494A9A">
            <w:pPr>
              <w:rPr>
                <w:lang w:eastAsia="en-GB"/>
              </w:rPr>
            </w:pPr>
            <w:r w:rsidRPr="00F10391">
              <w:rPr>
                <w:lang w:eastAsia="en-GB"/>
              </w:rPr>
              <w:t>An Analytic Network Process approach for siting a municipal solid waste plant in the Metropolitan Area of Valencia (Spain)</w:t>
            </w:r>
          </w:p>
        </w:tc>
        <w:tc>
          <w:tcPr>
            <w:tcW w:w="2475" w:type="dxa"/>
            <w:tcBorders>
              <w:top w:val="nil"/>
              <w:left w:val="nil"/>
              <w:bottom w:val="single" w:sz="4" w:space="0" w:color="auto"/>
              <w:right w:val="single" w:sz="4" w:space="0" w:color="auto"/>
            </w:tcBorders>
            <w:shd w:val="clear" w:color="auto" w:fill="auto"/>
            <w:vAlign w:val="center"/>
            <w:hideMark/>
          </w:tcPr>
          <w:p w14:paraId="6C8CD48C" w14:textId="77777777" w:rsidR="00E403D6" w:rsidRPr="00E156D5" w:rsidRDefault="00E403D6" w:rsidP="00490B5D">
            <w:pPr>
              <w:rPr>
                <w:lang w:eastAsia="en-GB"/>
              </w:rPr>
            </w:pPr>
            <w:r w:rsidRPr="00F10391">
              <w:rPr>
                <w:lang w:eastAsia="en-GB"/>
              </w:rPr>
              <w:t xml:space="preserve"> </w:t>
            </w:r>
            <w:r w:rsidRPr="00E156D5">
              <w:rPr>
                <w:lang w:eastAsia="en-GB"/>
              </w:rPr>
              <w:t>Aragones-Beltran, P, Pastor-Ferrando, JP, Garcia-Garcia, F, Pascual-Agullo, A</w:t>
            </w:r>
          </w:p>
        </w:tc>
        <w:tc>
          <w:tcPr>
            <w:tcW w:w="2475" w:type="dxa"/>
            <w:tcBorders>
              <w:top w:val="nil"/>
              <w:left w:val="nil"/>
              <w:bottom w:val="single" w:sz="4" w:space="0" w:color="auto"/>
              <w:right w:val="single" w:sz="4" w:space="0" w:color="auto"/>
            </w:tcBorders>
            <w:shd w:val="clear" w:color="auto" w:fill="auto"/>
            <w:vAlign w:val="center"/>
            <w:hideMark/>
          </w:tcPr>
          <w:p w14:paraId="71C2F492" w14:textId="77777777" w:rsidR="00E403D6" w:rsidRPr="00F10391" w:rsidRDefault="00E403D6">
            <w:pPr>
              <w:rPr>
                <w:lang w:eastAsia="en-GB"/>
              </w:rPr>
            </w:pPr>
            <w:r w:rsidRPr="00F10391">
              <w:rPr>
                <w:lang w:eastAsia="en-GB"/>
              </w:rPr>
              <w:t>Journal of environmental management 91 (5):1071-1086 2010</w:t>
            </w:r>
          </w:p>
        </w:tc>
        <w:tc>
          <w:tcPr>
            <w:tcW w:w="919" w:type="dxa"/>
            <w:tcBorders>
              <w:top w:val="nil"/>
              <w:left w:val="nil"/>
              <w:bottom w:val="single" w:sz="4" w:space="0" w:color="auto"/>
              <w:right w:val="single" w:sz="4" w:space="0" w:color="auto"/>
            </w:tcBorders>
            <w:shd w:val="clear" w:color="auto" w:fill="auto"/>
            <w:noWrap/>
            <w:vAlign w:val="center"/>
            <w:hideMark/>
          </w:tcPr>
          <w:p w14:paraId="5F2D6CA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CAE97B0"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00FE244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0C2ED5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118273B"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6A5D4BE"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2DF5823"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C7A90B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CE0F189" w14:textId="77777777" w:rsidR="00E403D6" w:rsidRPr="00F10391" w:rsidRDefault="00E403D6" w:rsidP="00494A9A">
            <w:pPr>
              <w:rPr>
                <w:lang w:eastAsia="en-GB"/>
              </w:rPr>
            </w:pPr>
            <w:r w:rsidRPr="00F10391">
              <w:rPr>
                <w:lang w:eastAsia="en-GB"/>
              </w:rPr>
              <w:t>Analysis of heavy metals in road-deposited sediments</w:t>
            </w:r>
          </w:p>
        </w:tc>
        <w:tc>
          <w:tcPr>
            <w:tcW w:w="2475" w:type="dxa"/>
            <w:tcBorders>
              <w:top w:val="nil"/>
              <w:left w:val="nil"/>
              <w:bottom w:val="single" w:sz="4" w:space="0" w:color="auto"/>
              <w:right w:val="single" w:sz="4" w:space="0" w:color="auto"/>
            </w:tcBorders>
            <w:shd w:val="clear" w:color="auto" w:fill="auto"/>
            <w:vAlign w:val="center"/>
            <w:hideMark/>
          </w:tcPr>
          <w:p w14:paraId="7C9EE95C" w14:textId="77777777" w:rsidR="00E403D6" w:rsidRPr="00E156D5" w:rsidRDefault="00E403D6" w:rsidP="00490B5D">
            <w:pPr>
              <w:rPr>
                <w:lang w:eastAsia="en-GB"/>
              </w:rPr>
            </w:pPr>
            <w:r w:rsidRPr="00F10391">
              <w:rPr>
                <w:lang w:eastAsia="en-GB"/>
              </w:rPr>
              <w:t xml:space="preserve"> </w:t>
            </w:r>
            <w:r w:rsidRPr="00E156D5">
              <w:rPr>
                <w:lang w:eastAsia="en-GB"/>
              </w:rPr>
              <w:t>Herngren, L, Goonetilleke, A, Ayoko, GA</w:t>
            </w:r>
          </w:p>
        </w:tc>
        <w:tc>
          <w:tcPr>
            <w:tcW w:w="2475" w:type="dxa"/>
            <w:tcBorders>
              <w:top w:val="nil"/>
              <w:left w:val="nil"/>
              <w:bottom w:val="single" w:sz="4" w:space="0" w:color="auto"/>
              <w:right w:val="single" w:sz="4" w:space="0" w:color="auto"/>
            </w:tcBorders>
            <w:shd w:val="clear" w:color="auto" w:fill="auto"/>
            <w:vAlign w:val="center"/>
            <w:hideMark/>
          </w:tcPr>
          <w:p w14:paraId="776B7165" w14:textId="77777777" w:rsidR="00E403D6" w:rsidRPr="00F10391" w:rsidRDefault="00E403D6">
            <w:pPr>
              <w:rPr>
                <w:lang w:eastAsia="en-GB"/>
              </w:rPr>
            </w:pPr>
            <w:r w:rsidRPr="00F10391">
              <w:rPr>
                <w:lang w:eastAsia="en-GB"/>
              </w:rPr>
              <w:t>Analytica chimica acta 571 (2):270-278 2006</w:t>
            </w:r>
          </w:p>
        </w:tc>
        <w:tc>
          <w:tcPr>
            <w:tcW w:w="919" w:type="dxa"/>
            <w:tcBorders>
              <w:top w:val="nil"/>
              <w:left w:val="nil"/>
              <w:bottom w:val="single" w:sz="4" w:space="0" w:color="auto"/>
              <w:right w:val="single" w:sz="4" w:space="0" w:color="auto"/>
            </w:tcBorders>
            <w:shd w:val="clear" w:color="auto" w:fill="auto"/>
            <w:noWrap/>
            <w:vAlign w:val="center"/>
            <w:hideMark/>
          </w:tcPr>
          <w:p w14:paraId="6FEA1D02"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0367D688"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19DDC2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01469B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A2944C4"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C3FC328"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52EB8F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F087F6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50E3358" w14:textId="77777777" w:rsidR="00E403D6" w:rsidRPr="00F10391" w:rsidRDefault="00E403D6" w:rsidP="00494A9A">
            <w:pPr>
              <w:rPr>
                <w:lang w:eastAsia="en-GB"/>
              </w:rPr>
            </w:pPr>
            <w:r w:rsidRPr="00F10391">
              <w:rPr>
                <w:lang w:eastAsia="en-GB"/>
              </w:rPr>
              <w:t>Analysis of water privatization scenarios in Korea with multi-criteria decision-making techniques</w:t>
            </w:r>
          </w:p>
        </w:tc>
        <w:tc>
          <w:tcPr>
            <w:tcW w:w="2475" w:type="dxa"/>
            <w:tcBorders>
              <w:top w:val="nil"/>
              <w:left w:val="nil"/>
              <w:bottom w:val="single" w:sz="4" w:space="0" w:color="auto"/>
              <w:right w:val="single" w:sz="4" w:space="0" w:color="auto"/>
            </w:tcBorders>
            <w:shd w:val="clear" w:color="auto" w:fill="auto"/>
            <w:vAlign w:val="center"/>
            <w:hideMark/>
          </w:tcPr>
          <w:p w14:paraId="5CD4644D" w14:textId="77777777" w:rsidR="00E403D6" w:rsidRPr="00F10391" w:rsidRDefault="00E403D6" w:rsidP="00490B5D">
            <w:pPr>
              <w:rPr>
                <w:lang w:eastAsia="en-GB"/>
              </w:rPr>
            </w:pPr>
            <w:r w:rsidRPr="00F10391">
              <w:rPr>
                <w:lang w:eastAsia="en-GB"/>
              </w:rPr>
              <w:t xml:space="preserve"> Choi DJ, Park H</w:t>
            </w:r>
          </w:p>
        </w:tc>
        <w:tc>
          <w:tcPr>
            <w:tcW w:w="2475" w:type="dxa"/>
            <w:tcBorders>
              <w:top w:val="nil"/>
              <w:left w:val="nil"/>
              <w:bottom w:val="single" w:sz="4" w:space="0" w:color="auto"/>
              <w:right w:val="single" w:sz="4" w:space="0" w:color="auto"/>
            </w:tcBorders>
            <w:shd w:val="clear" w:color="auto" w:fill="auto"/>
            <w:vAlign w:val="center"/>
            <w:hideMark/>
          </w:tcPr>
          <w:p w14:paraId="5B18B3B0" w14:textId="77777777" w:rsidR="00E403D6" w:rsidRPr="00F10391" w:rsidRDefault="00E403D6">
            <w:pPr>
              <w:rPr>
                <w:lang w:eastAsia="en-GB"/>
              </w:rPr>
            </w:pPr>
            <w:r w:rsidRPr="00F10391">
              <w:rPr>
                <w:lang w:eastAsia="en-GB"/>
              </w:rPr>
              <w:t>Journal of water supply research and technology-aqua 50 (6):335-352 2001</w:t>
            </w:r>
          </w:p>
        </w:tc>
        <w:tc>
          <w:tcPr>
            <w:tcW w:w="919" w:type="dxa"/>
            <w:tcBorders>
              <w:top w:val="nil"/>
              <w:left w:val="nil"/>
              <w:bottom w:val="single" w:sz="4" w:space="0" w:color="auto"/>
              <w:right w:val="single" w:sz="4" w:space="0" w:color="auto"/>
            </w:tcBorders>
            <w:shd w:val="clear" w:color="auto" w:fill="auto"/>
            <w:noWrap/>
            <w:vAlign w:val="center"/>
            <w:hideMark/>
          </w:tcPr>
          <w:p w14:paraId="5DB25F5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F00AF34"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84E178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6E8CA3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BA280B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430B30F"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B524AB4"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575241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40D86F6" w14:textId="77777777" w:rsidR="00E403D6" w:rsidRPr="00F10391" w:rsidRDefault="00E403D6" w:rsidP="00494A9A">
            <w:pPr>
              <w:rPr>
                <w:lang w:eastAsia="en-GB"/>
              </w:rPr>
            </w:pPr>
            <w:r w:rsidRPr="00F10391">
              <w:rPr>
                <w:lang w:eastAsia="en-GB"/>
              </w:rPr>
              <w:t>Application of ANP and DEMATEL to evaluate the decision-making of municipal solid waste management in Metro Manila</w:t>
            </w:r>
          </w:p>
        </w:tc>
        <w:tc>
          <w:tcPr>
            <w:tcW w:w="2475" w:type="dxa"/>
            <w:tcBorders>
              <w:top w:val="nil"/>
              <w:left w:val="nil"/>
              <w:bottom w:val="single" w:sz="4" w:space="0" w:color="auto"/>
              <w:right w:val="single" w:sz="4" w:space="0" w:color="auto"/>
            </w:tcBorders>
            <w:shd w:val="clear" w:color="auto" w:fill="auto"/>
            <w:vAlign w:val="center"/>
            <w:hideMark/>
          </w:tcPr>
          <w:p w14:paraId="05FF69B5" w14:textId="77777777" w:rsidR="00E403D6" w:rsidRPr="00F10391" w:rsidRDefault="00E403D6" w:rsidP="00490B5D">
            <w:pPr>
              <w:rPr>
                <w:lang w:eastAsia="en-GB"/>
              </w:rPr>
            </w:pPr>
            <w:r w:rsidRPr="00F10391">
              <w:rPr>
                <w:lang w:eastAsia="en-GB"/>
              </w:rPr>
              <w:t xml:space="preserve"> Tseng ML</w:t>
            </w:r>
          </w:p>
        </w:tc>
        <w:tc>
          <w:tcPr>
            <w:tcW w:w="2475" w:type="dxa"/>
            <w:tcBorders>
              <w:top w:val="nil"/>
              <w:left w:val="nil"/>
              <w:bottom w:val="single" w:sz="4" w:space="0" w:color="auto"/>
              <w:right w:val="single" w:sz="4" w:space="0" w:color="auto"/>
            </w:tcBorders>
            <w:shd w:val="clear" w:color="auto" w:fill="auto"/>
            <w:vAlign w:val="center"/>
            <w:hideMark/>
          </w:tcPr>
          <w:p w14:paraId="3286EC2B" w14:textId="77777777" w:rsidR="00E403D6" w:rsidRPr="00F10391" w:rsidRDefault="00E403D6">
            <w:pPr>
              <w:rPr>
                <w:lang w:eastAsia="en-GB"/>
              </w:rPr>
            </w:pPr>
            <w:r w:rsidRPr="00F10391">
              <w:rPr>
                <w:lang w:eastAsia="en-GB"/>
              </w:rPr>
              <w:t>Environmental monitoring and assessment 156 (1-4):181-197 2009</w:t>
            </w:r>
          </w:p>
        </w:tc>
        <w:tc>
          <w:tcPr>
            <w:tcW w:w="919" w:type="dxa"/>
            <w:tcBorders>
              <w:top w:val="nil"/>
              <w:left w:val="nil"/>
              <w:bottom w:val="single" w:sz="4" w:space="0" w:color="auto"/>
              <w:right w:val="single" w:sz="4" w:space="0" w:color="auto"/>
            </w:tcBorders>
            <w:shd w:val="clear" w:color="auto" w:fill="auto"/>
            <w:noWrap/>
            <w:vAlign w:val="center"/>
            <w:hideMark/>
          </w:tcPr>
          <w:p w14:paraId="7D1EF5EC"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7CD69C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0E60BC1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01D417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D6503B0"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74B5D23"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140FEA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7A84F9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9F5F8F1" w14:textId="77777777" w:rsidR="00E403D6" w:rsidRPr="00F10391" w:rsidRDefault="00E403D6" w:rsidP="00494A9A">
            <w:pPr>
              <w:rPr>
                <w:lang w:eastAsia="en-GB"/>
              </w:rPr>
            </w:pPr>
            <w:r w:rsidRPr="00F10391">
              <w:rPr>
                <w:lang w:eastAsia="en-GB"/>
              </w:rPr>
              <w:t>Application of multicriteria decision analysis to jar-test results for chemicals selection in the physical-chemical treatment of textile wastewater</w:t>
            </w:r>
          </w:p>
        </w:tc>
        <w:tc>
          <w:tcPr>
            <w:tcW w:w="2475" w:type="dxa"/>
            <w:tcBorders>
              <w:top w:val="nil"/>
              <w:left w:val="nil"/>
              <w:bottom w:val="single" w:sz="4" w:space="0" w:color="auto"/>
              <w:right w:val="single" w:sz="4" w:space="0" w:color="auto"/>
            </w:tcBorders>
            <w:shd w:val="clear" w:color="auto" w:fill="auto"/>
            <w:vAlign w:val="center"/>
            <w:hideMark/>
          </w:tcPr>
          <w:p w14:paraId="1C5C2D83" w14:textId="77777777" w:rsidR="00E403D6" w:rsidRPr="00E156D5" w:rsidRDefault="00E403D6" w:rsidP="00490B5D">
            <w:pPr>
              <w:rPr>
                <w:lang w:eastAsia="en-GB"/>
              </w:rPr>
            </w:pPr>
            <w:r w:rsidRPr="00E156D5">
              <w:rPr>
                <w:lang w:eastAsia="en-GB"/>
              </w:rPr>
              <w:t>Aragones-Beltran P, Mendoza-Roca JA, Bes-Pia A, Garcia-Melon M, Parra-Ruiz E</w:t>
            </w:r>
          </w:p>
        </w:tc>
        <w:tc>
          <w:tcPr>
            <w:tcW w:w="2475" w:type="dxa"/>
            <w:tcBorders>
              <w:top w:val="nil"/>
              <w:left w:val="nil"/>
              <w:bottom w:val="single" w:sz="4" w:space="0" w:color="auto"/>
              <w:right w:val="single" w:sz="4" w:space="0" w:color="auto"/>
            </w:tcBorders>
            <w:shd w:val="clear" w:color="auto" w:fill="auto"/>
            <w:vAlign w:val="center"/>
            <w:hideMark/>
          </w:tcPr>
          <w:p w14:paraId="174ACD04" w14:textId="77777777" w:rsidR="00E403D6" w:rsidRPr="00F10391" w:rsidRDefault="00E403D6">
            <w:pPr>
              <w:rPr>
                <w:lang w:eastAsia="en-GB"/>
              </w:rPr>
            </w:pPr>
            <w:r w:rsidRPr="00F10391">
              <w:rPr>
                <w:lang w:eastAsia="en-GB"/>
              </w:rPr>
              <w:t>Journal of hazardous materials 164 (1):288-295 2009</w:t>
            </w:r>
          </w:p>
        </w:tc>
        <w:tc>
          <w:tcPr>
            <w:tcW w:w="919" w:type="dxa"/>
            <w:tcBorders>
              <w:top w:val="nil"/>
              <w:left w:val="nil"/>
              <w:bottom w:val="single" w:sz="4" w:space="0" w:color="auto"/>
              <w:right w:val="single" w:sz="4" w:space="0" w:color="auto"/>
            </w:tcBorders>
            <w:shd w:val="clear" w:color="auto" w:fill="auto"/>
            <w:noWrap/>
            <w:vAlign w:val="center"/>
            <w:hideMark/>
          </w:tcPr>
          <w:p w14:paraId="2BA7BE70"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D419A10"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8C04DA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470B4F9"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2DB871B"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ADAD7B3"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891AD0B"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20D26BB"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F034B53" w14:textId="77777777" w:rsidR="00E403D6" w:rsidRPr="00F10391" w:rsidRDefault="00E403D6" w:rsidP="00494A9A">
            <w:pPr>
              <w:rPr>
                <w:lang w:eastAsia="en-GB"/>
              </w:rPr>
            </w:pPr>
            <w:r w:rsidRPr="00F10391">
              <w:rPr>
                <w:lang w:eastAsia="en-GB"/>
              </w:rPr>
              <w:t>Application of multi-criteria decision-making on strategic municipal solid waste management in Dalmatia, Croatia</w:t>
            </w:r>
          </w:p>
        </w:tc>
        <w:tc>
          <w:tcPr>
            <w:tcW w:w="2475" w:type="dxa"/>
            <w:tcBorders>
              <w:top w:val="nil"/>
              <w:left w:val="nil"/>
              <w:bottom w:val="single" w:sz="4" w:space="0" w:color="auto"/>
              <w:right w:val="single" w:sz="4" w:space="0" w:color="auto"/>
            </w:tcBorders>
            <w:shd w:val="clear" w:color="auto" w:fill="auto"/>
            <w:vAlign w:val="center"/>
            <w:hideMark/>
          </w:tcPr>
          <w:p w14:paraId="0C6D6A6D" w14:textId="77777777" w:rsidR="00E403D6" w:rsidRPr="00F10391" w:rsidRDefault="00E403D6" w:rsidP="00490B5D">
            <w:pPr>
              <w:rPr>
                <w:lang w:eastAsia="en-GB"/>
              </w:rPr>
            </w:pPr>
            <w:r w:rsidRPr="00F10391">
              <w:rPr>
                <w:lang w:eastAsia="en-GB"/>
              </w:rPr>
              <w:t>Vego G, Kucar-Dragicevic S, Koprivartac N</w:t>
            </w:r>
          </w:p>
        </w:tc>
        <w:tc>
          <w:tcPr>
            <w:tcW w:w="2475" w:type="dxa"/>
            <w:tcBorders>
              <w:top w:val="nil"/>
              <w:left w:val="nil"/>
              <w:bottom w:val="single" w:sz="4" w:space="0" w:color="auto"/>
              <w:right w:val="single" w:sz="4" w:space="0" w:color="auto"/>
            </w:tcBorders>
            <w:shd w:val="clear" w:color="auto" w:fill="auto"/>
            <w:vAlign w:val="center"/>
            <w:hideMark/>
          </w:tcPr>
          <w:p w14:paraId="5C987EB5" w14:textId="77777777" w:rsidR="00E403D6" w:rsidRPr="00F10391" w:rsidRDefault="00E403D6">
            <w:pPr>
              <w:rPr>
                <w:lang w:eastAsia="en-GB"/>
              </w:rPr>
            </w:pPr>
            <w:r w:rsidRPr="00F10391">
              <w:rPr>
                <w:lang w:eastAsia="en-GB"/>
              </w:rPr>
              <w:t>Waste management 28 (11):2192-2201 2008</w:t>
            </w:r>
          </w:p>
        </w:tc>
        <w:tc>
          <w:tcPr>
            <w:tcW w:w="919" w:type="dxa"/>
            <w:tcBorders>
              <w:top w:val="nil"/>
              <w:left w:val="nil"/>
              <w:bottom w:val="single" w:sz="4" w:space="0" w:color="auto"/>
              <w:right w:val="single" w:sz="4" w:space="0" w:color="auto"/>
            </w:tcBorders>
            <w:shd w:val="clear" w:color="auto" w:fill="auto"/>
            <w:noWrap/>
            <w:vAlign w:val="center"/>
            <w:hideMark/>
          </w:tcPr>
          <w:p w14:paraId="6141DEE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71185D5"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648198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707AE5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CB78A08"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837339E"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8C3FEA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BD19E1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D93BA82" w14:textId="77777777" w:rsidR="00E403D6" w:rsidRPr="00F10391" w:rsidRDefault="00E403D6" w:rsidP="00494A9A">
            <w:pPr>
              <w:rPr>
                <w:lang w:eastAsia="en-GB"/>
              </w:rPr>
            </w:pPr>
            <w:r w:rsidRPr="00F10391">
              <w:rPr>
                <w:lang w:eastAsia="en-GB"/>
              </w:rPr>
              <w:t>Applying multi-criteria decision-making to improve the waste reduction policy in Taiwan</w:t>
            </w:r>
          </w:p>
        </w:tc>
        <w:tc>
          <w:tcPr>
            <w:tcW w:w="2475" w:type="dxa"/>
            <w:tcBorders>
              <w:top w:val="nil"/>
              <w:left w:val="nil"/>
              <w:bottom w:val="single" w:sz="4" w:space="0" w:color="auto"/>
              <w:right w:val="single" w:sz="4" w:space="0" w:color="auto"/>
            </w:tcBorders>
            <w:shd w:val="clear" w:color="auto" w:fill="auto"/>
            <w:vAlign w:val="center"/>
            <w:hideMark/>
          </w:tcPr>
          <w:p w14:paraId="0767009F" w14:textId="77777777" w:rsidR="00E403D6" w:rsidRPr="005D7324" w:rsidRDefault="00E403D6" w:rsidP="00490B5D">
            <w:pPr>
              <w:rPr>
                <w:lang w:eastAsia="en-GB"/>
              </w:rPr>
            </w:pPr>
            <w:r w:rsidRPr="005D7324">
              <w:rPr>
                <w:lang w:eastAsia="en-GB"/>
              </w:rPr>
              <w:t>Su JP, Hung ML, Chao CW, Ma HW</w:t>
            </w:r>
          </w:p>
        </w:tc>
        <w:tc>
          <w:tcPr>
            <w:tcW w:w="2475" w:type="dxa"/>
            <w:tcBorders>
              <w:top w:val="nil"/>
              <w:left w:val="nil"/>
              <w:bottom w:val="single" w:sz="4" w:space="0" w:color="auto"/>
              <w:right w:val="single" w:sz="4" w:space="0" w:color="auto"/>
            </w:tcBorders>
            <w:shd w:val="clear" w:color="auto" w:fill="auto"/>
            <w:vAlign w:val="center"/>
            <w:hideMark/>
          </w:tcPr>
          <w:p w14:paraId="158F7CC0" w14:textId="77777777" w:rsidR="00E403D6" w:rsidRPr="00F10391" w:rsidRDefault="00E403D6">
            <w:pPr>
              <w:rPr>
                <w:lang w:eastAsia="en-GB"/>
              </w:rPr>
            </w:pPr>
            <w:r w:rsidRPr="00F10391">
              <w:rPr>
                <w:lang w:eastAsia="en-GB"/>
              </w:rPr>
              <w:t>Waste management &amp; research 28 (1):20-28 2010</w:t>
            </w:r>
          </w:p>
        </w:tc>
        <w:tc>
          <w:tcPr>
            <w:tcW w:w="919" w:type="dxa"/>
            <w:tcBorders>
              <w:top w:val="nil"/>
              <w:left w:val="nil"/>
              <w:bottom w:val="single" w:sz="4" w:space="0" w:color="auto"/>
              <w:right w:val="single" w:sz="4" w:space="0" w:color="auto"/>
            </w:tcBorders>
            <w:shd w:val="clear" w:color="auto" w:fill="auto"/>
            <w:noWrap/>
            <w:vAlign w:val="center"/>
            <w:hideMark/>
          </w:tcPr>
          <w:p w14:paraId="3CB192F0"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035EDC14"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92DAB6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8157AD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B165D94"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410B793"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05F872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5494F6B"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3AAC2E8" w14:textId="77777777" w:rsidR="00E403D6" w:rsidRPr="00F10391" w:rsidRDefault="00E403D6" w:rsidP="00494A9A">
            <w:pPr>
              <w:rPr>
                <w:lang w:eastAsia="en-GB"/>
              </w:rPr>
            </w:pPr>
            <w:r w:rsidRPr="00F10391">
              <w:rPr>
                <w:lang w:eastAsia="en-GB"/>
              </w:rPr>
              <w:t>Assessment of technologies for disposing explosive waste</w:t>
            </w:r>
          </w:p>
        </w:tc>
        <w:tc>
          <w:tcPr>
            <w:tcW w:w="2475" w:type="dxa"/>
            <w:tcBorders>
              <w:top w:val="nil"/>
              <w:left w:val="nil"/>
              <w:bottom w:val="single" w:sz="4" w:space="0" w:color="auto"/>
              <w:right w:val="single" w:sz="4" w:space="0" w:color="auto"/>
            </w:tcBorders>
            <w:shd w:val="clear" w:color="auto" w:fill="auto"/>
            <w:vAlign w:val="center"/>
            <w:hideMark/>
          </w:tcPr>
          <w:p w14:paraId="6903FCFE" w14:textId="77777777" w:rsidR="00E403D6" w:rsidRPr="00F10391" w:rsidRDefault="00E403D6" w:rsidP="00490B5D">
            <w:pPr>
              <w:rPr>
                <w:lang w:eastAsia="en-GB"/>
              </w:rPr>
            </w:pPr>
            <w:r w:rsidRPr="00F10391">
              <w:rPr>
                <w:lang w:eastAsia="en-GB"/>
              </w:rPr>
              <w:t>Duijm NJ, Markert F</w:t>
            </w:r>
          </w:p>
        </w:tc>
        <w:tc>
          <w:tcPr>
            <w:tcW w:w="2475" w:type="dxa"/>
            <w:tcBorders>
              <w:top w:val="nil"/>
              <w:left w:val="nil"/>
              <w:bottom w:val="single" w:sz="4" w:space="0" w:color="auto"/>
              <w:right w:val="single" w:sz="4" w:space="0" w:color="auto"/>
            </w:tcBorders>
            <w:shd w:val="clear" w:color="auto" w:fill="auto"/>
            <w:vAlign w:val="center"/>
            <w:hideMark/>
          </w:tcPr>
          <w:p w14:paraId="590D9DC0" w14:textId="77777777" w:rsidR="00E403D6" w:rsidRPr="00F10391" w:rsidRDefault="00E403D6">
            <w:pPr>
              <w:rPr>
                <w:lang w:eastAsia="en-GB"/>
              </w:rPr>
            </w:pPr>
            <w:r w:rsidRPr="00F10391">
              <w:rPr>
                <w:lang w:eastAsia="en-GB"/>
              </w:rPr>
              <w:t>Journal of hazardous materials 90 (2):137-153 Art No. PII S0304-3894(01)00358-2 2002</w:t>
            </w:r>
          </w:p>
        </w:tc>
        <w:tc>
          <w:tcPr>
            <w:tcW w:w="919" w:type="dxa"/>
            <w:tcBorders>
              <w:top w:val="nil"/>
              <w:left w:val="nil"/>
              <w:bottom w:val="single" w:sz="4" w:space="0" w:color="auto"/>
              <w:right w:val="single" w:sz="4" w:space="0" w:color="auto"/>
            </w:tcBorders>
            <w:shd w:val="clear" w:color="auto" w:fill="auto"/>
            <w:noWrap/>
            <w:vAlign w:val="center"/>
            <w:hideMark/>
          </w:tcPr>
          <w:p w14:paraId="7A69A3C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1BD82C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E4FED9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B5A314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E22AF24"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3A5D345"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BA6B3B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63ADB16"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87890D7" w14:textId="77777777" w:rsidR="00E403D6" w:rsidRPr="00F10391" w:rsidRDefault="00E403D6" w:rsidP="00494A9A">
            <w:pPr>
              <w:rPr>
                <w:lang w:eastAsia="en-GB"/>
              </w:rPr>
            </w:pPr>
            <w:r w:rsidRPr="00F10391">
              <w:rPr>
                <w:lang w:eastAsia="en-GB"/>
              </w:rPr>
              <w:t>Charting a path for innovative toilet technology using multicriteria decision analysis</w:t>
            </w:r>
          </w:p>
        </w:tc>
        <w:tc>
          <w:tcPr>
            <w:tcW w:w="2475" w:type="dxa"/>
            <w:tcBorders>
              <w:top w:val="nil"/>
              <w:left w:val="nil"/>
              <w:bottom w:val="single" w:sz="4" w:space="0" w:color="auto"/>
              <w:right w:val="single" w:sz="4" w:space="0" w:color="auto"/>
            </w:tcBorders>
            <w:shd w:val="clear" w:color="auto" w:fill="auto"/>
            <w:vAlign w:val="center"/>
            <w:hideMark/>
          </w:tcPr>
          <w:p w14:paraId="24596132" w14:textId="77777777" w:rsidR="00E403D6" w:rsidRPr="005D7324" w:rsidRDefault="00E403D6" w:rsidP="00490B5D">
            <w:pPr>
              <w:rPr>
                <w:lang w:eastAsia="en-GB"/>
              </w:rPr>
            </w:pPr>
            <w:r w:rsidRPr="005D7324">
              <w:rPr>
                <w:lang w:eastAsia="en-GB"/>
              </w:rPr>
              <w:t>Borsuk ME, Maurer M, Lienert J, Larsen TA</w:t>
            </w:r>
          </w:p>
        </w:tc>
        <w:tc>
          <w:tcPr>
            <w:tcW w:w="2475" w:type="dxa"/>
            <w:tcBorders>
              <w:top w:val="nil"/>
              <w:left w:val="nil"/>
              <w:bottom w:val="single" w:sz="4" w:space="0" w:color="auto"/>
              <w:right w:val="single" w:sz="4" w:space="0" w:color="auto"/>
            </w:tcBorders>
            <w:shd w:val="clear" w:color="auto" w:fill="auto"/>
            <w:vAlign w:val="center"/>
            <w:hideMark/>
          </w:tcPr>
          <w:p w14:paraId="13F293E2" w14:textId="77777777" w:rsidR="00E403D6" w:rsidRPr="00F10391" w:rsidRDefault="00E403D6">
            <w:pPr>
              <w:rPr>
                <w:lang w:eastAsia="en-GB"/>
              </w:rPr>
            </w:pPr>
            <w:r w:rsidRPr="00F10391">
              <w:rPr>
                <w:lang w:eastAsia="en-GB"/>
              </w:rPr>
              <w:t>Environmental science &amp; technology 42 (6):1855-1862 2008</w:t>
            </w:r>
          </w:p>
        </w:tc>
        <w:tc>
          <w:tcPr>
            <w:tcW w:w="919" w:type="dxa"/>
            <w:tcBorders>
              <w:top w:val="nil"/>
              <w:left w:val="nil"/>
              <w:bottom w:val="single" w:sz="4" w:space="0" w:color="auto"/>
              <w:right w:val="single" w:sz="4" w:space="0" w:color="auto"/>
            </w:tcBorders>
            <w:shd w:val="clear" w:color="auto" w:fill="auto"/>
            <w:noWrap/>
            <w:vAlign w:val="center"/>
            <w:hideMark/>
          </w:tcPr>
          <w:p w14:paraId="5C1FFAF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1EC134C"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8AD399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886BCF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40CB755"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36E22307"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C6693A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3E64D0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AF3B309" w14:textId="77777777" w:rsidR="00E403D6" w:rsidRPr="00F10391" w:rsidRDefault="00E403D6" w:rsidP="00494A9A">
            <w:pPr>
              <w:rPr>
                <w:lang w:eastAsia="en-GB"/>
              </w:rPr>
            </w:pPr>
            <w:r w:rsidRPr="00F10391">
              <w:rPr>
                <w:lang w:eastAsia="en-GB"/>
              </w:rPr>
              <w:t>Choosing a municipal landfill site by analytic network process</w:t>
            </w:r>
          </w:p>
        </w:tc>
        <w:tc>
          <w:tcPr>
            <w:tcW w:w="2475" w:type="dxa"/>
            <w:tcBorders>
              <w:top w:val="nil"/>
              <w:left w:val="nil"/>
              <w:bottom w:val="single" w:sz="4" w:space="0" w:color="auto"/>
              <w:right w:val="single" w:sz="4" w:space="0" w:color="auto"/>
            </w:tcBorders>
            <w:shd w:val="clear" w:color="auto" w:fill="auto"/>
            <w:vAlign w:val="center"/>
            <w:hideMark/>
          </w:tcPr>
          <w:p w14:paraId="32282428" w14:textId="77777777" w:rsidR="00E403D6" w:rsidRPr="00F10391" w:rsidRDefault="00E403D6" w:rsidP="00490B5D">
            <w:pPr>
              <w:rPr>
                <w:lang w:eastAsia="en-GB"/>
              </w:rPr>
            </w:pPr>
            <w:r w:rsidRPr="00F10391">
              <w:rPr>
                <w:lang w:eastAsia="en-GB"/>
              </w:rPr>
              <w:t>Banar M, Kose BM, Ozkan A, Acar IP</w:t>
            </w:r>
          </w:p>
        </w:tc>
        <w:tc>
          <w:tcPr>
            <w:tcW w:w="2475" w:type="dxa"/>
            <w:tcBorders>
              <w:top w:val="nil"/>
              <w:left w:val="nil"/>
              <w:bottom w:val="single" w:sz="4" w:space="0" w:color="auto"/>
              <w:right w:val="single" w:sz="4" w:space="0" w:color="auto"/>
            </w:tcBorders>
            <w:shd w:val="clear" w:color="auto" w:fill="auto"/>
            <w:vAlign w:val="center"/>
            <w:hideMark/>
          </w:tcPr>
          <w:p w14:paraId="48FFDBBC" w14:textId="77777777" w:rsidR="00E403D6" w:rsidRPr="00F10391" w:rsidRDefault="00E403D6">
            <w:pPr>
              <w:rPr>
                <w:lang w:eastAsia="en-GB"/>
              </w:rPr>
            </w:pPr>
            <w:r w:rsidRPr="00F10391">
              <w:rPr>
                <w:lang w:eastAsia="en-GB"/>
              </w:rPr>
              <w:t>Environmental geology 52747-751 2007</w:t>
            </w:r>
          </w:p>
        </w:tc>
        <w:tc>
          <w:tcPr>
            <w:tcW w:w="919" w:type="dxa"/>
            <w:tcBorders>
              <w:top w:val="nil"/>
              <w:left w:val="nil"/>
              <w:bottom w:val="single" w:sz="4" w:space="0" w:color="auto"/>
              <w:right w:val="single" w:sz="4" w:space="0" w:color="auto"/>
            </w:tcBorders>
            <w:shd w:val="clear" w:color="auto" w:fill="auto"/>
            <w:noWrap/>
            <w:vAlign w:val="center"/>
            <w:hideMark/>
          </w:tcPr>
          <w:p w14:paraId="1A9DA6E6"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D1872B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DF6847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543BD5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2C387B9"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023AAB3D"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FC7ED4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F5A65E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526EC86" w14:textId="77777777" w:rsidR="00E403D6" w:rsidRPr="00F10391" w:rsidRDefault="00E403D6" w:rsidP="00494A9A">
            <w:pPr>
              <w:rPr>
                <w:lang w:eastAsia="en-GB"/>
              </w:rPr>
            </w:pPr>
            <w:r w:rsidRPr="00F10391">
              <w:rPr>
                <w:lang w:eastAsia="en-GB"/>
              </w:rPr>
              <w:t>Combining GIS with fuzzy multicriteria decision-making for landfill siting in a fast-growing urban region</w:t>
            </w:r>
          </w:p>
        </w:tc>
        <w:tc>
          <w:tcPr>
            <w:tcW w:w="2475" w:type="dxa"/>
            <w:tcBorders>
              <w:top w:val="nil"/>
              <w:left w:val="nil"/>
              <w:bottom w:val="single" w:sz="4" w:space="0" w:color="auto"/>
              <w:right w:val="single" w:sz="4" w:space="0" w:color="auto"/>
            </w:tcBorders>
            <w:shd w:val="clear" w:color="auto" w:fill="auto"/>
            <w:vAlign w:val="center"/>
            <w:hideMark/>
          </w:tcPr>
          <w:p w14:paraId="014CB3BD" w14:textId="77777777" w:rsidR="00E403D6" w:rsidRPr="00F10391" w:rsidRDefault="00E403D6" w:rsidP="00490B5D">
            <w:pPr>
              <w:rPr>
                <w:lang w:eastAsia="en-GB"/>
              </w:rPr>
            </w:pPr>
            <w:r w:rsidRPr="00F10391">
              <w:rPr>
                <w:lang w:eastAsia="en-GB"/>
              </w:rPr>
              <w:t>Chang NB, Parvathinathan G, Breeden JB</w:t>
            </w:r>
          </w:p>
        </w:tc>
        <w:tc>
          <w:tcPr>
            <w:tcW w:w="2475" w:type="dxa"/>
            <w:tcBorders>
              <w:top w:val="nil"/>
              <w:left w:val="nil"/>
              <w:bottom w:val="single" w:sz="4" w:space="0" w:color="auto"/>
              <w:right w:val="single" w:sz="4" w:space="0" w:color="auto"/>
            </w:tcBorders>
            <w:shd w:val="clear" w:color="auto" w:fill="auto"/>
            <w:vAlign w:val="center"/>
            <w:hideMark/>
          </w:tcPr>
          <w:p w14:paraId="76981214" w14:textId="77777777" w:rsidR="00E403D6" w:rsidRPr="00F10391" w:rsidRDefault="00E403D6">
            <w:pPr>
              <w:rPr>
                <w:lang w:eastAsia="en-GB"/>
              </w:rPr>
            </w:pPr>
            <w:r w:rsidRPr="00F10391">
              <w:rPr>
                <w:lang w:eastAsia="en-GB"/>
              </w:rPr>
              <w:t>Journal of environmental management 87 (1):139-153 2008</w:t>
            </w:r>
          </w:p>
        </w:tc>
        <w:tc>
          <w:tcPr>
            <w:tcW w:w="919" w:type="dxa"/>
            <w:tcBorders>
              <w:top w:val="nil"/>
              <w:left w:val="nil"/>
              <w:bottom w:val="single" w:sz="4" w:space="0" w:color="auto"/>
              <w:right w:val="single" w:sz="4" w:space="0" w:color="auto"/>
            </w:tcBorders>
            <w:shd w:val="clear" w:color="auto" w:fill="auto"/>
            <w:noWrap/>
            <w:vAlign w:val="center"/>
            <w:hideMark/>
          </w:tcPr>
          <w:p w14:paraId="42FA80D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F2E0CA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4A92EC0"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97356C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8D55175"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AA2D9AF"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485E2C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AA6399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A03444C" w14:textId="77777777" w:rsidR="00E403D6" w:rsidRPr="00F10391" w:rsidRDefault="00E403D6" w:rsidP="00494A9A">
            <w:pPr>
              <w:rPr>
                <w:lang w:eastAsia="en-GB"/>
              </w:rPr>
            </w:pPr>
            <w:r w:rsidRPr="00F10391">
              <w:rPr>
                <w:lang w:eastAsia="en-GB"/>
              </w:rPr>
              <w:t>Communitarian claims and community capabilities: furthering priority setting?</w:t>
            </w:r>
          </w:p>
        </w:tc>
        <w:tc>
          <w:tcPr>
            <w:tcW w:w="2475" w:type="dxa"/>
            <w:tcBorders>
              <w:top w:val="nil"/>
              <w:left w:val="nil"/>
              <w:bottom w:val="single" w:sz="4" w:space="0" w:color="auto"/>
              <w:right w:val="single" w:sz="4" w:space="0" w:color="auto"/>
            </w:tcBorders>
            <w:shd w:val="clear" w:color="auto" w:fill="auto"/>
            <w:vAlign w:val="center"/>
            <w:hideMark/>
          </w:tcPr>
          <w:p w14:paraId="6A60169C" w14:textId="77777777" w:rsidR="00E403D6" w:rsidRPr="00F10391" w:rsidRDefault="00E403D6" w:rsidP="00490B5D">
            <w:pPr>
              <w:rPr>
                <w:lang w:eastAsia="en-GB"/>
              </w:rPr>
            </w:pPr>
            <w:r w:rsidRPr="00F10391">
              <w:rPr>
                <w:lang w:eastAsia="en-GB"/>
              </w:rPr>
              <w:t>Mooney G</w:t>
            </w:r>
          </w:p>
        </w:tc>
        <w:tc>
          <w:tcPr>
            <w:tcW w:w="2475" w:type="dxa"/>
            <w:tcBorders>
              <w:top w:val="nil"/>
              <w:left w:val="nil"/>
              <w:bottom w:val="single" w:sz="4" w:space="0" w:color="auto"/>
              <w:right w:val="single" w:sz="4" w:space="0" w:color="auto"/>
            </w:tcBorders>
            <w:shd w:val="clear" w:color="auto" w:fill="auto"/>
            <w:vAlign w:val="center"/>
            <w:hideMark/>
          </w:tcPr>
          <w:p w14:paraId="03505A62" w14:textId="77777777" w:rsidR="00E403D6" w:rsidRPr="00F10391" w:rsidRDefault="00E403D6">
            <w:pPr>
              <w:rPr>
                <w:lang w:eastAsia="en-GB"/>
              </w:rPr>
            </w:pPr>
            <w:r w:rsidRPr="00F10391">
              <w:rPr>
                <w:lang w:eastAsia="en-GB"/>
              </w:rPr>
              <w:t>Social science &amp; medicine 60 (2):247-255 2005</w:t>
            </w:r>
          </w:p>
        </w:tc>
        <w:tc>
          <w:tcPr>
            <w:tcW w:w="919" w:type="dxa"/>
            <w:tcBorders>
              <w:top w:val="nil"/>
              <w:left w:val="nil"/>
              <w:bottom w:val="single" w:sz="4" w:space="0" w:color="auto"/>
              <w:right w:val="single" w:sz="4" w:space="0" w:color="auto"/>
            </w:tcBorders>
            <w:shd w:val="clear" w:color="auto" w:fill="auto"/>
            <w:noWrap/>
            <w:vAlign w:val="center"/>
            <w:hideMark/>
          </w:tcPr>
          <w:p w14:paraId="3CA810C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6999950"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D9B60D1"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CDDE1B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729986E"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31C9712E"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807B48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CBB86F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5FC7B25" w14:textId="77777777" w:rsidR="00E403D6" w:rsidRPr="00F10391" w:rsidRDefault="00E403D6" w:rsidP="00494A9A">
            <w:pPr>
              <w:rPr>
                <w:lang w:eastAsia="en-GB"/>
              </w:rPr>
            </w:pPr>
            <w:r w:rsidRPr="00F10391">
              <w:rPr>
                <w:lang w:eastAsia="en-GB"/>
              </w:rPr>
              <w:t>Communitarian claims and community capabilities: furthering priority setting?</w:t>
            </w:r>
          </w:p>
        </w:tc>
        <w:tc>
          <w:tcPr>
            <w:tcW w:w="2475" w:type="dxa"/>
            <w:tcBorders>
              <w:top w:val="nil"/>
              <w:left w:val="nil"/>
              <w:bottom w:val="single" w:sz="4" w:space="0" w:color="auto"/>
              <w:right w:val="single" w:sz="4" w:space="0" w:color="auto"/>
            </w:tcBorders>
            <w:shd w:val="clear" w:color="auto" w:fill="auto"/>
            <w:vAlign w:val="center"/>
            <w:hideMark/>
          </w:tcPr>
          <w:p w14:paraId="520D2F41" w14:textId="77777777" w:rsidR="00E403D6" w:rsidRPr="00F10391" w:rsidRDefault="00E403D6" w:rsidP="00490B5D">
            <w:pPr>
              <w:rPr>
                <w:lang w:eastAsia="en-GB"/>
              </w:rPr>
            </w:pPr>
            <w:r w:rsidRPr="00F10391">
              <w:rPr>
                <w:lang w:eastAsia="en-GB"/>
              </w:rPr>
              <w:t>Mooney G</w:t>
            </w:r>
          </w:p>
        </w:tc>
        <w:tc>
          <w:tcPr>
            <w:tcW w:w="2475" w:type="dxa"/>
            <w:tcBorders>
              <w:top w:val="nil"/>
              <w:left w:val="nil"/>
              <w:bottom w:val="single" w:sz="4" w:space="0" w:color="auto"/>
              <w:right w:val="single" w:sz="4" w:space="0" w:color="auto"/>
            </w:tcBorders>
            <w:shd w:val="clear" w:color="auto" w:fill="auto"/>
            <w:vAlign w:val="center"/>
            <w:hideMark/>
          </w:tcPr>
          <w:p w14:paraId="5EDAB145" w14:textId="77777777" w:rsidR="00E403D6" w:rsidRPr="00F10391" w:rsidRDefault="00E403D6">
            <w:pPr>
              <w:rPr>
                <w:lang w:eastAsia="en-GB"/>
              </w:rPr>
            </w:pPr>
            <w:r w:rsidRPr="00F10391">
              <w:rPr>
                <w:lang w:eastAsia="en-GB"/>
              </w:rPr>
              <w:t>Social science &amp; medicine  60(2):247-55. 2005</w:t>
            </w:r>
          </w:p>
        </w:tc>
        <w:tc>
          <w:tcPr>
            <w:tcW w:w="919" w:type="dxa"/>
            <w:tcBorders>
              <w:top w:val="nil"/>
              <w:left w:val="nil"/>
              <w:bottom w:val="single" w:sz="4" w:space="0" w:color="auto"/>
              <w:right w:val="single" w:sz="4" w:space="0" w:color="auto"/>
            </w:tcBorders>
            <w:shd w:val="clear" w:color="auto" w:fill="auto"/>
            <w:noWrap/>
            <w:vAlign w:val="center"/>
            <w:hideMark/>
          </w:tcPr>
          <w:p w14:paraId="06CF8A0C"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2EFAA00"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1F59B252"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4F1AB1FB"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4E2ABAE1"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8503BA1"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90C6CE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E9995F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1361E95" w14:textId="77777777" w:rsidR="00E403D6" w:rsidRPr="00F10391" w:rsidRDefault="00E403D6" w:rsidP="00494A9A">
            <w:pPr>
              <w:rPr>
                <w:lang w:eastAsia="en-GB"/>
              </w:rPr>
            </w:pPr>
            <w:r w:rsidRPr="00F10391">
              <w:rPr>
                <w:lang w:eastAsia="en-GB"/>
              </w:rPr>
              <w:t>Comparing multiple criteria decision methods to extend a geographical information system on afforestation</w:t>
            </w:r>
          </w:p>
        </w:tc>
        <w:tc>
          <w:tcPr>
            <w:tcW w:w="2475" w:type="dxa"/>
            <w:tcBorders>
              <w:top w:val="nil"/>
              <w:left w:val="nil"/>
              <w:bottom w:val="single" w:sz="4" w:space="0" w:color="auto"/>
              <w:right w:val="single" w:sz="4" w:space="0" w:color="auto"/>
            </w:tcBorders>
            <w:shd w:val="clear" w:color="auto" w:fill="auto"/>
            <w:vAlign w:val="center"/>
            <w:hideMark/>
          </w:tcPr>
          <w:p w14:paraId="643FF3F9" w14:textId="77777777" w:rsidR="00E403D6" w:rsidRPr="00F10391" w:rsidRDefault="00E403D6" w:rsidP="00490B5D">
            <w:pPr>
              <w:rPr>
                <w:lang w:eastAsia="en-GB"/>
              </w:rPr>
            </w:pPr>
            <w:r w:rsidRPr="00F10391">
              <w:rPr>
                <w:lang w:eastAsia="en-GB"/>
              </w:rPr>
              <w:t xml:space="preserve"> Gilliams S, Raymaekers D, Muys B, Van Orshoven J</w:t>
            </w:r>
          </w:p>
        </w:tc>
        <w:tc>
          <w:tcPr>
            <w:tcW w:w="2475" w:type="dxa"/>
            <w:tcBorders>
              <w:top w:val="nil"/>
              <w:left w:val="nil"/>
              <w:bottom w:val="single" w:sz="4" w:space="0" w:color="auto"/>
              <w:right w:val="single" w:sz="4" w:space="0" w:color="auto"/>
            </w:tcBorders>
            <w:shd w:val="clear" w:color="auto" w:fill="auto"/>
            <w:vAlign w:val="center"/>
            <w:hideMark/>
          </w:tcPr>
          <w:p w14:paraId="047F79FE" w14:textId="77777777" w:rsidR="00E403D6" w:rsidRPr="00F10391" w:rsidRDefault="00E403D6">
            <w:pPr>
              <w:rPr>
                <w:lang w:eastAsia="en-GB"/>
              </w:rPr>
            </w:pPr>
            <w:r w:rsidRPr="00F10391">
              <w:rPr>
                <w:lang w:eastAsia="en-GB"/>
              </w:rPr>
              <w:t>Computers and electronics in agriculture 49 (1):142-158 2005</w:t>
            </w:r>
          </w:p>
        </w:tc>
        <w:tc>
          <w:tcPr>
            <w:tcW w:w="919" w:type="dxa"/>
            <w:tcBorders>
              <w:top w:val="nil"/>
              <w:left w:val="nil"/>
              <w:bottom w:val="single" w:sz="4" w:space="0" w:color="auto"/>
              <w:right w:val="single" w:sz="4" w:space="0" w:color="auto"/>
            </w:tcBorders>
            <w:shd w:val="clear" w:color="auto" w:fill="auto"/>
            <w:noWrap/>
            <w:vAlign w:val="center"/>
            <w:hideMark/>
          </w:tcPr>
          <w:p w14:paraId="2977B348"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702598DC"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D66299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356F88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A89F996"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A38CA7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FBBB19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0DF245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51B454E" w14:textId="77777777" w:rsidR="00E403D6" w:rsidRPr="00F10391" w:rsidRDefault="00E403D6" w:rsidP="00494A9A">
            <w:pPr>
              <w:rPr>
                <w:lang w:eastAsia="en-GB"/>
              </w:rPr>
            </w:pPr>
            <w:r w:rsidRPr="00F10391">
              <w:rPr>
                <w:lang w:eastAsia="en-GB"/>
              </w:rPr>
              <w:t>Decision-making under uncertainty in case of soil remediation.</w:t>
            </w:r>
          </w:p>
        </w:tc>
        <w:tc>
          <w:tcPr>
            <w:tcW w:w="2475" w:type="dxa"/>
            <w:tcBorders>
              <w:top w:val="nil"/>
              <w:left w:val="nil"/>
              <w:bottom w:val="single" w:sz="4" w:space="0" w:color="auto"/>
              <w:right w:val="single" w:sz="4" w:space="0" w:color="auto"/>
            </w:tcBorders>
            <w:shd w:val="clear" w:color="auto" w:fill="auto"/>
            <w:vAlign w:val="center"/>
            <w:hideMark/>
          </w:tcPr>
          <w:p w14:paraId="523E7EB4" w14:textId="77777777" w:rsidR="00E403D6" w:rsidRPr="00F10391" w:rsidRDefault="00E403D6" w:rsidP="00490B5D">
            <w:pPr>
              <w:rPr>
                <w:lang w:eastAsia="en-GB"/>
              </w:rPr>
            </w:pPr>
            <w:r w:rsidRPr="00F10391">
              <w:rPr>
                <w:lang w:eastAsia="en-GB"/>
              </w:rPr>
              <w:t>Scholz RW Schnabel U.</w:t>
            </w:r>
          </w:p>
        </w:tc>
        <w:tc>
          <w:tcPr>
            <w:tcW w:w="2475" w:type="dxa"/>
            <w:tcBorders>
              <w:top w:val="nil"/>
              <w:left w:val="nil"/>
              <w:bottom w:val="single" w:sz="4" w:space="0" w:color="auto"/>
              <w:right w:val="single" w:sz="4" w:space="0" w:color="auto"/>
            </w:tcBorders>
            <w:shd w:val="clear" w:color="auto" w:fill="auto"/>
            <w:vAlign w:val="center"/>
            <w:hideMark/>
          </w:tcPr>
          <w:p w14:paraId="428F902A" w14:textId="77777777" w:rsidR="00E403D6" w:rsidRPr="00F10391" w:rsidRDefault="00E403D6">
            <w:pPr>
              <w:rPr>
                <w:lang w:eastAsia="en-GB"/>
              </w:rPr>
            </w:pPr>
            <w:r w:rsidRPr="00F10391">
              <w:rPr>
                <w:lang w:eastAsia="en-GB"/>
              </w:rPr>
              <w:t>J Environ Manage. Jul 80(2):132-47.. 2006</w:t>
            </w:r>
          </w:p>
        </w:tc>
        <w:tc>
          <w:tcPr>
            <w:tcW w:w="919" w:type="dxa"/>
            <w:tcBorders>
              <w:top w:val="nil"/>
              <w:left w:val="nil"/>
              <w:bottom w:val="single" w:sz="4" w:space="0" w:color="auto"/>
              <w:right w:val="single" w:sz="4" w:space="0" w:color="auto"/>
            </w:tcBorders>
            <w:shd w:val="clear" w:color="auto" w:fill="auto"/>
            <w:noWrap/>
            <w:vAlign w:val="center"/>
            <w:hideMark/>
          </w:tcPr>
          <w:p w14:paraId="189A6DC2"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77715E6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340693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911594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99B64D1" w14:textId="77777777" w:rsidR="00E403D6" w:rsidRPr="00F10391" w:rsidRDefault="00E403D6">
            <w:pPr>
              <w:rPr>
                <w:lang w:eastAsia="en-GB"/>
              </w:rPr>
            </w:pPr>
            <w:r w:rsidRPr="00F10391">
              <w:rPr>
                <w:lang w:eastAsia="en-GB"/>
              </w:rPr>
              <w:t> </w:t>
            </w:r>
          </w:p>
        </w:tc>
        <w:tc>
          <w:tcPr>
            <w:tcW w:w="794" w:type="dxa"/>
            <w:tcBorders>
              <w:top w:val="nil"/>
              <w:left w:val="nil"/>
              <w:bottom w:val="single" w:sz="4" w:space="0" w:color="auto"/>
              <w:right w:val="single" w:sz="4" w:space="0" w:color="auto"/>
            </w:tcBorders>
            <w:shd w:val="clear" w:color="auto" w:fill="auto"/>
            <w:noWrap/>
            <w:vAlign w:val="center"/>
            <w:hideMark/>
          </w:tcPr>
          <w:p w14:paraId="39778636"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96488C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28290CD"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B82CBDD" w14:textId="77777777" w:rsidR="00E403D6" w:rsidRPr="00F10391" w:rsidRDefault="00E403D6" w:rsidP="00494A9A">
            <w:pPr>
              <w:rPr>
                <w:lang w:eastAsia="en-GB"/>
              </w:rPr>
            </w:pPr>
            <w:r w:rsidRPr="00F10391">
              <w:rPr>
                <w:lang w:eastAsia="en-GB"/>
              </w:rPr>
              <w:t>Decision of water supply line under uncertainty</w:t>
            </w:r>
          </w:p>
        </w:tc>
        <w:tc>
          <w:tcPr>
            <w:tcW w:w="2475" w:type="dxa"/>
            <w:tcBorders>
              <w:top w:val="nil"/>
              <w:left w:val="nil"/>
              <w:bottom w:val="single" w:sz="4" w:space="0" w:color="auto"/>
              <w:right w:val="single" w:sz="4" w:space="0" w:color="auto"/>
            </w:tcBorders>
            <w:shd w:val="clear" w:color="auto" w:fill="auto"/>
            <w:vAlign w:val="center"/>
            <w:hideMark/>
          </w:tcPr>
          <w:p w14:paraId="13D3D373" w14:textId="77777777" w:rsidR="00E403D6" w:rsidRPr="00F10391" w:rsidRDefault="00E403D6" w:rsidP="00490B5D">
            <w:pPr>
              <w:rPr>
                <w:lang w:eastAsia="en-GB"/>
              </w:rPr>
            </w:pPr>
            <w:r w:rsidRPr="00F10391">
              <w:rPr>
                <w:lang w:eastAsia="en-GB"/>
              </w:rPr>
              <w:t>Lee YW, Bogardi I, Kim JH</w:t>
            </w:r>
          </w:p>
        </w:tc>
        <w:tc>
          <w:tcPr>
            <w:tcW w:w="2475" w:type="dxa"/>
            <w:tcBorders>
              <w:top w:val="nil"/>
              <w:left w:val="nil"/>
              <w:bottom w:val="single" w:sz="4" w:space="0" w:color="auto"/>
              <w:right w:val="single" w:sz="4" w:space="0" w:color="auto"/>
            </w:tcBorders>
            <w:shd w:val="clear" w:color="auto" w:fill="auto"/>
            <w:vAlign w:val="center"/>
            <w:hideMark/>
          </w:tcPr>
          <w:p w14:paraId="4063A77D" w14:textId="77777777" w:rsidR="00E403D6" w:rsidRPr="00F10391" w:rsidRDefault="00E403D6">
            <w:pPr>
              <w:rPr>
                <w:lang w:eastAsia="en-GB"/>
              </w:rPr>
            </w:pPr>
            <w:r w:rsidRPr="00F10391">
              <w:rPr>
                <w:lang w:eastAsia="en-GB"/>
              </w:rPr>
              <w:t>Water research 34 (13):3371-3379 2000</w:t>
            </w:r>
          </w:p>
        </w:tc>
        <w:tc>
          <w:tcPr>
            <w:tcW w:w="919" w:type="dxa"/>
            <w:tcBorders>
              <w:top w:val="nil"/>
              <w:left w:val="nil"/>
              <w:bottom w:val="single" w:sz="4" w:space="0" w:color="auto"/>
              <w:right w:val="single" w:sz="4" w:space="0" w:color="auto"/>
            </w:tcBorders>
            <w:shd w:val="clear" w:color="auto" w:fill="auto"/>
            <w:noWrap/>
            <w:vAlign w:val="center"/>
            <w:hideMark/>
          </w:tcPr>
          <w:p w14:paraId="4A1D2F8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CB5A5C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FA5018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8379FA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8F3E7A9"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00B281E"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70EEC0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5E5113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5F9FFC3" w14:textId="77777777" w:rsidR="00E403D6" w:rsidRPr="00F10391" w:rsidRDefault="00E403D6" w:rsidP="00494A9A">
            <w:pPr>
              <w:rPr>
                <w:lang w:eastAsia="en-GB"/>
              </w:rPr>
            </w:pPr>
            <w:r w:rsidRPr="00F10391">
              <w:rPr>
                <w:lang w:eastAsia="en-GB"/>
              </w:rPr>
              <w:t>Decision Support Systems and Environment: Role of MCDA</w:t>
            </w:r>
          </w:p>
        </w:tc>
        <w:tc>
          <w:tcPr>
            <w:tcW w:w="2475" w:type="dxa"/>
            <w:tcBorders>
              <w:top w:val="nil"/>
              <w:left w:val="nil"/>
              <w:bottom w:val="single" w:sz="4" w:space="0" w:color="auto"/>
              <w:right w:val="single" w:sz="4" w:space="0" w:color="auto"/>
            </w:tcBorders>
            <w:shd w:val="clear" w:color="auto" w:fill="auto"/>
            <w:vAlign w:val="center"/>
            <w:hideMark/>
          </w:tcPr>
          <w:p w14:paraId="32D595E9" w14:textId="77777777" w:rsidR="00E403D6" w:rsidRPr="00F10391" w:rsidRDefault="00E403D6" w:rsidP="00490B5D">
            <w:pPr>
              <w:rPr>
                <w:lang w:eastAsia="en-GB"/>
              </w:rPr>
            </w:pPr>
            <w:r w:rsidRPr="00F10391">
              <w:rPr>
                <w:lang w:eastAsia="en-GB"/>
              </w:rPr>
              <w:t>Giove S, Brancia A, Satterstrom FK, Linkov I</w:t>
            </w:r>
          </w:p>
        </w:tc>
        <w:tc>
          <w:tcPr>
            <w:tcW w:w="2475" w:type="dxa"/>
            <w:tcBorders>
              <w:top w:val="nil"/>
              <w:left w:val="nil"/>
              <w:bottom w:val="single" w:sz="4" w:space="0" w:color="auto"/>
              <w:right w:val="single" w:sz="4" w:space="0" w:color="auto"/>
            </w:tcBorders>
            <w:shd w:val="clear" w:color="auto" w:fill="auto"/>
            <w:vAlign w:val="center"/>
            <w:hideMark/>
          </w:tcPr>
          <w:p w14:paraId="46E4DCB8" w14:textId="77777777" w:rsidR="00E403D6" w:rsidRPr="00F10391" w:rsidRDefault="00E403D6">
            <w:pPr>
              <w:rPr>
                <w:lang w:eastAsia="en-GB"/>
              </w:rPr>
            </w:pPr>
            <w:r w:rsidRPr="00F10391">
              <w:rPr>
                <w:lang w:eastAsia="en-GB"/>
              </w:rPr>
              <w:t xml:space="preserve">Decision Support Systems for Risk-Based Management of Contaminated Sites, Springer US, 2009. </w:t>
            </w:r>
          </w:p>
        </w:tc>
        <w:tc>
          <w:tcPr>
            <w:tcW w:w="919" w:type="dxa"/>
            <w:tcBorders>
              <w:top w:val="nil"/>
              <w:left w:val="nil"/>
              <w:bottom w:val="single" w:sz="4" w:space="0" w:color="auto"/>
              <w:right w:val="single" w:sz="4" w:space="0" w:color="auto"/>
            </w:tcBorders>
            <w:shd w:val="clear" w:color="auto" w:fill="auto"/>
            <w:noWrap/>
            <w:vAlign w:val="center"/>
            <w:hideMark/>
          </w:tcPr>
          <w:p w14:paraId="54F446D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A4EE207"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F41EF4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F861EC3"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756E4E5"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B981F06"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5EB108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1E5A6E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FD21145" w14:textId="77777777" w:rsidR="00E403D6" w:rsidRPr="00F10391" w:rsidRDefault="00E403D6" w:rsidP="00494A9A">
            <w:pPr>
              <w:rPr>
                <w:lang w:eastAsia="en-GB"/>
              </w:rPr>
            </w:pPr>
            <w:r w:rsidRPr="00F10391">
              <w:rPr>
                <w:lang w:eastAsia="en-GB"/>
              </w:rPr>
              <w:t>Decision-analysis for environmental-impact assessment and consensus formation among conflicting multiple agents - including case-studies for road traffic</w:t>
            </w:r>
          </w:p>
        </w:tc>
        <w:tc>
          <w:tcPr>
            <w:tcW w:w="2475" w:type="dxa"/>
            <w:tcBorders>
              <w:top w:val="nil"/>
              <w:left w:val="nil"/>
              <w:bottom w:val="single" w:sz="4" w:space="0" w:color="auto"/>
              <w:right w:val="single" w:sz="4" w:space="0" w:color="auto"/>
            </w:tcBorders>
            <w:shd w:val="clear" w:color="auto" w:fill="auto"/>
            <w:vAlign w:val="center"/>
            <w:hideMark/>
          </w:tcPr>
          <w:p w14:paraId="48ED56F0" w14:textId="77777777" w:rsidR="00E403D6" w:rsidRPr="005D7324" w:rsidRDefault="00E403D6" w:rsidP="00490B5D">
            <w:pPr>
              <w:rPr>
                <w:lang w:eastAsia="en-GB"/>
              </w:rPr>
            </w:pPr>
            <w:r w:rsidRPr="005D7324">
              <w:rPr>
                <w:lang w:eastAsia="en-GB"/>
              </w:rPr>
              <w:t>Tamura H, Fujita S, Koi H</w:t>
            </w:r>
          </w:p>
        </w:tc>
        <w:tc>
          <w:tcPr>
            <w:tcW w:w="2475" w:type="dxa"/>
            <w:tcBorders>
              <w:top w:val="nil"/>
              <w:left w:val="nil"/>
              <w:bottom w:val="single" w:sz="4" w:space="0" w:color="auto"/>
              <w:right w:val="single" w:sz="4" w:space="0" w:color="auto"/>
            </w:tcBorders>
            <w:shd w:val="clear" w:color="auto" w:fill="auto"/>
            <w:vAlign w:val="center"/>
            <w:hideMark/>
          </w:tcPr>
          <w:p w14:paraId="542D0AFB" w14:textId="77777777" w:rsidR="00E403D6" w:rsidRPr="00F10391" w:rsidRDefault="00E403D6">
            <w:pPr>
              <w:rPr>
                <w:lang w:eastAsia="en-GB"/>
              </w:rPr>
            </w:pPr>
            <w:r w:rsidRPr="00F10391">
              <w:rPr>
                <w:lang w:eastAsia="en-GB"/>
              </w:rPr>
              <w:t>Science of the total environment 153 (3):203-210 1994</w:t>
            </w:r>
          </w:p>
        </w:tc>
        <w:tc>
          <w:tcPr>
            <w:tcW w:w="919" w:type="dxa"/>
            <w:tcBorders>
              <w:top w:val="nil"/>
              <w:left w:val="nil"/>
              <w:bottom w:val="single" w:sz="4" w:space="0" w:color="auto"/>
              <w:right w:val="single" w:sz="4" w:space="0" w:color="auto"/>
            </w:tcBorders>
            <w:shd w:val="clear" w:color="auto" w:fill="auto"/>
            <w:noWrap/>
            <w:vAlign w:val="center"/>
            <w:hideMark/>
          </w:tcPr>
          <w:p w14:paraId="5F0B1832"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7AC2E4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37813C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09BF67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A4BE58A"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6CB1A796"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677182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49809F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240713C" w14:textId="77777777" w:rsidR="00E403D6" w:rsidRPr="00F10391" w:rsidRDefault="00E403D6" w:rsidP="00494A9A">
            <w:pPr>
              <w:rPr>
                <w:lang w:eastAsia="en-GB"/>
              </w:rPr>
            </w:pPr>
            <w:r w:rsidRPr="00F10391">
              <w:rPr>
                <w:lang w:eastAsia="en-GB"/>
              </w:rPr>
              <w:t>Determination of the oil soluble salt of di cyclo hexylamine inhibitor msda-11 in biological media</w:t>
            </w:r>
          </w:p>
        </w:tc>
        <w:tc>
          <w:tcPr>
            <w:tcW w:w="2475" w:type="dxa"/>
            <w:tcBorders>
              <w:top w:val="nil"/>
              <w:left w:val="nil"/>
              <w:bottom w:val="single" w:sz="4" w:space="0" w:color="auto"/>
              <w:right w:val="single" w:sz="4" w:space="0" w:color="auto"/>
            </w:tcBorders>
            <w:shd w:val="clear" w:color="auto" w:fill="auto"/>
            <w:vAlign w:val="center"/>
            <w:hideMark/>
          </w:tcPr>
          <w:p w14:paraId="2D450708" w14:textId="77777777" w:rsidR="00E403D6" w:rsidRPr="00F10391" w:rsidRDefault="00E403D6" w:rsidP="00490B5D">
            <w:pPr>
              <w:rPr>
                <w:lang w:eastAsia="en-GB"/>
              </w:rPr>
            </w:pPr>
            <w:r w:rsidRPr="00F10391">
              <w:rPr>
                <w:lang w:eastAsia="en-GB"/>
              </w:rPr>
              <w:t>Voloshina EI</w:t>
            </w:r>
          </w:p>
        </w:tc>
        <w:tc>
          <w:tcPr>
            <w:tcW w:w="2475" w:type="dxa"/>
            <w:tcBorders>
              <w:top w:val="nil"/>
              <w:left w:val="nil"/>
              <w:bottom w:val="single" w:sz="4" w:space="0" w:color="auto"/>
              <w:right w:val="single" w:sz="4" w:space="0" w:color="auto"/>
            </w:tcBorders>
            <w:shd w:val="clear" w:color="auto" w:fill="auto"/>
            <w:vAlign w:val="center"/>
            <w:hideMark/>
          </w:tcPr>
          <w:p w14:paraId="4C2B77AD" w14:textId="77777777" w:rsidR="00E403D6" w:rsidRPr="00F10391" w:rsidRDefault="00E403D6">
            <w:pPr>
              <w:rPr>
                <w:lang w:eastAsia="en-GB"/>
              </w:rPr>
            </w:pPr>
            <w:r w:rsidRPr="00F10391">
              <w:rPr>
                <w:lang w:eastAsia="en-GB"/>
              </w:rPr>
              <w:t>Gigiena i Sanitariya (12):73-74 1974</w:t>
            </w:r>
          </w:p>
        </w:tc>
        <w:tc>
          <w:tcPr>
            <w:tcW w:w="919" w:type="dxa"/>
            <w:tcBorders>
              <w:top w:val="nil"/>
              <w:left w:val="nil"/>
              <w:bottom w:val="single" w:sz="4" w:space="0" w:color="auto"/>
              <w:right w:val="single" w:sz="4" w:space="0" w:color="auto"/>
            </w:tcBorders>
            <w:shd w:val="clear" w:color="auto" w:fill="auto"/>
            <w:noWrap/>
            <w:vAlign w:val="center"/>
            <w:hideMark/>
          </w:tcPr>
          <w:p w14:paraId="3A9B036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7DEABA2"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46B538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470F8B5"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D01D8DE"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4AE9C7CA"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5A2761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72011ED"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7C2635B" w14:textId="77777777" w:rsidR="00E403D6" w:rsidRPr="00F10391" w:rsidRDefault="00E403D6" w:rsidP="00494A9A">
            <w:pPr>
              <w:rPr>
                <w:lang w:eastAsia="en-GB"/>
              </w:rPr>
            </w:pPr>
            <w:r w:rsidRPr="00F10391">
              <w:rPr>
                <w:lang w:eastAsia="en-GB"/>
              </w:rPr>
              <w:t>Development of a spatial decision support system for post-emergency management of radioactively contaminated land</w:t>
            </w:r>
          </w:p>
        </w:tc>
        <w:tc>
          <w:tcPr>
            <w:tcW w:w="2475" w:type="dxa"/>
            <w:tcBorders>
              <w:top w:val="nil"/>
              <w:left w:val="nil"/>
              <w:bottom w:val="single" w:sz="4" w:space="0" w:color="auto"/>
              <w:right w:val="single" w:sz="4" w:space="0" w:color="auto"/>
            </w:tcBorders>
            <w:shd w:val="clear" w:color="auto" w:fill="auto"/>
            <w:vAlign w:val="center"/>
            <w:hideMark/>
          </w:tcPr>
          <w:p w14:paraId="176A56C1" w14:textId="77777777" w:rsidR="00E403D6" w:rsidRPr="00F10391" w:rsidRDefault="00E403D6" w:rsidP="00490B5D">
            <w:pPr>
              <w:rPr>
                <w:lang w:eastAsia="en-GB"/>
              </w:rPr>
            </w:pPr>
            <w:r w:rsidRPr="00F10391">
              <w:rPr>
                <w:lang w:eastAsia="en-GB"/>
              </w:rPr>
              <w:t>Salt CA, Dunsmore MC</w:t>
            </w:r>
          </w:p>
        </w:tc>
        <w:tc>
          <w:tcPr>
            <w:tcW w:w="2475" w:type="dxa"/>
            <w:tcBorders>
              <w:top w:val="nil"/>
              <w:left w:val="nil"/>
              <w:bottom w:val="single" w:sz="4" w:space="0" w:color="auto"/>
              <w:right w:val="single" w:sz="4" w:space="0" w:color="auto"/>
            </w:tcBorders>
            <w:shd w:val="clear" w:color="auto" w:fill="auto"/>
            <w:vAlign w:val="center"/>
            <w:hideMark/>
          </w:tcPr>
          <w:p w14:paraId="658EE288" w14:textId="77777777" w:rsidR="00E403D6" w:rsidRPr="00F10391" w:rsidRDefault="00E403D6">
            <w:pPr>
              <w:rPr>
                <w:lang w:eastAsia="en-GB"/>
              </w:rPr>
            </w:pPr>
            <w:r w:rsidRPr="00F10391">
              <w:rPr>
                <w:lang w:eastAsia="en-GB"/>
              </w:rPr>
              <w:t>Journal of environmental management 58 (3):169-178 2000</w:t>
            </w:r>
          </w:p>
        </w:tc>
        <w:tc>
          <w:tcPr>
            <w:tcW w:w="919" w:type="dxa"/>
            <w:tcBorders>
              <w:top w:val="nil"/>
              <w:left w:val="nil"/>
              <w:bottom w:val="single" w:sz="4" w:space="0" w:color="auto"/>
              <w:right w:val="single" w:sz="4" w:space="0" w:color="auto"/>
            </w:tcBorders>
            <w:shd w:val="clear" w:color="auto" w:fill="auto"/>
            <w:noWrap/>
            <w:vAlign w:val="center"/>
            <w:hideMark/>
          </w:tcPr>
          <w:p w14:paraId="359572F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1695037"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003734F0"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0F67E5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B593D9F"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99DF49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BBC6FF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3A0A69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45C779C" w14:textId="77777777" w:rsidR="00E403D6" w:rsidRPr="00F10391" w:rsidRDefault="00E403D6" w:rsidP="00494A9A">
            <w:pPr>
              <w:rPr>
                <w:lang w:eastAsia="en-GB"/>
              </w:rPr>
            </w:pPr>
            <w:r w:rsidRPr="00F10391">
              <w:rPr>
                <w:lang w:eastAsia="en-GB"/>
              </w:rPr>
              <w:t>Drug harms in the UK: a multicriteria decision analysis</w:t>
            </w:r>
          </w:p>
        </w:tc>
        <w:tc>
          <w:tcPr>
            <w:tcW w:w="2475" w:type="dxa"/>
            <w:tcBorders>
              <w:top w:val="nil"/>
              <w:left w:val="nil"/>
              <w:bottom w:val="single" w:sz="4" w:space="0" w:color="auto"/>
              <w:right w:val="single" w:sz="4" w:space="0" w:color="auto"/>
            </w:tcBorders>
            <w:shd w:val="clear" w:color="auto" w:fill="auto"/>
            <w:vAlign w:val="center"/>
            <w:hideMark/>
          </w:tcPr>
          <w:p w14:paraId="3A654C3A" w14:textId="77777777" w:rsidR="00E403D6" w:rsidRPr="00F10391" w:rsidRDefault="00E403D6" w:rsidP="00490B5D">
            <w:pPr>
              <w:rPr>
                <w:lang w:eastAsia="en-GB"/>
              </w:rPr>
            </w:pPr>
            <w:r w:rsidRPr="00F10391">
              <w:rPr>
                <w:lang w:eastAsia="en-GB"/>
              </w:rPr>
              <w:t>Nutt DJ, King LA, Phillips LD, Independent Sci Comm Drugs</w:t>
            </w:r>
          </w:p>
        </w:tc>
        <w:tc>
          <w:tcPr>
            <w:tcW w:w="2475" w:type="dxa"/>
            <w:tcBorders>
              <w:top w:val="nil"/>
              <w:left w:val="nil"/>
              <w:bottom w:val="single" w:sz="4" w:space="0" w:color="auto"/>
              <w:right w:val="single" w:sz="4" w:space="0" w:color="auto"/>
            </w:tcBorders>
            <w:shd w:val="clear" w:color="auto" w:fill="auto"/>
            <w:vAlign w:val="center"/>
            <w:hideMark/>
          </w:tcPr>
          <w:p w14:paraId="5B2A1B85" w14:textId="77777777" w:rsidR="00E403D6" w:rsidRPr="00F10391" w:rsidRDefault="00E403D6">
            <w:pPr>
              <w:rPr>
                <w:lang w:eastAsia="en-GB"/>
              </w:rPr>
            </w:pPr>
            <w:r w:rsidRPr="00F10391">
              <w:rPr>
                <w:lang w:eastAsia="en-GB"/>
              </w:rPr>
              <w:t>Lancet 376 (9752):1558-1565 2010</w:t>
            </w:r>
          </w:p>
        </w:tc>
        <w:tc>
          <w:tcPr>
            <w:tcW w:w="919" w:type="dxa"/>
            <w:tcBorders>
              <w:top w:val="nil"/>
              <w:left w:val="nil"/>
              <w:bottom w:val="single" w:sz="4" w:space="0" w:color="auto"/>
              <w:right w:val="single" w:sz="4" w:space="0" w:color="auto"/>
            </w:tcBorders>
            <w:shd w:val="clear" w:color="auto" w:fill="auto"/>
            <w:noWrap/>
            <w:vAlign w:val="center"/>
            <w:hideMark/>
          </w:tcPr>
          <w:p w14:paraId="796E9DF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3AF3F70"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5216769"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D88D1B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4E1C6D3"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24955DBA"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1397094"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639FFA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5240457" w14:textId="77777777" w:rsidR="00E403D6" w:rsidRPr="00F10391" w:rsidRDefault="00E403D6" w:rsidP="00494A9A">
            <w:pPr>
              <w:rPr>
                <w:lang w:eastAsia="en-GB"/>
              </w:rPr>
            </w:pPr>
            <w:r w:rsidRPr="00F10391">
              <w:rPr>
                <w:lang w:eastAsia="en-GB"/>
              </w:rPr>
              <w:t>Economics, public health and health care purchasing: reinventing the wheel?</w:t>
            </w:r>
          </w:p>
        </w:tc>
        <w:tc>
          <w:tcPr>
            <w:tcW w:w="2475" w:type="dxa"/>
            <w:tcBorders>
              <w:top w:val="nil"/>
              <w:left w:val="nil"/>
              <w:bottom w:val="single" w:sz="4" w:space="0" w:color="auto"/>
              <w:right w:val="single" w:sz="4" w:space="0" w:color="auto"/>
            </w:tcBorders>
            <w:shd w:val="clear" w:color="auto" w:fill="auto"/>
            <w:vAlign w:val="center"/>
            <w:hideMark/>
          </w:tcPr>
          <w:p w14:paraId="71C73F64" w14:textId="77777777" w:rsidR="00E403D6" w:rsidRPr="00F10391" w:rsidRDefault="00E403D6" w:rsidP="00490B5D">
            <w:pPr>
              <w:rPr>
                <w:lang w:eastAsia="en-GB"/>
              </w:rPr>
            </w:pPr>
            <w:r w:rsidRPr="00F10391">
              <w:rPr>
                <w:lang w:eastAsia="en-GB"/>
              </w:rPr>
              <w:t>Donaldson C</w:t>
            </w:r>
          </w:p>
        </w:tc>
        <w:tc>
          <w:tcPr>
            <w:tcW w:w="2475" w:type="dxa"/>
            <w:tcBorders>
              <w:top w:val="nil"/>
              <w:left w:val="nil"/>
              <w:bottom w:val="single" w:sz="4" w:space="0" w:color="auto"/>
              <w:right w:val="single" w:sz="4" w:space="0" w:color="auto"/>
            </w:tcBorders>
            <w:shd w:val="clear" w:color="auto" w:fill="auto"/>
            <w:vAlign w:val="center"/>
            <w:hideMark/>
          </w:tcPr>
          <w:p w14:paraId="03D7CB9A" w14:textId="77777777" w:rsidR="00E403D6" w:rsidRPr="00F10391" w:rsidRDefault="00E403D6">
            <w:pPr>
              <w:rPr>
                <w:lang w:eastAsia="en-GB"/>
              </w:rPr>
            </w:pPr>
            <w:r w:rsidRPr="00F10391">
              <w:rPr>
                <w:lang w:eastAsia="en-GB"/>
              </w:rPr>
              <w:t>Health Policy. Aug 33(2):79-90. 1995</w:t>
            </w:r>
          </w:p>
        </w:tc>
        <w:tc>
          <w:tcPr>
            <w:tcW w:w="919" w:type="dxa"/>
            <w:tcBorders>
              <w:top w:val="nil"/>
              <w:left w:val="nil"/>
              <w:bottom w:val="single" w:sz="4" w:space="0" w:color="auto"/>
              <w:right w:val="single" w:sz="4" w:space="0" w:color="auto"/>
            </w:tcBorders>
            <w:shd w:val="clear" w:color="auto" w:fill="auto"/>
            <w:noWrap/>
            <w:vAlign w:val="center"/>
            <w:hideMark/>
          </w:tcPr>
          <w:p w14:paraId="08AA988F"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13AB4F9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E19ED3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3AE0CC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72D182B"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804F659"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516B8E2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C548E4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A11A96C" w14:textId="77777777" w:rsidR="00E403D6" w:rsidRPr="00F10391" w:rsidRDefault="00E403D6" w:rsidP="00494A9A">
            <w:pPr>
              <w:rPr>
                <w:lang w:eastAsia="en-GB"/>
              </w:rPr>
            </w:pPr>
            <w:r w:rsidRPr="00F10391">
              <w:rPr>
                <w:lang w:eastAsia="en-GB"/>
              </w:rPr>
              <w:t>Economics, public health and health care purchasing: the Tayside experience of programme budgeting and marginal analysis.</w:t>
            </w:r>
          </w:p>
        </w:tc>
        <w:tc>
          <w:tcPr>
            <w:tcW w:w="2475" w:type="dxa"/>
            <w:tcBorders>
              <w:top w:val="nil"/>
              <w:left w:val="nil"/>
              <w:bottom w:val="single" w:sz="4" w:space="0" w:color="auto"/>
              <w:right w:val="single" w:sz="4" w:space="0" w:color="auto"/>
            </w:tcBorders>
            <w:shd w:val="clear" w:color="auto" w:fill="auto"/>
            <w:vAlign w:val="center"/>
            <w:hideMark/>
          </w:tcPr>
          <w:p w14:paraId="329D6276" w14:textId="77777777" w:rsidR="00E403D6" w:rsidRPr="005D7324" w:rsidRDefault="00E403D6" w:rsidP="00F51F18">
            <w:pPr>
              <w:rPr>
                <w:lang w:eastAsia="en-GB"/>
              </w:rPr>
            </w:pPr>
            <w:r w:rsidRPr="005D7324">
              <w:rPr>
                <w:lang w:eastAsia="en-GB"/>
              </w:rPr>
              <w:t>Ruta DA, Donaldson C, Gilray I</w:t>
            </w:r>
          </w:p>
        </w:tc>
        <w:tc>
          <w:tcPr>
            <w:tcW w:w="2475" w:type="dxa"/>
            <w:tcBorders>
              <w:top w:val="nil"/>
              <w:left w:val="nil"/>
              <w:bottom w:val="single" w:sz="4" w:space="0" w:color="auto"/>
              <w:right w:val="single" w:sz="4" w:space="0" w:color="auto"/>
            </w:tcBorders>
            <w:shd w:val="clear" w:color="auto" w:fill="auto"/>
            <w:vAlign w:val="center"/>
            <w:hideMark/>
          </w:tcPr>
          <w:p w14:paraId="5AD7149E" w14:textId="77777777" w:rsidR="00E403D6" w:rsidRPr="00F10391" w:rsidRDefault="00E403D6">
            <w:pPr>
              <w:rPr>
                <w:lang w:eastAsia="en-GB"/>
              </w:rPr>
            </w:pPr>
            <w:r w:rsidRPr="005D7324">
              <w:rPr>
                <w:lang w:eastAsia="en-GB"/>
              </w:rPr>
              <w:t xml:space="preserve"> </w:t>
            </w:r>
            <w:r w:rsidRPr="00F10391">
              <w:rPr>
                <w:lang w:eastAsia="en-GB"/>
              </w:rPr>
              <w:t>J Health Serv Res Policy 1 (4):185-93 1996</w:t>
            </w:r>
          </w:p>
        </w:tc>
        <w:tc>
          <w:tcPr>
            <w:tcW w:w="919" w:type="dxa"/>
            <w:tcBorders>
              <w:top w:val="nil"/>
              <w:left w:val="nil"/>
              <w:bottom w:val="single" w:sz="4" w:space="0" w:color="auto"/>
              <w:right w:val="single" w:sz="4" w:space="0" w:color="auto"/>
            </w:tcBorders>
            <w:shd w:val="clear" w:color="auto" w:fill="auto"/>
            <w:noWrap/>
            <w:vAlign w:val="center"/>
            <w:hideMark/>
          </w:tcPr>
          <w:p w14:paraId="083EE3B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FB3AA8A"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AA26B0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3F04E19"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4F0E029"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7D45EE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948E3B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56DAAF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2E295AD" w14:textId="77777777" w:rsidR="00E403D6" w:rsidRPr="00F10391" w:rsidRDefault="00E403D6" w:rsidP="00494A9A">
            <w:pPr>
              <w:rPr>
                <w:lang w:eastAsia="en-GB"/>
              </w:rPr>
            </w:pPr>
            <w:r w:rsidRPr="00F10391">
              <w:rPr>
                <w:lang w:eastAsia="en-GB"/>
              </w:rPr>
              <w:t>Economics, public health and health care purchasing: the Tayside experience of programme budgeting and marginal analysis.</w:t>
            </w:r>
          </w:p>
        </w:tc>
        <w:tc>
          <w:tcPr>
            <w:tcW w:w="2475" w:type="dxa"/>
            <w:tcBorders>
              <w:top w:val="nil"/>
              <w:left w:val="nil"/>
              <w:bottom w:val="single" w:sz="4" w:space="0" w:color="auto"/>
              <w:right w:val="single" w:sz="4" w:space="0" w:color="auto"/>
            </w:tcBorders>
            <w:shd w:val="clear" w:color="auto" w:fill="auto"/>
            <w:vAlign w:val="center"/>
            <w:hideMark/>
          </w:tcPr>
          <w:p w14:paraId="0994F8ED" w14:textId="77777777" w:rsidR="00E403D6" w:rsidRPr="005D7324" w:rsidRDefault="00E403D6" w:rsidP="00F51F18">
            <w:pPr>
              <w:rPr>
                <w:lang w:eastAsia="en-GB"/>
              </w:rPr>
            </w:pPr>
            <w:r w:rsidRPr="005D7324">
              <w:rPr>
                <w:lang w:eastAsia="en-GB"/>
              </w:rPr>
              <w:t>Ruta DA Donaldson C Gilray I</w:t>
            </w:r>
          </w:p>
        </w:tc>
        <w:tc>
          <w:tcPr>
            <w:tcW w:w="2475" w:type="dxa"/>
            <w:tcBorders>
              <w:top w:val="nil"/>
              <w:left w:val="nil"/>
              <w:bottom w:val="single" w:sz="4" w:space="0" w:color="auto"/>
              <w:right w:val="single" w:sz="4" w:space="0" w:color="auto"/>
            </w:tcBorders>
            <w:shd w:val="clear" w:color="auto" w:fill="auto"/>
            <w:vAlign w:val="center"/>
            <w:hideMark/>
          </w:tcPr>
          <w:p w14:paraId="331E3EDE" w14:textId="77777777" w:rsidR="00E403D6" w:rsidRPr="00F10391" w:rsidRDefault="00E403D6">
            <w:pPr>
              <w:rPr>
                <w:lang w:eastAsia="en-GB"/>
              </w:rPr>
            </w:pPr>
            <w:r w:rsidRPr="00F10391">
              <w:rPr>
                <w:lang w:eastAsia="en-GB"/>
              </w:rPr>
              <w:t>J Health Serv Res Policy. 1(4):185-93. 1996</w:t>
            </w:r>
          </w:p>
        </w:tc>
        <w:tc>
          <w:tcPr>
            <w:tcW w:w="919" w:type="dxa"/>
            <w:tcBorders>
              <w:top w:val="nil"/>
              <w:left w:val="nil"/>
              <w:bottom w:val="single" w:sz="4" w:space="0" w:color="auto"/>
              <w:right w:val="single" w:sz="4" w:space="0" w:color="auto"/>
            </w:tcBorders>
            <w:shd w:val="clear" w:color="auto" w:fill="auto"/>
            <w:noWrap/>
            <w:vAlign w:val="center"/>
            <w:hideMark/>
          </w:tcPr>
          <w:p w14:paraId="2A5E88EA"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07B750AD"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1E9EC442"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4BDBCF6C" w14:textId="77777777" w:rsidR="00E403D6" w:rsidRPr="00F10391" w:rsidRDefault="00E403D6">
            <w:pPr>
              <w:rPr>
                <w:lang w:eastAsia="en-GB"/>
              </w:rPr>
            </w:pPr>
            <w:r w:rsidRPr="00F10391">
              <w:rPr>
                <w:lang w:eastAsia="en-GB"/>
              </w:rPr>
              <w:t> </w:t>
            </w:r>
          </w:p>
        </w:tc>
        <w:tc>
          <w:tcPr>
            <w:tcW w:w="707" w:type="dxa"/>
            <w:tcBorders>
              <w:top w:val="nil"/>
              <w:left w:val="nil"/>
              <w:bottom w:val="single" w:sz="4" w:space="0" w:color="auto"/>
              <w:right w:val="single" w:sz="4" w:space="0" w:color="auto"/>
            </w:tcBorders>
            <w:shd w:val="clear" w:color="auto" w:fill="auto"/>
            <w:noWrap/>
            <w:vAlign w:val="center"/>
            <w:hideMark/>
          </w:tcPr>
          <w:p w14:paraId="4AB14BF5" w14:textId="77777777" w:rsidR="00E403D6" w:rsidRPr="00F10391" w:rsidRDefault="00E403D6">
            <w:pPr>
              <w:rPr>
                <w:lang w:eastAsia="en-GB"/>
              </w:rPr>
            </w:pPr>
            <w:r w:rsidRPr="00F10391">
              <w:rPr>
                <w:lang w:eastAsia="en-GB"/>
              </w:rPr>
              <w:t> </w:t>
            </w:r>
          </w:p>
        </w:tc>
        <w:tc>
          <w:tcPr>
            <w:tcW w:w="794" w:type="dxa"/>
            <w:tcBorders>
              <w:top w:val="nil"/>
              <w:left w:val="nil"/>
              <w:bottom w:val="single" w:sz="4" w:space="0" w:color="auto"/>
              <w:right w:val="single" w:sz="4" w:space="0" w:color="auto"/>
            </w:tcBorders>
            <w:shd w:val="clear" w:color="auto" w:fill="auto"/>
            <w:noWrap/>
            <w:vAlign w:val="center"/>
            <w:hideMark/>
          </w:tcPr>
          <w:p w14:paraId="0EBBDB2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7D36F9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9C5A01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B445970" w14:textId="77777777" w:rsidR="00E403D6" w:rsidRPr="00F10391" w:rsidRDefault="00E403D6" w:rsidP="00494A9A">
            <w:pPr>
              <w:rPr>
                <w:lang w:eastAsia="en-GB"/>
              </w:rPr>
            </w:pPr>
            <w:r w:rsidRPr="00F10391">
              <w:rPr>
                <w:lang w:eastAsia="en-GB"/>
              </w:rPr>
              <w:t>Economics, public-health and health-care purchasing - reinventing the wheel</w:t>
            </w:r>
          </w:p>
        </w:tc>
        <w:tc>
          <w:tcPr>
            <w:tcW w:w="2475" w:type="dxa"/>
            <w:tcBorders>
              <w:top w:val="nil"/>
              <w:left w:val="nil"/>
              <w:bottom w:val="single" w:sz="4" w:space="0" w:color="auto"/>
              <w:right w:val="single" w:sz="4" w:space="0" w:color="auto"/>
            </w:tcBorders>
            <w:shd w:val="clear" w:color="auto" w:fill="auto"/>
            <w:vAlign w:val="center"/>
            <w:hideMark/>
          </w:tcPr>
          <w:p w14:paraId="4827EEC2" w14:textId="77777777" w:rsidR="00E403D6" w:rsidRPr="00F10391" w:rsidRDefault="00E403D6" w:rsidP="00F51F18">
            <w:pPr>
              <w:rPr>
                <w:lang w:eastAsia="en-GB"/>
              </w:rPr>
            </w:pPr>
            <w:r w:rsidRPr="00F10391">
              <w:rPr>
                <w:lang w:eastAsia="en-GB"/>
              </w:rPr>
              <w:t xml:space="preserve"> Donaldson C</w:t>
            </w:r>
          </w:p>
        </w:tc>
        <w:tc>
          <w:tcPr>
            <w:tcW w:w="2475" w:type="dxa"/>
            <w:tcBorders>
              <w:top w:val="nil"/>
              <w:left w:val="nil"/>
              <w:bottom w:val="single" w:sz="4" w:space="0" w:color="auto"/>
              <w:right w:val="single" w:sz="4" w:space="0" w:color="auto"/>
            </w:tcBorders>
            <w:shd w:val="clear" w:color="auto" w:fill="auto"/>
            <w:vAlign w:val="center"/>
            <w:hideMark/>
          </w:tcPr>
          <w:p w14:paraId="3EFF76D9" w14:textId="77777777" w:rsidR="00E403D6" w:rsidRPr="00F10391" w:rsidRDefault="00E403D6">
            <w:pPr>
              <w:rPr>
                <w:lang w:eastAsia="en-GB"/>
              </w:rPr>
            </w:pPr>
            <w:r w:rsidRPr="00F10391">
              <w:rPr>
                <w:lang w:eastAsia="en-GB"/>
              </w:rPr>
              <w:t>Health policy 33 (2):79-90 1995</w:t>
            </w:r>
          </w:p>
        </w:tc>
        <w:tc>
          <w:tcPr>
            <w:tcW w:w="919" w:type="dxa"/>
            <w:tcBorders>
              <w:top w:val="nil"/>
              <w:left w:val="nil"/>
              <w:bottom w:val="single" w:sz="4" w:space="0" w:color="auto"/>
              <w:right w:val="single" w:sz="4" w:space="0" w:color="auto"/>
            </w:tcBorders>
            <w:shd w:val="clear" w:color="auto" w:fill="auto"/>
            <w:noWrap/>
            <w:vAlign w:val="center"/>
            <w:hideMark/>
          </w:tcPr>
          <w:p w14:paraId="697F2BA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EBAE183"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726A46BD"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228ACEE"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D7F126F"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EF2FC6D"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ACA9BB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73215A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D9A700F" w14:textId="77777777" w:rsidR="00E403D6" w:rsidRPr="00F10391" w:rsidRDefault="00E403D6" w:rsidP="00494A9A">
            <w:pPr>
              <w:rPr>
                <w:lang w:eastAsia="en-GB"/>
              </w:rPr>
            </w:pPr>
            <w:r w:rsidRPr="00F10391">
              <w:rPr>
                <w:lang w:eastAsia="en-GB"/>
              </w:rPr>
              <w:t>Evaluating alternative strategies for wastewater recycling and reuse in the Mediterranean area</w:t>
            </w:r>
          </w:p>
        </w:tc>
        <w:tc>
          <w:tcPr>
            <w:tcW w:w="2475" w:type="dxa"/>
            <w:tcBorders>
              <w:top w:val="nil"/>
              <w:left w:val="nil"/>
              <w:bottom w:val="single" w:sz="4" w:space="0" w:color="auto"/>
              <w:right w:val="single" w:sz="4" w:space="0" w:color="auto"/>
            </w:tcBorders>
            <w:shd w:val="clear" w:color="auto" w:fill="auto"/>
            <w:vAlign w:val="center"/>
            <w:hideMark/>
          </w:tcPr>
          <w:p w14:paraId="28C9DF05" w14:textId="77777777" w:rsidR="00E403D6" w:rsidRPr="00F10391" w:rsidRDefault="00E403D6" w:rsidP="00F51F18">
            <w:pPr>
              <w:rPr>
                <w:lang w:eastAsia="en-GB"/>
              </w:rPr>
            </w:pPr>
            <w:r w:rsidRPr="00F10391">
              <w:rPr>
                <w:lang w:eastAsia="en-GB"/>
              </w:rPr>
              <w:t xml:space="preserve"> Ganoulis J</w:t>
            </w:r>
          </w:p>
        </w:tc>
        <w:tc>
          <w:tcPr>
            <w:tcW w:w="2475" w:type="dxa"/>
            <w:tcBorders>
              <w:top w:val="nil"/>
              <w:left w:val="nil"/>
              <w:bottom w:val="single" w:sz="4" w:space="0" w:color="auto"/>
              <w:right w:val="single" w:sz="4" w:space="0" w:color="auto"/>
            </w:tcBorders>
            <w:shd w:val="clear" w:color="auto" w:fill="auto"/>
            <w:vAlign w:val="center"/>
            <w:hideMark/>
          </w:tcPr>
          <w:p w14:paraId="637D8820" w14:textId="77777777" w:rsidR="00E403D6" w:rsidRPr="00F10391" w:rsidRDefault="00E403D6">
            <w:pPr>
              <w:rPr>
                <w:lang w:eastAsia="en-GB"/>
              </w:rPr>
            </w:pPr>
            <w:r w:rsidRPr="00F10391">
              <w:rPr>
                <w:lang w:eastAsia="en-GB"/>
              </w:rPr>
              <w:t>Water Science and  Technology: Water Supply 3 (4), pp. 11–19 2003</w:t>
            </w:r>
          </w:p>
        </w:tc>
        <w:tc>
          <w:tcPr>
            <w:tcW w:w="919" w:type="dxa"/>
            <w:tcBorders>
              <w:top w:val="nil"/>
              <w:left w:val="nil"/>
              <w:bottom w:val="single" w:sz="4" w:space="0" w:color="auto"/>
              <w:right w:val="single" w:sz="4" w:space="0" w:color="auto"/>
            </w:tcBorders>
            <w:shd w:val="clear" w:color="auto" w:fill="auto"/>
            <w:noWrap/>
            <w:vAlign w:val="center"/>
            <w:hideMark/>
          </w:tcPr>
          <w:p w14:paraId="61DC0E23"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2173EB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0CEB35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4C248B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C6DC02B"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9722A5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BCECA4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B9DEBA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7747830" w14:textId="77777777" w:rsidR="00E403D6" w:rsidRPr="00F10391" w:rsidRDefault="00E403D6" w:rsidP="00494A9A">
            <w:pPr>
              <w:rPr>
                <w:lang w:eastAsia="en-GB"/>
              </w:rPr>
            </w:pPr>
            <w:r w:rsidRPr="00F10391">
              <w:rPr>
                <w:lang w:eastAsia="en-GB"/>
              </w:rPr>
              <w:t>Evaluating environmental sustainability: An integration of multiple-criteria decision-making and fuzzy logic</w:t>
            </w:r>
          </w:p>
        </w:tc>
        <w:tc>
          <w:tcPr>
            <w:tcW w:w="2475" w:type="dxa"/>
            <w:tcBorders>
              <w:top w:val="nil"/>
              <w:left w:val="nil"/>
              <w:bottom w:val="single" w:sz="4" w:space="0" w:color="auto"/>
              <w:right w:val="single" w:sz="4" w:space="0" w:color="auto"/>
            </w:tcBorders>
            <w:shd w:val="clear" w:color="auto" w:fill="auto"/>
            <w:vAlign w:val="center"/>
            <w:hideMark/>
          </w:tcPr>
          <w:p w14:paraId="6A3393D7" w14:textId="77777777" w:rsidR="00E403D6" w:rsidRPr="00F10391" w:rsidRDefault="00E403D6" w:rsidP="00F51F18">
            <w:pPr>
              <w:rPr>
                <w:lang w:eastAsia="en-GB"/>
              </w:rPr>
            </w:pPr>
            <w:r w:rsidRPr="00F10391">
              <w:rPr>
                <w:lang w:eastAsia="en-GB"/>
              </w:rPr>
              <w:t xml:space="preserve"> Liu KFR</w:t>
            </w:r>
          </w:p>
        </w:tc>
        <w:tc>
          <w:tcPr>
            <w:tcW w:w="2475" w:type="dxa"/>
            <w:tcBorders>
              <w:top w:val="nil"/>
              <w:left w:val="nil"/>
              <w:bottom w:val="single" w:sz="4" w:space="0" w:color="auto"/>
              <w:right w:val="single" w:sz="4" w:space="0" w:color="auto"/>
            </w:tcBorders>
            <w:shd w:val="clear" w:color="auto" w:fill="auto"/>
            <w:vAlign w:val="center"/>
            <w:hideMark/>
          </w:tcPr>
          <w:p w14:paraId="57BB871B" w14:textId="77777777" w:rsidR="00E403D6" w:rsidRPr="00F10391" w:rsidRDefault="00E403D6">
            <w:pPr>
              <w:rPr>
                <w:lang w:eastAsia="en-GB"/>
              </w:rPr>
            </w:pPr>
            <w:r w:rsidRPr="00F10391">
              <w:rPr>
                <w:lang w:eastAsia="en-GB"/>
              </w:rPr>
              <w:t>Environmental management 39 (5):721-736 2007</w:t>
            </w:r>
          </w:p>
        </w:tc>
        <w:tc>
          <w:tcPr>
            <w:tcW w:w="919" w:type="dxa"/>
            <w:tcBorders>
              <w:top w:val="nil"/>
              <w:left w:val="nil"/>
              <w:bottom w:val="single" w:sz="4" w:space="0" w:color="auto"/>
              <w:right w:val="single" w:sz="4" w:space="0" w:color="auto"/>
            </w:tcBorders>
            <w:shd w:val="clear" w:color="auto" w:fill="auto"/>
            <w:noWrap/>
            <w:vAlign w:val="center"/>
            <w:hideMark/>
          </w:tcPr>
          <w:p w14:paraId="503AF525"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00DB5A3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A20DEA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A0A6B0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CB815E6"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1D2D0128"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29224E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5D00DE7"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4659785" w14:textId="77777777" w:rsidR="00E403D6" w:rsidRPr="00F10391" w:rsidRDefault="00E403D6" w:rsidP="00494A9A">
            <w:pPr>
              <w:rPr>
                <w:lang w:eastAsia="en-GB"/>
              </w:rPr>
            </w:pPr>
            <w:r w:rsidRPr="00F10391">
              <w:rPr>
                <w:lang w:eastAsia="en-GB"/>
              </w:rPr>
              <w:t>Evaluating innovation in general practice: a pragmatic framework using programme budgeting and marginal analysis.</w:t>
            </w:r>
          </w:p>
        </w:tc>
        <w:tc>
          <w:tcPr>
            <w:tcW w:w="2475" w:type="dxa"/>
            <w:tcBorders>
              <w:top w:val="nil"/>
              <w:left w:val="nil"/>
              <w:bottom w:val="single" w:sz="4" w:space="0" w:color="auto"/>
              <w:right w:val="single" w:sz="4" w:space="0" w:color="auto"/>
            </w:tcBorders>
            <w:shd w:val="clear" w:color="auto" w:fill="auto"/>
            <w:vAlign w:val="center"/>
            <w:hideMark/>
          </w:tcPr>
          <w:p w14:paraId="187291DA" w14:textId="77777777" w:rsidR="00E403D6" w:rsidRPr="00F10391" w:rsidRDefault="00E403D6" w:rsidP="00F51F18">
            <w:pPr>
              <w:rPr>
                <w:lang w:eastAsia="en-GB"/>
              </w:rPr>
            </w:pPr>
            <w:r w:rsidRPr="00F10391">
              <w:rPr>
                <w:lang w:eastAsia="en-GB"/>
              </w:rPr>
              <w:t>Scott A, Currie N, Donaldson C</w:t>
            </w:r>
          </w:p>
        </w:tc>
        <w:tc>
          <w:tcPr>
            <w:tcW w:w="2475" w:type="dxa"/>
            <w:tcBorders>
              <w:top w:val="nil"/>
              <w:left w:val="nil"/>
              <w:bottom w:val="single" w:sz="4" w:space="0" w:color="auto"/>
              <w:right w:val="single" w:sz="4" w:space="0" w:color="auto"/>
            </w:tcBorders>
            <w:shd w:val="clear" w:color="auto" w:fill="auto"/>
            <w:vAlign w:val="center"/>
            <w:hideMark/>
          </w:tcPr>
          <w:p w14:paraId="7E520513" w14:textId="77777777" w:rsidR="00E403D6" w:rsidRPr="00F10391" w:rsidRDefault="00E403D6">
            <w:pPr>
              <w:rPr>
                <w:lang w:eastAsia="en-GB"/>
              </w:rPr>
            </w:pPr>
            <w:r w:rsidRPr="00F10391">
              <w:rPr>
                <w:lang w:eastAsia="en-GB"/>
              </w:rPr>
              <w:t>Fam PractJun.15(3):216-22  1998</w:t>
            </w:r>
          </w:p>
        </w:tc>
        <w:tc>
          <w:tcPr>
            <w:tcW w:w="919" w:type="dxa"/>
            <w:tcBorders>
              <w:top w:val="nil"/>
              <w:left w:val="nil"/>
              <w:bottom w:val="single" w:sz="4" w:space="0" w:color="auto"/>
              <w:right w:val="single" w:sz="4" w:space="0" w:color="auto"/>
            </w:tcBorders>
            <w:shd w:val="clear" w:color="auto" w:fill="auto"/>
            <w:noWrap/>
            <w:vAlign w:val="center"/>
            <w:hideMark/>
          </w:tcPr>
          <w:p w14:paraId="2B99A28A"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3FFD4CB1"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37403D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4C4D56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E3CB3F4"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9D06D10"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BF4B4F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EFEA89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9B20F09" w14:textId="77777777" w:rsidR="00E403D6" w:rsidRPr="00F10391" w:rsidRDefault="00E403D6" w:rsidP="00494A9A">
            <w:pPr>
              <w:rPr>
                <w:lang w:eastAsia="en-GB"/>
              </w:rPr>
            </w:pPr>
            <w:r w:rsidRPr="00F10391">
              <w:rPr>
                <w:lang w:eastAsia="en-GB"/>
              </w:rPr>
              <w:t>From comparative risk assessment to multi-criteria decision analysis and adaptive management: Recent developments and applications</w:t>
            </w:r>
          </w:p>
        </w:tc>
        <w:tc>
          <w:tcPr>
            <w:tcW w:w="2475" w:type="dxa"/>
            <w:tcBorders>
              <w:top w:val="nil"/>
              <w:left w:val="nil"/>
              <w:bottom w:val="single" w:sz="4" w:space="0" w:color="auto"/>
              <w:right w:val="single" w:sz="4" w:space="0" w:color="auto"/>
            </w:tcBorders>
            <w:shd w:val="clear" w:color="auto" w:fill="auto"/>
            <w:vAlign w:val="center"/>
            <w:hideMark/>
          </w:tcPr>
          <w:p w14:paraId="6EF7CE58" w14:textId="77777777" w:rsidR="00E403D6" w:rsidRPr="00F10391" w:rsidRDefault="00E403D6" w:rsidP="00F51F18">
            <w:pPr>
              <w:rPr>
                <w:lang w:eastAsia="en-GB"/>
              </w:rPr>
            </w:pPr>
            <w:r w:rsidRPr="00F10391">
              <w:rPr>
                <w:lang w:eastAsia="en-GB"/>
              </w:rPr>
              <w:t>Linkov I, Satterstrom FK, Kiker G, Batchelor C, Bridges T, Ferguson E</w:t>
            </w:r>
          </w:p>
        </w:tc>
        <w:tc>
          <w:tcPr>
            <w:tcW w:w="2475" w:type="dxa"/>
            <w:tcBorders>
              <w:top w:val="nil"/>
              <w:left w:val="nil"/>
              <w:bottom w:val="single" w:sz="4" w:space="0" w:color="auto"/>
              <w:right w:val="single" w:sz="4" w:space="0" w:color="auto"/>
            </w:tcBorders>
            <w:shd w:val="clear" w:color="auto" w:fill="auto"/>
            <w:vAlign w:val="center"/>
            <w:hideMark/>
          </w:tcPr>
          <w:p w14:paraId="33B3EC66" w14:textId="77777777" w:rsidR="00E403D6" w:rsidRPr="00F10391" w:rsidRDefault="00E403D6">
            <w:pPr>
              <w:rPr>
                <w:lang w:eastAsia="en-GB"/>
              </w:rPr>
            </w:pPr>
            <w:r w:rsidRPr="00F10391">
              <w:rPr>
                <w:lang w:eastAsia="en-GB"/>
              </w:rPr>
              <w:t>Environment international 32 (8):1072-1093 2006</w:t>
            </w:r>
          </w:p>
        </w:tc>
        <w:tc>
          <w:tcPr>
            <w:tcW w:w="919" w:type="dxa"/>
            <w:tcBorders>
              <w:top w:val="nil"/>
              <w:left w:val="nil"/>
              <w:bottom w:val="single" w:sz="4" w:space="0" w:color="auto"/>
              <w:right w:val="single" w:sz="4" w:space="0" w:color="auto"/>
            </w:tcBorders>
            <w:shd w:val="clear" w:color="auto" w:fill="auto"/>
            <w:noWrap/>
            <w:vAlign w:val="center"/>
            <w:hideMark/>
          </w:tcPr>
          <w:p w14:paraId="1880C43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EF476E8"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3825E9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B73F5E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AACEB4C"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26CB7051"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5A0A59F"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856ECC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A959A6A" w14:textId="77777777" w:rsidR="00E403D6" w:rsidRPr="00F10391" w:rsidRDefault="00E403D6" w:rsidP="00494A9A">
            <w:pPr>
              <w:rPr>
                <w:lang w:eastAsia="en-GB"/>
              </w:rPr>
            </w:pPr>
            <w:r w:rsidRPr="00F10391">
              <w:rPr>
                <w:lang w:eastAsia="en-GB"/>
              </w:rPr>
              <w:t>GIS-based approach for optimized siting of municipal solid waste landfill</w:t>
            </w:r>
          </w:p>
        </w:tc>
        <w:tc>
          <w:tcPr>
            <w:tcW w:w="2475" w:type="dxa"/>
            <w:tcBorders>
              <w:top w:val="nil"/>
              <w:left w:val="nil"/>
              <w:bottom w:val="single" w:sz="4" w:space="0" w:color="auto"/>
              <w:right w:val="single" w:sz="4" w:space="0" w:color="auto"/>
            </w:tcBorders>
            <w:shd w:val="clear" w:color="auto" w:fill="auto"/>
            <w:vAlign w:val="center"/>
            <w:hideMark/>
          </w:tcPr>
          <w:p w14:paraId="0851C940" w14:textId="77777777" w:rsidR="00E403D6" w:rsidRPr="00F10391" w:rsidRDefault="00E403D6" w:rsidP="00F51F18">
            <w:pPr>
              <w:rPr>
                <w:lang w:eastAsia="en-GB"/>
              </w:rPr>
            </w:pPr>
            <w:r w:rsidRPr="00F10391">
              <w:rPr>
                <w:lang w:eastAsia="en-GB"/>
              </w:rPr>
              <w:t>Sumathi VR, Natesan U, Sarkar C</w:t>
            </w:r>
          </w:p>
        </w:tc>
        <w:tc>
          <w:tcPr>
            <w:tcW w:w="2475" w:type="dxa"/>
            <w:tcBorders>
              <w:top w:val="nil"/>
              <w:left w:val="nil"/>
              <w:bottom w:val="single" w:sz="4" w:space="0" w:color="auto"/>
              <w:right w:val="single" w:sz="4" w:space="0" w:color="auto"/>
            </w:tcBorders>
            <w:shd w:val="clear" w:color="auto" w:fill="auto"/>
            <w:vAlign w:val="center"/>
            <w:hideMark/>
          </w:tcPr>
          <w:p w14:paraId="44A24F93" w14:textId="77777777" w:rsidR="00E403D6" w:rsidRPr="00F10391" w:rsidRDefault="00E403D6">
            <w:pPr>
              <w:rPr>
                <w:lang w:eastAsia="en-GB"/>
              </w:rPr>
            </w:pPr>
            <w:r w:rsidRPr="00F10391">
              <w:rPr>
                <w:lang w:eastAsia="en-GB"/>
              </w:rPr>
              <w:t>Waste management 28 (11):2146-2160 2008</w:t>
            </w:r>
          </w:p>
        </w:tc>
        <w:tc>
          <w:tcPr>
            <w:tcW w:w="919" w:type="dxa"/>
            <w:tcBorders>
              <w:top w:val="nil"/>
              <w:left w:val="nil"/>
              <w:bottom w:val="single" w:sz="4" w:space="0" w:color="auto"/>
              <w:right w:val="single" w:sz="4" w:space="0" w:color="auto"/>
            </w:tcBorders>
            <w:shd w:val="clear" w:color="auto" w:fill="auto"/>
            <w:noWrap/>
            <w:vAlign w:val="center"/>
            <w:hideMark/>
          </w:tcPr>
          <w:p w14:paraId="21D3A481"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F5AA422"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35779D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DE98CD0"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3CBD662"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DEC711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2BBC3E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CD70068"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9C5634E" w14:textId="77777777" w:rsidR="00E403D6" w:rsidRPr="00F10391" w:rsidRDefault="00E403D6" w:rsidP="00494A9A">
            <w:pPr>
              <w:rPr>
                <w:lang w:eastAsia="en-GB"/>
              </w:rPr>
            </w:pPr>
            <w:r w:rsidRPr="00F10391">
              <w:rPr>
                <w:lang w:eastAsia="en-GB"/>
              </w:rPr>
              <w:t>Hospital site selection using fuzzy AHP and its derivatives</w:t>
            </w:r>
          </w:p>
        </w:tc>
        <w:tc>
          <w:tcPr>
            <w:tcW w:w="2475" w:type="dxa"/>
            <w:tcBorders>
              <w:top w:val="nil"/>
              <w:left w:val="nil"/>
              <w:bottom w:val="single" w:sz="4" w:space="0" w:color="auto"/>
              <w:right w:val="single" w:sz="4" w:space="0" w:color="auto"/>
            </w:tcBorders>
            <w:shd w:val="clear" w:color="auto" w:fill="auto"/>
            <w:vAlign w:val="center"/>
            <w:hideMark/>
          </w:tcPr>
          <w:p w14:paraId="047F9436" w14:textId="77777777" w:rsidR="00E403D6" w:rsidRPr="00F10391" w:rsidRDefault="00E403D6" w:rsidP="00F51F18">
            <w:pPr>
              <w:rPr>
                <w:lang w:eastAsia="en-GB"/>
              </w:rPr>
            </w:pPr>
            <w:r w:rsidRPr="00F10391">
              <w:rPr>
                <w:lang w:eastAsia="en-GB"/>
              </w:rPr>
              <w:t>Vahidnia MH, Alesheikh AA, Alimohammadi A</w:t>
            </w:r>
          </w:p>
        </w:tc>
        <w:tc>
          <w:tcPr>
            <w:tcW w:w="2475" w:type="dxa"/>
            <w:tcBorders>
              <w:top w:val="nil"/>
              <w:left w:val="nil"/>
              <w:bottom w:val="single" w:sz="4" w:space="0" w:color="auto"/>
              <w:right w:val="single" w:sz="4" w:space="0" w:color="auto"/>
            </w:tcBorders>
            <w:shd w:val="clear" w:color="auto" w:fill="auto"/>
            <w:vAlign w:val="center"/>
            <w:hideMark/>
          </w:tcPr>
          <w:p w14:paraId="2D658C2C" w14:textId="77777777" w:rsidR="00E403D6" w:rsidRPr="00F10391" w:rsidRDefault="00E403D6">
            <w:pPr>
              <w:rPr>
                <w:lang w:eastAsia="en-GB"/>
              </w:rPr>
            </w:pPr>
            <w:r w:rsidRPr="00F10391">
              <w:rPr>
                <w:lang w:eastAsia="en-GB"/>
              </w:rPr>
              <w:t xml:space="preserve"> Journal of environmental management 90 (10):3048-3056 2009</w:t>
            </w:r>
          </w:p>
        </w:tc>
        <w:tc>
          <w:tcPr>
            <w:tcW w:w="919" w:type="dxa"/>
            <w:tcBorders>
              <w:top w:val="nil"/>
              <w:left w:val="nil"/>
              <w:bottom w:val="single" w:sz="4" w:space="0" w:color="auto"/>
              <w:right w:val="single" w:sz="4" w:space="0" w:color="auto"/>
            </w:tcBorders>
            <w:shd w:val="clear" w:color="auto" w:fill="auto"/>
            <w:noWrap/>
            <w:vAlign w:val="center"/>
            <w:hideMark/>
          </w:tcPr>
          <w:p w14:paraId="2BBF4270"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3647CFB"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11B8F2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94FF9E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C32DCDF"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6503B90"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5F09FA5F"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C6478C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F374CDA" w14:textId="77777777" w:rsidR="00E403D6" w:rsidRPr="00F10391" w:rsidRDefault="00E403D6" w:rsidP="00494A9A">
            <w:pPr>
              <w:rPr>
                <w:lang w:eastAsia="en-GB"/>
              </w:rPr>
            </w:pPr>
            <w:r w:rsidRPr="00F10391">
              <w:rPr>
                <w:lang w:eastAsia="en-GB"/>
              </w:rPr>
              <w:t>Incentives, MCDM, and environmental-protection</w:t>
            </w:r>
          </w:p>
        </w:tc>
        <w:tc>
          <w:tcPr>
            <w:tcW w:w="2475" w:type="dxa"/>
            <w:tcBorders>
              <w:top w:val="nil"/>
              <w:left w:val="nil"/>
              <w:bottom w:val="single" w:sz="4" w:space="0" w:color="auto"/>
              <w:right w:val="single" w:sz="4" w:space="0" w:color="auto"/>
            </w:tcBorders>
            <w:shd w:val="clear" w:color="auto" w:fill="auto"/>
            <w:vAlign w:val="center"/>
            <w:hideMark/>
          </w:tcPr>
          <w:p w14:paraId="078C3472" w14:textId="77777777" w:rsidR="00E403D6" w:rsidRPr="00F10391" w:rsidRDefault="00E403D6" w:rsidP="00F51F18">
            <w:pPr>
              <w:rPr>
                <w:lang w:eastAsia="en-GB"/>
              </w:rPr>
            </w:pPr>
            <w:r w:rsidRPr="00F10391">
              <w:rPr>
                <w:lang w:eastAsia="en-GB"/>
              </w:rPr>
              <w:t>Nagel S, Nagel R</w:t>
            </w:r>
          </w:p>
        </w:tc>
        <w:tc>
          <w:tcPr>
            <w:tcW w:w="2475" w:type="dxa"/>
            <w:tcBorders>
              <w:top w:val="nil"/>
              <w:left w:val="nil"/>
              <w:bottom w:val="single" w:sz="4" w:space="0" w:color="auto"/>
              <w:right w:val="single" w:sz="4" w:space="0" w:color="auto"/>
            </w:tcBorders>
            <w:shd w:val="clear" w:color="auto" w:fill="auto"/>
            <w:vAlign w:val="center"/>
            <w:hideMark/>
          </w:tcPr>
          <w:p w14:paraId="28C4A699" w14:textId="77777777" w:rsidR="00E403D6" w:rsidRPr="00F10391" w:rsidRDefault="00E403D6">
            <w:pPr>
              <w:rPr>
                <w:lang w:eastAsia="en-GB"/>
              </w:rPr>
            </w:pPr>
            <w:r w:rsidRPr="00F10391">
              <w:rPr>
                <w:lang w:eastAsia="en-GB"/>
              </w:rPr>
              <w:t>Journal of environmental systems 19 (1):25-32 1989</w:t>
            </w:r>
          </w:p>
        </w:tc>
        <w:tc>
          <w:tcPr>
            <w:tcW w:w="919" w:type="dxa"/>
            <w:tcBorders>
              <w:top w:val="nil"/>
              <w:left w:val="nil"/>
              <w:bottom w:val="single" w:sz="4" w:space="0" w:color="auto"/>
              <w:right w:val="single" w:sz="4" w:space="0" w:color="auto"/>
            </w:tcBorders>
            <w:shd w:val="clear" w:color="auto" w:fill="auto"/>
            <w:noWrap/>
            <w:vAlign w:val="center"/>
            <w:hideMark/>
          </w:tcPr>
          <w:p w14:paraId="1B38035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EE5E11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3F86B0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C2E85D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FD17FF1"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13261D8A"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847FA9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28497A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57B0811" w14:textId="77777777" w:rsidR="00E403D6" w:rsidRPr="00F10391" w:rsidRDefault="00E403D6" w:rsidP="00494A9A">
            <w:pPr>
              <w:rPr>
                <w:lang w:eastAsia="en-GB"/>
              </w:rPr>
            </w:pPr>
            <w:r w:rsidRPr="00F10391">
              <w:rPr>
                <w:lang w:eastAsia="en-GB"/>
              </w:rPr>
              <w:t>Incorporating Linguistic, Probabilistic, and Possibilistic Information in a Risk-Based Approach for Ranking Contaminated Sites</w:t>
            </w:r>
          </w:p>
        </w:tc>
        <w:tc>
          <w:tcPr>
            <w:tcW w:w="2475" w:type="dxa"/>
            <w:tcBorders>
              <w:top w:val="nil"/>
              <w:left w:val="nil"/>
              <w:bottom w:val="single" w:sz="4" w:space="0" w:color="auto"/>
              <w:right w:val="single" w:sz="4" w:space="0" w:color="auto"/>
            </w:tcBorders>
            <w:shd w:val="clear" w:color="auto" w:fill="auto"/>
            <w:vAlign w:val="center"/>
            <w:hideMark/>
          </w:tcPr>
          <w:p w14:paraId="0BF16BD7" w14:textId="77777777" w:rsidR="00E403D6" w:rsidRPr="005D7324" w:rsidRDefault="00E403D6" w:rsidP="00F51F18">
            <w:pPr>
              <w:rPr>
                <w:lang w:eastAsia="en-GB"/>
              </w:rPr>
            </w:pPr>
            <w:r w:rsidRPr="005D7324">
              <w:rPr>
                <w:lang w:eastAsia="en-GB"/>
              </w:rPr>
              <w:t>Zhang K, Achari G, Pei Y</w:t>
            </w:r>
          </w:p>
        </w:tc>
        <w:tc>
          <w:tcPr>
            <w:tcW w:w="2475" w:type="dxa"/>
            <w:tcBorders>
              <w:top w:val="nil"/>
              <w:left w:val="nil"/>
              <w:bottom w:val="single" w:sz="4" w:space="0" w:color="auto"/>
              <w:right w:val="single" w:sz="4" w:space="0" w:color="auto"/>
            </w:tcBorders>
            <w:shd w:val="clear" w:color="auto" w:fill="auto"/>
            <w:vAlign w:val="center"/>
            <w:hideMark/>
          </w:tcPr>
          <w:p w14:paraId="47C2CDBA" w14:textId="77777777" w:rsidR="00E403D6" w:rsidRPr="00F10391" w:rsidRDefault="00E403D6">
            <w:pPr>
              <w:rPr>
                <w:lang w:eastAsia="en-GB"/>
              </w:rPr>
            </w:pPr>
            <w:r w:rsidRPr="00F10391">
              <w:rPr>
                <w:lang w:eastAsia="en-GB"/>
              </w:rPr>
              <w:t>Integrated Environmental Assessment and Management 6 (4): 2010</w:t>
            </w:r>
          </w:p>
        </w:tc>
        <w:tc>
          <w:tcPr>
            <w:tcW w:w="919" w:type="dxa"/>
            <w:tcBorders>
              <w:top w:val="nil"/>
              <w:left w:val="nil"/>
              <w:bottom w:val="single" w:sz="4" w:space="0" w:color="auto"/>
              <w:right w:val="single" w:sz="4" w:space="0" w:color="auto"/>
            </w:tcBorders>
            <w:shd w:val="clear" w:color="auto" w:fill="auto"/>
            <w:noWrap/>
            <w:vAlign w:val="center"/>
            <w:hideMark/>
          </w:tcPr>
          <w:p w14:paraId="175B425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30DFC4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A93C10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160FAD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083E704"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1F42674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181256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6FF9E29"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3BA4366" w14:textId="77777777" w:rsidR="00E403D6" w:rsidRPr="00F10391" w:rsidRDefault="00E403D6" w:rsidP="00494A9A">
            <w:pPr>
              <w:rPr>
                <w:lang w:eastAsia="en-GB"/>
              </w:rPr>
            </w:pPr>
            <w:r w:rsidRPr="00F10391">
              <w:rPr>
                <w:lang w:eastAsia="en-GB"/>
              </w:rPr>
              <w:t>Influence of fuel composition on polycyclic aromatic hydrocarbon emissions from a fleet of in-service passenger cars</w:t>
            </w:r>
          </w:p>
        </w:tc>
        <w:tc>
          <w:tcPr>
            <w:tcW w:w="2475" w:type="dxa"/>
            <w:tcBorders>
              <w:top w:val="nil"/>
              <w:left w:val="nil"/>
              <w:bottom w:val="single" w:sz="4" w:space="0" w:color="auto"/>
              <w:right w:val="single" w:sz="4" w:space="0" w:color="auto"/>
            </w:tcBorders>
            <w:shd w:val="clear" w:color="auto" w:fill="auto"/>
            <w:vAlign w:val="center"/>
            <w:hideMark/>
          </w:tcPr>
          <w:p w14:paraId="6BB86B35" w14:textId="77777777" w:rsidR="00E403D6" w:rsidRPr="00F10391" w:rsidRDefault="00E403D6" w:rsidP="00F51F18">
            <w:pPr>
              <w:rPr>
                <w:lang w:eastAsia="en-GB"/>
              </w:rPr>
            </w:pPr>
            <w:r w:rsidRPr="00F10391">
              <w:rPr>
                <w:lang w:eastAsia="en-GB"/>
              </w:rPr>
              <w:t>Lim MCH, Ayoko GA, Morawska L, Ristovski ZD, Jayaratne ER</w:t>
            </w:r>
          </w:p>
        </w:tc>
        <w:tc>
          <w:tcPr>
            <w:tcW w:w="2475" w:type="dxa"/>
            <w:tcBorders>
              <w:top w:val="nil"/>
              <w:left w:val="nil"/>
              <w:bottom w:val="single" w:sz="4" w:space="0" w:color="auto"/>
              <w:right w:val="single" w:sz="4" w:space="0" w:color="auto"/>
            </w:tcBorders>
            <w:shd w:val="clear" w:color="auto" w:fill="auto"/>
            <w:vAlign w:val="center"/>
            <w:hideMark/>
          </w:tcPr>
          <w:p w14:paraId="1CF5B137" w14:textId="77777777" w:rsidR="00E403D6" w:rsidRPr="00F10391" w:rsidRDefault="00E403D6">
            <w:pPr>
              <w:rPr>
                <w:lang w:eastAsia="en-GB"/>
              </w:rPr>
            </w:pPr>
            <w:r w:rsidRPr="00F10391">
              <w:rPr>
                <w:lang w:eastAsia="en-GB"/>
              </w:rPr>
              <w:t xml:space="preserve"> Atmospheric environment 41 (1):150-160 2007</w:t>
            </w:r>
          </w:p>
        </w:tc>
        <w:tc>
          <w:tcPr>
            <w:tcW w:w="919" w:type="dxa"/>
            <w:tcBorders>
              <w:top w:val="nil"/>
              <w:left w:val="nil"/>
              <w:bottom w:val="single" w:sz="4" w:space="0" w:color="auto"/>
              <w:right w:val="single" w:sz="4" w:space="0" w:color="auto"/>
            </w:tcBorders>
            <w:shd w:val="clear" w:color="auto" w:fill="auto"/>
            <w:noWrap/>
            <w:vAlign w:val="center"/>
            <w:hideMark/>
          </w:tcPr>
          <w:p w14:paraId="189C4042"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D59DD1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B82E51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79C60C1"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5389013"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5FBF913"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E8F356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6E1EE2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7634F27" w14:textId="77777777" w:rsidR="00E403D6" w:rsidRPr="00F10391" w:rsidRDefault="00E403D6" w:rsidP="00494A9A">
            <w:pPr>
              <w:rPr>
                <w:lang w:eastAsia="en-GB"/>
              </w:rPr>
            </w:pPr>
            <w:r w:rsidRPr="00F10391">
              <w:rPr>
                <w:lang w:eastAsia="en-GB"/>
              </w:rPr>
              <w:t>Institutional considerations in priority setting: transactions cost perspective on PBMA.</w:t>
            </w:r>
          </w:p>
        </w:tc>
        <w:tc>
          <w:tcPr>
            <w:tcW w:w="2475" w:type="dxa"/>
            <w:tcBorders>
              <w:top w:val="nil"/>
              <w:left w:val="nil"/>
              <w:bottom w:val="single" w:sz="4" w:space="0" w:color="auto"/>
              <w:right w:val="single" w:sz="4" w:space="0" w:color="auto"/>
            </w:tcBorders>
            <w:shd w:val="clear" w:color="auto" w:fill="auto"/>
            <w:vAlign w:val="center"/>
            <w:hideMark/>
          </w:tcPr>
          <w:p w14:paraId="67E07736" w14:textId="77777777" w:rsidR="00E403D6" w:rsidRPr="00F10391" w:rsidRDefault="00E403D6" w:rsidP="00F51F18">
            <w:pPr>
              <w:rPr>
                <w:lang w:eastAsia="en-GB"/>
              </w:rPr>
            </w:pPr>
            <w:r w:rsidRPr="00F10391">
              <w:rPr>
                <w:lang w:eastAsia="en-GB"/>
              </w:rPr>
              <w:t>Jan S</w:t>
            </w:r>
          </w:p>
        </w:tc>
        <w:tc>
          <w:tcPr>
            <w:tcW w:w="2475" w:type="dxa"/>
            <w:tcBorders>
              <w:top w:val="nil"/>
              <w:left w:val="nil"/>
              <w:bottom w:val="single" w:sz="4" w:space="0" w:color="auto"/>
              <w:right w:val="single" w:sz="4" w:space="0" w:color="auto"/>
            </w:tcBorders>
            <w:shd w:val="clear" w:color="auto" w:fill="auto"/>
            <w:vAlign w:val="center"/>
            <w:hideMark/>
          </w:tcPr>
          <w:p w14:paraId="294A4FF9" w14:textId="77777777" w:rsidR="00E403D6" w:rsidRPr="00F10391" w:rsidRDefault="00E403D6">
            <w:pPr>
              <w:rPr>
                <w:lang w:eastAsia="en-GB"/>
              </w:rPr>
            </w:pPr>
            <w:r w:rsidRPr="00F10391">
              <w:rPr>
                <w:lang w:eastAsia="en-GB"/>
              </w:rPr>
              <w:t>Health Econ. Oct,9(7):631-41. 2000</w:t>
            </w:r>
          </w:p>
        </w:tc>
        <w:tc>
          <w:tcPr>
            <w:tcW w:w="919" w:type="dxa"/>
            <w:tcBorders>
              <w:top w:val="nil"/>
              <w:left w:val="nil"/>
              <w:bottom w:val="single" w:sz="4" w:space="0" w:color="auto"/>
              <w:right w:val="single" w:sz="4" w:space="0" w:color="auto"/>
            </w:tcBorders>
            <w:shd w:val="clear" w:color="auto" w:fill="auto"/>
            <w:noWrap/>
            <w:vAlign w:val="center"/>
            <w:hideMark/>
          </w:tcPr>
          <w:p w14:paraId="22EAD8E1"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268EE5EA"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31701F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4B4721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98AEAFA"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316538E3"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3441B8F"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0A5F3E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47B1B27" w14:textId="77777777" w:rsidR="00E403D6" w:rsidRPr="00F10391" w:rsidRDefault="00E403D6" w:rsidP="00494A9A">
            <w:pPr>
              <w:rPr>
                <w:lang w:eastAsia="en-GB"/>
              </w:rPr>
            </w:pPr>
            <w:r w:rsidRPr="00F10391">
              <w:rPr>
                <w:lang w:eastAsia="en-GB"/>
              </w:rPr>
              <w:t>Integrating Decision Tree and Hidden Markov Model (HMM) for Subtype Prediction of Human Influenza A Virus</w:t>
            </w:r>
          </w:p>
        </w:tc>
        <w:tc>
          <w:tcPr>
            <w:tcW w:w="2475" w:type="dxa"/>
            <w:tcBorders>
              <w:top w:val="nil"/>
              <w:left w:val="nil"/>
              <w:bottom w:val="single" w:sz="4" w:space="0" w:color="auto"/>
              <w:right w:val="single" w:sz="4" w:space="0" w:color="auto"/>
            </w:tcBorders>
            <w:shd w:val="clear" w:color="auto" w:fill="auto"/>
            <w:vAlign w:val="center"/>
            <w:hideMark/>
          </w:tcPr>
          <w:p w14:paraId="51CD62BC" w14:textId="77777777" w:rsidR="00E403D6" w:rsidRPr="00F10391" w:rsidRDefault="00E403D6" w:rsidP="00F51F18">
            <w:pPr>
              <w:rPr>
                <w:lang w:eastAsia="en-GB"/>
              </w:rPr>
            </w:pPr>
            <w:r w:rsidRPr="00F10391">
              <w:rPr>
                <w:lang w:eastAsia="en-GB"/>
              </w:rPr>
              <w:t>Attaluri PK, Chen ZX, Weerakoon AM, Lu GQ</w:t>
            </w:r>
          </w:p>
        </w:tc>
        <w:tc>
          <w:tcPr>
            <w:tcW w:w="2475" w:type="dxa"/>
            <w:tcBorders>
              <w:top w:val="nil"/>
              <w:left w:val="nil"/>
              <w:bottom w:val="single" w:sz="4" w:space="0" w:color="auto"/>
              <w:right w:val="single" w:sz="4" w:space="0" w:color="auto"/>
            </w:tcBorders>
            <w:shd w:val="clear" w:color="auto" w:fill="auto"/>
            <w:vAlign w:val="center"/>
            <w:hideMark/>
          </w:tcPr>
          <w:p w14:paraId="4F51AFA5" w14:textId="77777777" w:rsidR="00E403D6" w:rsidRPr="00F10391" w:rsidRDefault="00E403D6">
            <w:pPr>
              <w:rPr>
                <w:lang w:eastAsia="en-GB"/>
              </w:rPr>
            </w:pPr>
            <w:r w:rsidRPr="00F10391">
              <w:rPr>
                <w:lang w:eastAsia="en-GB"/>
              </w:rPr>
              <w:t>Communications in Computer and Information Science, Volume 35, Part 2, 52-58 2009</w:t>
            </w:r>
          </w:p>
        </w:tc>
        <w:tc>
          <w:tcPr>
            <w:tcW w:w="919" w:type="dxa"/>
            <w:tcBorders>
              <w:top w:val="nil"/>
              <w:left w:val="nil"/>
              <w:bottom w:val="single" w:sz="4" w:space="0" w:color="auto"/>
              <w:right w:val="single" w:sz="4" w:space="0" w:color="auto"/>
            </w:tcBorders>
            <w:shd w:val="clear" w:color="auto" w:fill="auto"/>
            <w:noWrap/>
            <w:vAlign w:val="center"/>
            <w:hideMark/>
          </w:tcPr>
          <w:p w14:paraId="0BCC359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431BEB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36E8E41"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35445A7"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03010332"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8E43B7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6C9A403"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1CF3CCB"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98A1B6A" w14:textId="77777777" w:rsidR="00E403D6" w:rsidRPr="00F10391" w:rsidRDefault="00E403D6" w:rsidP="00494A9A">
            <w:pPr>
              <w:rPr>
                <w:lang w:eastAsia="en-GB"/>
              </w:rPr>
            </w:pPr>
            <w:r w:rsidRPr="00F10391">
              <w:rPr>
                <w:lang w:eastAsia="en-GB"/>
              </w:rPr>
              <w:t>Integrating multi-criteria decision analysis for a GIS-based hazardous waste landfill sitting in Kurdistan Province, western Iran</w:t>
            </w:r>
          </w:p>
        </w:tc>
        <w:tc>
          <w:tcPr>
            <w:tcW w:w="2475" w:type="dxa"/>
            <w:tcBorders>
              <w:top w:val="nil"/>
              <w:left w:val="nil"/>
              <w:bottom w:val="single" w:sz="4" w:space="0" w:color="auto"/>
              <w:right w:val="single" w:sz="4" w:space="0" w:color="auto"/>
            </w:tcBorders>
            <w:shd w:val="clear" w:color="auto" w:fill="auto"/>
            <w:vAlign w:val="center"/>
            <w:hideMark/>
          </w:tcPr>
          <w:p w14:paraId="024A8415" w14:textId="77777777" w:rsidR="00E403D6" w:rsidRPr="00F10391" w:rsidRDefault="00E403D6" w:rsidP="00F51F18">
            <w:pPr>
              <w:rPr>
                <w:lang w:eastAsia="en-GB"/>
              </w:rPr>
            </w:pPr>
            <w:r w:rsidRPr="00F10391">
              <w:rPr>
                <w:lang w:eastAsia="en-GB"/>
              </w:rPr>
              <w:t>Mozafar S, Mosslem H, Elahe V, Parasto M, Kamal T, Saber S, Mehran K</w:t>
            </w:r>
          </w:p>
        </w:tc>
        <w:tc>
          <w:tcPr>
            <w:tcW w:w="2475" w:type="dxa"/>
            <w:tcBorders>
              <w:top w:val="nil"/>
              <w:left w:val="nil"/>
              <w:bottom w:val="single" w:sz="4" w:space="0" w:color="auto"/>
              <w:right w:val="single" w:sz="4" w:space="0" w:color="auto"/>
            </w:tcBorders>
            <w:shd w:val="clear" w:color="auto" w:fill="auto"/>
            <w:vAlign w:val="center"/>
            <w:hideMark/>
          </w:tcPr>
          <w:p w14:paraId="7FB9D38B" w14:textId="77777777" w:rsidR="00E403D6" w:rsidRPr="00F10391" w:rsidRDefault="00E403D6">
            <w:pPr>
              <w:rPr>
                <w:lang w:eastAsia="en-GB"/>
              </w:rPr>
            </w:pPr>
            <w:r w:rsidRPr="00F10391">
              <w:rPr>
                <w:lang w:eastAsia="en-GB"/>
              </w:rPr>
              <w:t xml:space="preserve"> Waste Management 29 (10):2740-2758 Art No. 2009</w:t>
            </w:r>
          </w:p>
        </w:tc>
        <w:tc>
          <w:tcPr>
            <w:tcW w:w="919" w:type="dxa"/>
            <w:tcBorders>
              <w:top w:val="nil"/>
              <w:left w:val="nil"/>
              <w:bottom w:val="single" w:sz="4" w:space="0" w:color="auto"/>
              <w:right w:val="single" w:sz="4" w:space="0" w:color="auto"/>
            </w:tcBorders>
            <w:shd w:val="clear" w:color="auto" w:fill="auto"/>
            <w:noWrap/>
            <w:vAlign w:val="center"/>
            <w:hideMark/>
          </w:tcPr>
          <w:p w14:paraId="16F58B5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4F02FBF"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D649EB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82A5EC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C83A37C"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1238AB1"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B8C561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77D33C7"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65C22E4" w14:textId="77777777" w:rsidR="00E403D6" w:rsidRPr="00F10391" w:rsidRDefault="00E403D6" w:rsidP="00494A9A">
            <w:pPr>
              <w:rPr>
                <w:lang w:eastAsia="en-GB"/>
              </w:rPr>
            </w:pPr>
            <w:r w:rsidRPr="00F10391">
              <w:rPr>
                <w:lang w:eastAsia="en-GB"/>
              </w:rPr>
              <w:t>Integration of bioavailability, ecology and ecotoxicology by three lines of evidence into ecological risk indexes for contaminated soil assessment</w:t>
            </w:r>
          </w:p>
        </w:tc>
        <w:tc>
          <w:tcPr>
            <w:tcW w:w="2475" w:type="dxa"/>
            <w:tcBorders>
              <w:top w:val="nil"/>
              <w:left w:val="nil"/>
              <w:bottom w:val="single" w:sz="4" w:space="0" w:color="auto"/>
              <w:right w:val="single" w:sz="4" w:space="0" w:color="auto"/>
            </w:tcBorders>
            <w:shd w:val="clear" w:color="auto" w:fill="auto"/>
            <w:vAlign w:val="center"/>
            <w:hideMark/>
          </w:tcPr>
          <w:p w14:paraId="77B37B49" w14:textId="77777777" w:rsidR="00E403D6" w:rsidRPr="005D7324" w:rsidRDefault="00E403D6" w:rsidP="00F51F18">
            <w:pPr>
              <w:rPr>
                <w:lang w:eastAsia="en-GB"/>
              </w:rPr>
            </w:pPr>
            <w:r w:rsidRPr="005D7324">
              <w:rPr>
                <w:lang w:eastAsia="en-GB"/>
              </w:rPr>
              <w:t>Semenzin E, Critto A, Rutgers M, Marcomini A</w:t>
            </w:r>
          </w:p>
        </w:tc>
        <w:tc>
          <w:tcPr>
            <w:tcW w:w="2475" w:type="dxa"/>
            <w:tcBorders>
              <w:top w:val="nil"/>
              <w:left w:val="nil"/>
              <w:bottom w:val="single" w:sz="4" w:space="0" w:color="auto"/>
              <w:right w:val="single" w:sz="4" w:space="0" w:color="auto"/>
            </w:tcBorders>
            <w:shd w:val="clear" w:color="auto" w:fill="auto"/>
            <w:vAlign w:val="center"/>
            <w:hideMark/>
          </w:tcPr>
          <w:p w14:paraId="3B8DA664" w14:textId="77777777" w:rsidR="00E403D6" w:rsidRPr="00F10391" w:rsidRDefault="00E403D6">
            <w:pPr>
              <w:rPr>
                <w:lang w:eastAsia="en-GB"/>
              </w:rPr>
            </w:pPr>
            <w:r w:rsidRPr="00F10391">
              <w:rPr>
                <w:lang w:eastAsia="en-GB"/>
              </w:rPr>
              <w:t>Science of the total environment 389 (1):71-86 2008</w:t>
            </w:r>
          </w:p>
        </w:tc>
        <w:tc>
          <w:tcPr>
            <w:tcW w:w="919" w:type="dxa"/>
            <w:tcBorders>
              <w:top w:val="nil"/>
              <w:left w:val="nil"/>
              <w:bottom w:val="single" w:sz="4" w:space="0" w:color="auto"/>
              <w:right w:val="single" w:sz="4" w:space="0" w:color="auto"/>
            </w:tcBorders>
            <w:shd w:val="clear" w:color="auto" w:fill="auto"/>
            <w:noWrap/>
            <w:vAlign w:val="center"/>
            <w:hideMark/>
          </w:tcPr>
          <w:p w14:paraId="4435225E"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5745A6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BBCC44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3C2039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50FF1F3"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FC1BF0F"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6CB7CB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5C667C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9384052" w14:textId="77777777" w:rsidR="00E403D6" w:rsidRPr="00F10391" w:rsidRDefault="00E403D6" w:rsidP="00494A9A">
            <w:pPr>
              <w:rPr>
                <w:lang w:eastAsia="en-GB"/>
              </w:rPr>
            </w:pPr>
            <w:r w:rsidRPr="00F10391">
              <w:rPr>
                <w:lang w:eastAsia="en-GB"/>
              </w:rPr>
              <w:t>Introducing priority setting and resource allocation in home and community care programs.</w:t>
            </w:r>
          </w:p>
        </w:tc>
        <w:tc>
          <w:tcPr>
            <w:tcW w:w="2475" w:type="dxa"/>
            <w:tcBorders>
              <w:top w:val="nil"/>
              <w:left w:val="nil"/>
              <w:bottom w:val="single" w:sz="4" w:space="0" w:color="auto"/>
              <w:right w:val="single" w:sz="4" w:space="0" w:color="auto"/>
            </w:tcBorders>
            <w:shd w:val="clear" w:color="auto" w:fill="auto"/>
            <w:vAlign w:val="center"/>
            <w:hideMark/>
          </w:tcPr>
          <w:p w14:paraId="6E085A42" w14:textId="77777777" w:rsidR="00E403D6" w:rsidRPr="00F10391" w:rsidRDefault="00E403D6" w:rsidP="00F51F18">
            <w:pPr>
              <w:rPr>
                <w:lang w:eastAsia="en-GB"/>
              </w:rPr>
            </w:pPr>
            <w:r w:rsidRPr="00F10391">
              <w:rPr>
                <w:lang w:eastAsia="en-GB"/>
              </w:rPr>
              <w:t>Urquhart B, Mitton C, Peacock S</w:t>
            </w:r>
          </w:p>
        </w:tc>
        <w:tc>
          <w:tcPr>
            <w:tcW w:w="2475" w:type="dxa"/>
            <w:tcBorders>
              <w:top w:val="nil"/>
              <w:left w:val="nil"/>
              <w:bottom w:val="single" w:sz="4" w:space="0" w:color="auto"/>
              <w:right w:val="single" w:sz="4" w:space="0" w:color="auto"/>
            </w:tcBorders>
            <w:shd w:val="clear" w:color="auto" w:fill="auto"/>
            <w:vAlign w:val="center"/>
            <w:hideMark/>
          </w:tcPr>
          <w:p w14:paraId="517B9953" w14:textId="77777777" w:rsidR="00E403D6" w:rsidRPr="00F10391" w:rsidRDefault="00E403D6">
            <w:pPr>
              <w:rPr>
                <w:lang w:eastAsia="en-GB"/>
              </w:rPr>
            </w:pPr>
            <w:r w:rsidRPr="00F10391">
              <w:rPr>
                <w:lang w:eastAsia="en-GB"/>
              </w:rPr>
              <w:t>J Health Serv Res Policy 13 Suppl 141-5 2008</w:t>
            </w:r>
          </w:p>
        </w:tc>
        <w:tc>
          <w:tcPr>
            <w:tcW w:w="919" w:type="dxa"/>
            <w:tcBorders>
              <w:top w:val="nil"/>
              <w:left w:val="nil"/>
              <w:bottom w:val="single" w:sz="4" w:space="0" w:color="auto"/>
              <w:right w:val="single" w:sz="4" w:space="0" w:color="auto"/>
            </w:tcBorders>
            <w:shd w:val="clear" w:color="auto" w:fill="auto"/>
            <w:noWrap/>
            <w:vAlign w:val="center"/>
            <w:hideMark/>
          </w:tcPr>
          <w:p w14:paraId="0DB5EF08"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79FAC4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3A0ACE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61611F4"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7BB9708"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29DDC2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D12D01A"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AB630D7"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7886B0E" w14:textId="77777777" w:rsidR="00E403D6" w:rsidRPr="00F10391" w:rsidRDefault="00E403D6" w:rsidP="00494A9A">
            <w:pPr>
              <w:rPr>
                <w:lang w:eastAsia="en-GB"/>
              </w:rPr>
            </w:pPr>
            <w:r w:rsidRPr="00F10391">
              <w:rPr>
                <w:lang w:eastAsia="en-GB"/>
              </w:rPr>
              <w:t>Introducing priority setting and resource allocation in home and community care programs.</w:t>
            </w:r>
          </w:p>
        </w:tc>
        <w:tc>
          <w:tcPr>
            <w:tcW w:w="2475" w:type="dxa"/>
            <w:tcBorders>
              <w:top w:val="nil"/>
              <w:left w:val="nil"/>
              <w:bottom w:val="single" w:sz="4" w:space="0" w:color="auto"/>
              <w:right w:val="single" w:sz="4" w:space="0" w:color="auto"/>
            </w:tcBorders>
            <w:shd w:val="clear" w:color="auto" w:fill="auto"/>
            <w:vAlign w:val="center"/>
            <w:hideMark/>
          </w:tcPr>
          <w:p w14:paraId="377FB42E" w14:textId="77777777" w:rsidR="00E403D6" w:rsidRPr="00F10391" w:rsidRDefault="00E403D6" w:rsidP="00F51F18">
            <w:pPr>
              <w:rPr>
                <w:lang w:eastAsia="en-GB"/>
              </w:rPr>
            </w:pPr>
            <w:r w:rsidRPr="00F10391">
              <w:rPr>
                <w:lang w:eastAsia="en-GB"/>
              </w:rPr>
              <w:t>Urquhart B, Mitton C, Peacock S</w:t>
            </w:r>
          </w:p>
        </w:tc>
        <w:tc>
          <w:tcPr>
            <w:tcW w:w="2475" w:type="dxa"/>
            <w:tcBorders>
              <w:top w:val="nil"/>
              <w:left w:val="nil"/>
              <w:bottom w:val="single" w:sz="4" w:space="0" w:color="auto"/>
              <w:right w:val="single" w:sz="4" w:space="0" w:color="auto"/>
            </w:tcBorders>
            <w:shd w:val="clear" w:color="auto" w:fill="auto"/>
            <w:vAlign w:val="center"/>
            <w:hideMark/>
          </w:tcPr>
          <w:p w14:paraId="3930161D" w14:textId="77777777" w:rsidR="00E403D6" w:rsidRPr="00F10391" w:rsidRDefault="00E403D6">
            <w:pPr>
              <w:rPr>
                <w:lang w:eastAsia="en-GB"/>
              </w:rPr>
            </w:pPr>
            <w:r w:rsidRPr="00F10391">
              <w:rPr>
                <w:lang w:eastAsia="en-GB"/>
              </w:rPr>
              <w:t>J Health Serv Res Policy. 3 Suppl 1:41-5. 2008</w:t>
            </w:r>
          </w:p>
        </w:tc>
        <w:tc>
          <w:tcPr>
            <w:tcW w:w="919" w:type="dxa"/>
            <w:tcBorders>
              <w:top w:val="nil"/>
              <w:left w:val="nil"/>
              <w:bottom w:val="single" w:sz="4" w:space="0" w:color="auto"/>
              <w:right w:val="single" w:sz="4" w:space="0" w:color="auto"/>
            </w:tcBorders>
            <w:shd w:val="clear" w:color="auto" w:fill="auto"/>
            <w:noWrap/>
            <w:vAlign w:val="center"/>
            <w:hideMark/>
          </w:tcPr>
          <w:p w14:paraId="04CD225E"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4CAC1CBB"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01D70EB3"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25B978F" w14:textId="77777777" w:rsidR="00E403D6" w:rsidRPr="00F10391" w:rsidRDefault="00E403D6">
            <w:pPr>
              <w:rPr>
                <w:lang w:eastAsia="en-GB"/>
              </w:rPr>
            </w:pPr>
            <w:r w:rsidRPr="00F10391">
              <w:rPr>
                <w:lang w:eastAsia="en-GB"/>
              </w:rPr>
              <w:t> </w:t>
            </w:r>
          </w:p>
        </w:tc>
        <w:tc>
          <w:tcPr>
            <w:tcW w:w="707" w:type="dxa"/>
            <w:tcBorders>
              <w:top w:val="nil"/>
              <w:left w:val="nil"/>
              <w:bottom w:val="single" w:sz="4" w:space="0" w:color="auto"/>
              <w:right w:val="single" w:sz="4" w:space="0" w:color="auto"/>
            </w:tcBorders>
            <w:shd w:val="clear" w:color="auto" w:fill="auto"/>
            <w:noWrap/>
            <w:vAlign w:val="center"/>
            <w:hideMark/>
          </w:tcPr>
          <w:p w14:paraId="7ED21B12" w14:textId="77777777" w:rsidR="00E403D6" w:rsidRPr="00F10391" w:rsidRDefault="00E403D6">
            <w:pPr>
              <w:rPr>
                <w:lang w:eastAsia="en-GB"/>
              </w:rPr>
            </w:pPr>
            <w:r w:rsidRPr="00F10391">
              <w:rPr>
                <w:lang w:eastAsia="en-GB"/>
              </w:rPr>
              <w:t> </w:t>
            </w:r>
          </w:p>
        </w:tc>
        <w:tc>
          <w:tcPr>
            <w:tcW w:w="794" w:type="dxa"/>
            <w:tcBorders>
              <w:top w:val="nil"/>
              <w:left w:val="nil"/>
              <w:bottom w:val="single" w:sz="4" w:space="0" w:color="auto"/>
              <w:right w:val="single" w:sz="4" w:space="0" w:color="auto"/>
            </w:tcBorders>
            <w:shd w:val="clear" w:color="auto" w:fill="auto"/>
            <w:noWrap/>
            <w:vAlign w:val="center"/>
            <w:hideMark/>
          </w:tcPr>
          <w:p w14:paraId="5D657560"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854DD3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CCE578B"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A7C56A4" w14:textId="77777777" w:rsidR="00E403D6" w:rsidRPr="00F10391" w:rsidRDefault="00E403D6" w:rsidP="00494A9A">
            <w:pPr>
              <w:rPr>
                <w:lang w:eastAsia="en-GB"/>
              </w:rPr>
            </w:pPr>
            <w:r w:rsidRPr="00F10391">
              <w:rPr>
                <w:lang w:eastAsia="en-GB"/>
              </w:rPr>
              <w:t>Involving patients in decisions regarding preventive health interventions using the analytic hierarchy process.</w:t>
            </w:r>
          </w:p>
        </w:tc>
        <w:tc>
          <w:tcPr>
            <w:tcW w:w="2475" w:type="dxa"/>
            <w:tcBorders>
              <w:top w:val="nil"/>
              <w:left w:val="nil"/>
              <w:bottom w:val="single" w:sz="4" w:space="0" w:color="auto"/>
              <w:right w:val="single" w:sz="4" w:space="0" w:color="auto"/>
            </w:tcBorders>
            <w:shd w:val="clear" w:color="auto" w:fill="auto"/>
            <w:vAlign w:val="center"/>
            <w:hideMark/>
          </w:tcPr>
          <w:p w14:paraId="5F147D56" w14:textId="77777777" w:rsidR="00E403D6" w:rsidRPr="00F10391" w:rsidRDefault="00E403D6" w:rsidP="00F51F18">
            <w:pPr>
              <w:rPr>
                <w:lang w:eastAsia="en-GB"/>
              </w:rPr>
            </w:pPr>
            <w:r w:rsidRPr="00F10391">
              <w:rPr>
                <w:lang w:eastAsia="en-GB"/>
              </w:rPr>
              <w:t>Dolan JG</w:t>
            </w:r>
          </w:p>
        </w:tc>
        <w:tc>
          <w:tcPr>
            <w:tcW w:w="2475" w:type="dxa"/>
            <w:tcBorders>
              <w:top w:val="nil"/>
              <w:left w:val="nil"/>
              <w:bottom w:val="single" w:sz="4" w:space="0" w:color="auto"/>
              <w:right w:val="single" w:sz="4" w:space="0" w:color="auto"/>
            </w:tcBorders>
            <w:shd w:val="clear" w:color="auto" w:fill="auto"/>
            <w:vAlign w:val="center"/>
            <w:hideMark/>
          </w:tcPr>
          <w:p w14:paraId="30192914" w14:textId="77777777" w:rsidR="00E403D6" w:rsidRPr="00F10391" w:rsidRDefault="00E403D6">
            <w:pPr>
              <w:rPr>
                <w:lang w:eastAsia="en-GB"/>
              </w:rPr>
            </w:pPr>
            <w:r w:rsidRPr="00F10391">
              <w:rPr>
                <w:lang w:eastAsia="en-GB"/>
              </w:rPr>
              <w:t>Health Expect. Mar,3(1):37-45. 2000</w:t>
            </w:r>
          </w:p>
        </w:tc>
        <w:tc>
          <w:tcPr>
            <w:tcW w:w="919" w:type="dxa"/>
            <w:tcBorders>
              <w:top w:val="nil"/>
              <w:left w:val="nil"/>
              <w:bottom w:val="single" w:sz="4" w:space="0" w:color="auto"/>
              <w:right w:val="single" w:sz="4" w:space="0" w:color="auto"/>
            </w:tcBorders>
            <w:shd w:val="clear" w:color="auto" w:fill="auto"/>
            <w:noWrap/>
            <w:vAlign w:val="center"/>
            <w:hideMark/>
          </w:tcPr>
          <w:p w14:paraId="5049C021"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385C7FF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FA6EA1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1707F9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3DC16B4"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D5FD67A"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30B3CD0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9AB664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30157F3" w14:textId="77777777" w:rsidR="00E403D6" w:rsidRPr="00F10391" w:rsidRDefault="00E403D6" w:rsidP="00494A9A">
            <w:pPr>
              <w:rPr>
                <w:lang w:eastAsia="en-GB"/>
              </w:rPr>
            </w:pPr>
            <w:r w:rsidRPr="00F10391">
              <w:rPr>
                <w:lang w:eastAsia="en-GB"/>
              </w:rPr>
              <w:t>Managing industrial risk - Having a tested and proven system to prevent and assess risk</w:t>
            </w:r>
          </w:p>
        </w:tc>
        <w:tc>
          <w:tcPr>
            <w:tcW w:w="2475" w:type="dxa"/>
            <w:tcBorders>
              <w:top w:val="nil"/>
              <w:left w:val="nil"/>
              <w:bottom w:val="single" w:sz="4" w:space="0" w:color="auto"/>
              <w:right w:val="single" w:sz="4" w:space="0" w:color="auto"/>
            </w:tcBorders>
            <w:shd w:val="clear" w:color="auto" w:fill="auto"/>
            <w:vAlign w:val="center"/>
            <w:hideMark/>
          </w:tcPr>
          <w:p w14:paraId="3597C0D9" w14:textId="77777777" w:rsidR="00E403D6" w:rsidRPr="00F10391" w:rsidRDefault="00E403D6" w:rsidP="00F51F18">
            <w:pPr>
              <w:rPr>
                <w:lang w:eastAsia="en-GB"/>
              </w:rPr>
            </w:pPr>
            <w:r w:rsidRPr="00F10391">
              <w:rPr>
                <w:lang w:eastAsia="en-GB"/>
              </w:rPr>
              <w:t>Heller S</w:t>
            </w:r>
          </w:p>
        </w:tc>
        <w:tc>
          <w:tcPr>
            <w:tcW w:w="2475" w:type="dxa"/>
            <w:tcBorders>
              <w:top w:val="nil"/>
              <w:left w:val="nil"/>
              <w:bottom w:val="single" w:sz="4" w:space="0" w:color="auto"/>
              <w:right w:val="single" w:sz="4" w:space="0" w:color="auto"/>
            </w:tcBorders>
            <w:shd w:val="clear" w:color="auto" w:fill="auto"/>
            <w:vAlign w:val="center"/>
            <w:hideMark/>
          </w:tcPr>
          <w:p w14:paraId="19CE07D2" w14:textId="77777777" w:rsidR="00E403D6" w:rsidRPr="00F10391" w:rsidRDefault="00E403D6">
            <w:pPr>
              <w:rPr>
                <w:lang w:eastAsia="en-GB"/>
              </w:rPr>
            </w:pPr>
            <w:r w:rsidRPr="00F10391">
              <w:rPr>
                <w:lang w:eastAsia="en-GB"/>
              </w:rPr>
              <w:t xml:space="preserve"> Journal of hazardous materials 130 (1-2):58-63 2006</w:t>
            </w:r>
          </w:p>
        </w:tc>
        <w:tc>
          <w:tcPr>
            <w:tcW w:w="919" w:type="dxa"/>
            <w:tcBorders>
              <w:top w:val="nil"/>
              <w:left w:val="nil"/>
              <w:bottom w:val="single" w:sz="4" w:space="0" w:color="auto"/>
              <w:right w:val="single" w:sz="4" w:space="0" w:color="auto"/>
            </w:tcBorders>
            <w:shd w:val="clear" w:color="auto" w:fill="auto"/>
            <w:noWrap/>
            <w:vAlign w:val="center"/>
            <w:hideMark/>
          </w:tcPr>
          <w:p w14:paraId="100EC59B"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1BF7545"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902A71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5D1F59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2C6F3C6"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582D7F0"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7A2BFF9"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84567B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F7ED1AA" w14:textId="77777777" w:rsidR="00E403D6" w:rsidRPr="00F10391" w:rsidRDefault="00E403D6" w:rsidP="00494A9A">
            <w:pPr>
              <w:rPr>
                <w:lang w:eastAsia="en-GB"/>
              </w:rPr>
            </w:pPr>
            <w:r w:rsidRPr="00F10391">
              <w:rPr>
                <w:lang w:eastAsia="en-GB"/>
              </w:rPr>
              <w:t>Maximising health gain within available resources in the New Zealand public health system</w:t>
            </w:r>
          </w:p>
        </w:tc>
        <w:tc>
          <w:tcPr>
            <w:tcW w:w="2475" w:type="dxa"/>
            <w:tcBorders>
              <w:top w:val="nil"/>
              <w:left w:val="nil"/>
              <w:bottom w:val="single" w:sz="4" w:space="0" w:color="auto"/>
              <w:right w:val="single" w:sz="4" w:space="0" w:color="auto"/>
            </w:tcBorders>
            <w:shd w:val="clear" w:color="auto" w:fill="auto"/>
            <w:vAlign w:val="center"/>
            <w:hideMark/>
          </w:tcPr>
          <w:p w14:paraId="0F3E1883" w14:textId="77777777" w:rsidR="00E403D6" w:rsidRPr="00F10391" w:rsidRDefault="00E403D6" w:rsidP="00F51F18">
            <w:pPr>
              <w:rPr>
                <w:lang w:eastAsia="en-GB"/>
              </w:rPr>
            </w:pPr>
            <w:r w:rsidRPr="00F10391">
              <w:rPr>
                <w:lang w:eastAsia="en-GB"/>
              </w:rPr>
              <w:t>Bohmer P, Pain C, Watt A, Abernethy P, Sceats, J</w:t>
            </w:r>
          </w:p>
        </w:tc>
        <w:tc>
          <w:tcPr>
            <w:tcW w:w="2475" w:type="dxa"/>
            <w:tcBorders>
              <w:top w:val="nil"/>
              <w:left w:val="nil"/>
              <w:bottom w:val="single" w:sz="4" w:space="0" w:color="auto"/>
              <w:right w:val="single" w:sz="4" w:space="0" w:color="auto"/>
            </w:tcBorders>
            <w:shd w:val="clear" w:color="auto" w:fill="auto"/>
            <w:vAlign w:val="center"/>
            <w:hideMark/>
          </w:tcPr>
          <w:p w14:paraId="5C3F2471" w14:textId="77777777" w:rsidR="00E403D6" w:rsidRPr="00F10391" w:rsidRDefault="00E403D6">
            <w:pPr>
              <w:rPr>
                <w:lang w:eastAsia="en-GB"/>
              </w:rPr>
            </w:pPr>
            <w:r w:rsidRPr="00F10391">
              <w:rPr>
                <w:lang w:eastAsia="en-GB"/>
              </w:rPr>
              <w:t>Health policy 55 (1):37-50 2001</w:t>
            </w:r>
          </w:p>
        </w:tc>
        <w:tc>
          <w:tcPr>
            <w:tcW w:w="919" w:type="dxa"/>
            <w:tcBorders>
              <w:top w:val="nil"/>
              <w:left w:val="nil"/>
              <w:bottom w:val="single" w:sz="4" w:space="0" w:color="auto"/>
              <w:right w:val="single" w:sz="4" w:space="0" w:color="auto"/>
            </w:tcBorders>
            <w:shd w:val="clear" w:color="auto" w:fill="auto"/>
            <w:noWrap/>
            <w:vAlign w:val="center"/>
            <w:hideMark/>
          </w:tcPr>
          <w:p w14:paraId="7D65EE7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A7B6A1C"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BA2844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4B92B9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EC97E71"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43049F4D"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23601654"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60D524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9A7963D" w14:textId="77777777" w:rsidR="00E403D6" w:rsidRPr="00F10391" w:rsidRDefault="00E403D6" w:rsidP="00494A9A">
            <w:pPr>
              <w:rPr>
                <w:lang w:eastAsia="en-GB"/>
              </w:rPr>
            </w:pPr>
            <w:r w:rsidRPr="00F10391">
              <w:rPr>
                <w:lang w:eastAsia="en-GB"/>
              </w:rPr>
              <w:t>Maximising health gain within available resources in the New Zealand public health system.</w:t>
            </w:r>
          </w:p>
        </w:tc>
        <w:tc>
          <w:tcPr>
            <w:tcW w:w="2475" w:type="dxa"/>
            <w:tcBorders>
              <w:top w:val="nil"/>
              <w:left w:val="nil"/>
              <w:bottom w:val="single" w:sz="4" w:space="0" w:color="auto"/>
              <w:right w:val="single" w:sz="4" w:space="0" w:color="auto"/>
            </w:tcBorders>
            <w:shd w:val="clear" w:color="auto" w:fill="auto"/>
            <w:vAlign w:val="center"/>
            <w:hideMark/>
          </w:tcPr>
          <w:p w14:paraId="0D3B910F" w14:textId="77777777" w:rsidR="00E403D6" w:rsidRPr="00F10391" w:rsidRDefault="00E403D6" w:rsidP="00F51F18">
            <w:pPr>
              <w:rPr>
                <w:lang w:eastAsia="en-GB"/>
              </w:rPr>
            </w:pPr>
            <w:r w:rsidRPr="00F10391">
              <w:rPr>
                <w:lang w:eastAsia="en-GB"/>
              </w:rPr>
              <w:t>Bohmer P, Pain C, Watt A, Abernethy P, Sceats J</w:t>
            </w:r>
          </w:p>
        </w:tc>
        <w:tc>
          <w:tcPr>
            <w:tcW w:w="2475" w:type="dxa"/>
            <w:tcBorders>
              <w:top w:val="nil"/>
              <w:left w:val="nil"/>
              <w:bottom w:val="single" w:sz="4" w:space="0" w:color="auto"/>
              <w:right w:val="single" w:sz="4" w:space="0" w:color="auto"/>
            </w:tcBorders>
            <w:shd w:val="clear" w:color="auto" w:fill="auto"/>
            <w:vAlign w:val="center"/>
            <w:hideMark/>
          </w:tcPr>
          <w:p w14:paraId="41389955" w14:textId="77777777" w:rsidR="00E403D6" w:rsidRPr="00F10391" w:rsidRDefault="00E403D6">
            <w:pPr>
              <w:rPr>
                <w:lang w:eastAsia="en-GB"/>
              </w:rPr>
            </w:pPr>
            <w:r w:rsidRPr="00F10391">
              <w:rPr>
                <w:lang w:eastAsia="en-GB"/>
              </w:rPr>
              <w:t>Health Policy. 55(1):37-50. 2001</w:t>
            </w:r>
          </w:p>
        </w:tc>
        <w:tc>
          <w:tcPr>
            <w:tcW w:w="919" w:type="dxa"/>
            <w:tcBorders>
              <w:top w:val="nil"/>
              <w:left w:val="nil"/>
              <w:bottom w:val="single" w:sz="4" w:space="0" w:color="auto"/>
              <w:right w:val="single" w:sz="4" w:space="0" w:color="auto"/>
            </w:tcBorders>
            <w:shd w:val="clear" w:color="auto" w:fill="auto"/>
            <w:noWrap/>
            <w:vAlign w:val="center"/>
            <w:hideMark/>
          </w:tcPr>
          <w:p w14:paraId="335F2427"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3FAB093"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2354F163"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0CBD31B8"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1290FA6"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F4A28CD"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B0BFD9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5F3B44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819D98F" w14:textId="77777777" w:rsidR="00E403D6" w:rsidRPr="00F10391" w:rsidRDefault="00E403D6" w:rsidP="00494A9A">
            <w:pPr>
              <w:rPr>
                <w:lang w:eastAsia="en-GB"/>
              </w:rPr>
            </w:pPr>
            <w:r w:rsidRPr="00F10391">
              <w:rPr>
                <w:lang w:eastAsia="en-GB"/>
              </w:rPr>
              <w:t>Multi Criteria Decision-making to evaluate control strategies of contagious animal diseases</w:t>
            </w:r>
          </w:p>
        </w:tc>
        <w:tc>
          <w:tcPr>
            <w:tcW w:w="2475" w:type="dxa"/>
            <w:tcBorders>
              <w:top w:val="nil"/>
              <w:left w:val="nil"/>
              <w:bottom w:val="single" w:sz="4" w:space="0" w:color="auto"/>
              <w:right w:val="single" w:sz="4" w:space="0" w:color="auto"/>
            </w:tcBorders>
            <w:shd w:val="clear" w:color="auto" w:fill="auto"/>
            <w:vAlign w:val="center"/>
            <w:hideMark/>
          </w:tcPr>
          <w:p w14:paraId="42BC4181" w14:textId="77777777" w:rsidR="00E403D6" w:rsidRPr="005D7324" w:rsidRDefault="00E403D6" w:rsidP="00F51F18">
            <w:pPr>
              <w:rPr>
                <w:lang w:eastAsia="en-GB"/>
              </w:rPr>
            </w:pPr>
            <w:r w:rsidRPr="005D7324">
              <w:rPr>
                <w:lang w:eastAsia="en-GB"/>
              </w:rPr>
              <w:t>Mourits MCM, van Asseldonk MAPM, Huirne RBM</w:t>
            </w:r>
          </w:p>
        </w:tc>
        <w:tc>
          <w:tcPr>
            <w:tcW w:w="2475" w:type="dxa"/>
            <w:tcBorders>
              <w:top w:val="nil"/>
              <w:left w:val="nil"/>
              <w:bottom w:val="single" w:sz="4" w:space="0" w:color="auto"/>
              <w:right w:val="single" w:sz="4" w:space="0" w:color="auto"/>
            </w:tcBorders>
            <w:shd w:val="clear" w:color="auto" w:fill="auto"/>
            <w:vAlign w:val="center"/>
            <w:hideMark/>
          </w:tcPr>
          <w:p w14:paraId="4B29C3AF" w14:textId="77777777" w:rsidR="00E403D6" w:rsidRPr="00F10391" w:rsidRDefault="00E403D6">
            <w:pPr>
              <w:rPr>
                <w:lang w:eastAsia="en-GB"/>
              </w:rPr>
            </w:pPr>
            <w:r w:rsidRPr="00F10391">
              <w:rPr>
                <w:lang w:eastAsia="en-GB"/>
              </w:rPr>
              <w:t>Preventive Veterinary Medicine 96 (3-4):201-210 Art No. 2010</w:t>
            </w:r>
          </w:p>
        </w:tc>
        <w:tc>
          <w:tcPr>
            <w:tcW w:w="919" w:type="dxa"/>
            <w:tcBorders>
              <w:top w:val="nil"/>
              <w:left w:val="nil"/>
              <w:bottom w:val="single" w:sz="4" w:space="0" w:color="auto"/>
              <w:right w:val="single" w:sz="4" w:space="0" w:color="auto"/>
            </w:tcBorders>
            <w:shd w:val="clear" w:color="auto" w:fill="auto"/>
            <w:noWrap/>
            <w:vAlign w:val="center"/>
            <w:hideMark/>
          </w:tcPr>
          <w:p w14:paraId="1C44F7E7"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CE71EE7"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999506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9AF042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A3FC3A9"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4B41DC4C"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38AD286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3697A5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15734B2" w14:textId="77777777" w:rsidR="00E403D6" w:rsidRPr="00F10391" w:rsidRDefault="00E403D6" w:rsidP="00494A9A">
            <w:pPr>
              <w:rPr>
                <w:lang w:eastAsia="en-GB"/>
              </w:rPr>
            </w:pPr>
            <w:r w:rsidRPr="00F10391">
              <w:rPr>
                <w:lang w:eastAsia="en-GB"/>
              </w:rPr>
              <w:t>Multi-criteria analysis for the determination of the best WEEE management scenario in Cyprus</w:t>
            </w:r>
          </w:p>
        </w:tc>
        <w:tc>
          <w:tcPr>
            <w:tcW w:w="2475" w:type="dxa"/>
            <w:tcBorders>
              <w:top w:val="nil"/>
              <w:left w:val="nil"/>
              <w:bottom w:val="single" w:sz="4" w:space="0" w:color="auto"/>
              <w:right w:val="single" w:sz="4" w:space="0" w:color="auto"/>
            </w:tcBorders>
            <w:shd w:val="clear" w:color="auto" w:fill="auto"/>
            <w:vAlign w:val="center"/>
            <w:hideMark/>
          </w:tcPr>
          <w:p w14:paraId="198D8003" w14:textId="77777777" w:rsidR="00E403D6" w:rsidRPr="00F10391" w:rsidRDefault="00E403D6" w:rsidP="00F51F18">
            <w:pPr>
              <w:rPr>
                <w:lang w:eastAsia="en-GB"/>
              </w:rPr>
            </w:pPr>
            <w:r w:rsidRPr="00F10391">
              <w:rPr>
                <w:lang w:eastAsia="en-GB"/>
              </w:rPr>
              <w:t>Rousis K, Moustakas K, Malamis, S, Papadopoulos A, Loizidou M</w:t>
            </w:r>
          </w:p>
        </w:tc>
        <w:tc>
          <w:tcPr>
            <w:tcW w:w="2475" w:type="dxa"/>
            <w:tcBorders>
              <w:top w:val="nil"/>
              <w:left w:val="nil"/>
              <w:bottom w:val="single" w:sz="4" w:space="0" w:color="auto"/>
              <w:right w:val="single" w:sz="4" w:space="0" w:color="auto"/>
            </w:tcBorders>
            <w:shd w:val="clear" w:color="auto" w:fill="auto"/>
            <w:vAlign w:val="center"/>
            <w:hideMark/>
          </w:tcPr>
          <w:p w14:paraId="6474A36B" w14:textId="77777777" w:rsidR="00E403D6" w:rsidRPr="00F10391" w:rsidRDefault="00E403D6">
            <w:pPr>
              <w:rPr>
                <w:lang w:eastAsia="en-GB"/>
              </w:rPr>
            </w:pPr>
            <w:r w:rsidRPr="00F10391">
              <w:rPr>
                <w:lang w:eastAsia="en-GB"/>
              </w:rPr>
              <w:t>Waste management 28 (10):1941-1954 2008</w:t>
            </w:r>
          </w:p>
        </w:tc>
        <w:tc>
          <w:tcPr>
            <w:tcW w:w="919" w:type="dxa"/>
            <w:tcBorders>
              <w:top w:val="nil"/>
              <w:left w:val="nil"/>
              <w:bottom w:val="single" w:sz="4" w:space="0" w:color="auto"/>
              <w:right w:val="single" w:sz="4" w:space="0" w:color="auto"/>
            </w:tcBorders>
            <w:shd w:val="clear" w:color="auto" w:fill="auto"/>
            <w:noWrap/>
            <w:vAlign w:val="center"/>
            <w:hideMark/>
          </w:tcPr>
          <w:p w14:paraId="69AE1FC7"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58060250"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9939BE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ED14C9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E73AB40"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67D75CB"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61CA16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5FD1DF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0860CE2" w14:textId="77777777" w:rsidR="00E403D6" w:rsidRPr="00F10391" w:rsidRDefault="00E403D6" w:rsidP="00494A9A">
            <w:pPr>
              <w:rPr>
                <w:lang w:eastAsia="en-GB"/>
              </w:rPr>
            </w:pPr>
            <w:r w:rsidRPr="00F10391">
              <w:rPr>
                <w:lang w:eastAsia="en-GB"/>
              </w:rPr>
              <w:t>Multicriteria decision analysis (MCDA) for drug coverage decision by a public health plan: case study of tramadol for chronic non-cancer pain (CNCP) in Canada</w:t>
            </w:r>
          </w:p>
        </w:tc>
        <w:tc>
          <w:tcPr>
            <w:tcW w:w="2475" w:type="dxa"/>
            <w:tcBorders>
              <w:top w:val="nil"/>
              <w:left w:val="nil"/>
              <w:bottom w:val="single" w:sz="4" w:space="0" w:color="auto"/>
              <w:right w:val="single" w:sz="4" w:space="0" w:color="auto"/>
            </w:tcBorders>
            <w:shd w:val="clear" w:color="auto" w:fill="auto"/>
            <w:vAlign w:val="center"/>
            <w:hideMark/>
          </w:tcPr>
          <w:p w14:paraId="31A8E7F5" w14:textId="77777777" w:rsidR="00E403D6" w:rsidRPr="00F10391" w:rsidRDefault="00E403D6" w:rsidP="00F51F18">
            <w:pPr>
              <w:rPr>
                <w:lang w:eastAsia="en-GB"/>
              </w:rPr>
            </w:pPr>
            <w:r w:rsidRPr="00F10391">
              <w:rPr>
                <w:lang w:eastAsia="en-GB"/>
              </w:rPr>
              <w:t xml:space="preserve"> Tony M, Goetghebeur M, Wagner M, Khoury H, Rindress D, Oh P</w:t>
            </w:r>
          </w:p>
        </w:tc>
        <w:tc>
          <w:tcPr>
            <w:tcW w:w="2475" w:type="dxa"/>
            <w:tcBorders>
              <w:top w:val="nil"/>
              <w:left w:val="nil"/>
              <w:bottom w:val="single" w:sz="4" w:space="0" w:color="auto"/>
              <w:right w:val="single" w:sz="4" w:space="0" w:color="auto"/>
            </w:tcBorders>
            <w:shd w:val="clear" w:color="auto" w:fill="auto"/>
            <w:vAlign w:val="center"/>
            <w:hideMark/>
          </w:tcPr>
          <w:p w14:paraId="37D78224" w14:textId="77777777" w:rsidR="00E403D6" w:rsidRPr="00F10391" w:rsidRDefault="00E403D6">
            <w:pPr>
              <w:rPr>
                <w:lang w:eastAsia="en-GB"/>
              </w:rPr>
            </w:pPr>
            <w:r w:rsidRPr="00F10391">
              <w:rPr>
                <w:lang w:eastAsia="en-GB"/>
              </w:rPr>
              <w:t>Value in health 13 (3):A3-A3 2010</w:t>
            </w:r>
          </w:p>
        </w:tc>
        <w:tc>
          <w:tcPr>
            <w:tcW w:w="919" w:type="dxa"/>
            <w:tcBorders>
              <w:top w:val="nil"/>
              <w:left w:val="nil"/>
              <w:bottom w:val="single" w:sz="4" w:space="0" w:color="auto"/>
              <w:right w:val="single" w:sz="4" w:space="0" w:color="auto"/>
            </w:tcBorders>
            <w:shd w:val="clear" w:color="auto" w:fill="auto"/>
            <w:noWrap/>
            <w:vAlign w:val="center"/>
            <w:hideMark/>
          </w:tcPr>
          <w:p w14:paraId="61A85FC7"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36F3C6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D6CC62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0F9DF3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CF52B27"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74855FC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BB7D1E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0E15C1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A73F875" w14:textId="77777777" w:rsidR="00E403D6" w:rsidRPr="00F10391" w:rsidRDefault="00E403D6" w:rsidP="00494A9A">
            <w:pPr>
              <w:rPr>
                <w:lang w:eastAsia="en-GB"/>
              </w:rPr>
            </w:pPr>
            <w:r w:rsidRPr="00F10391">
              <w:rPr>
                <w:lang w:eastAsia="en-GB"/>
              </w:rPr>
              <w:t>Multicriteria Decision Analysis To Assess Options for Managing Contaminated Sediments: Application to Southern Busan Harbor, South Korea</w:t>
            </w:r>
          </w:p>
        </w:tc>
        <w:tc>
          <w:tcPr>
            <w:tcW w:w="2475" w:type="dxa"/>
            <w:tcBorders>
              <w:top w:val="nil"/>
              <w:left w:val="nil"/>
              <w:bottom w:val="single" w:sz="4" w:space="0" w:color="auto"/>
              <w:right w:val="single" w:sz="4" w:space="0" w:color="auto"/>
            </w:tcBorders>
            <w:shd w:val="clear" w:color="auto" w:fill="auto"/>
            <w:vAlign w:val="center"/>
            <w:hideMark/>
          </w:tcPr>
          <w:p w14:paraId="3E0F64EA" w14:textId="77777777" w:rsidR="00E403D6" w:rsidRPr="00F10391" w:rsidRDefault="00E403D6" w:rsidP="00F51F18">
            <w:pPr>
              <w:rPr>
                <w:lang w:eastAsia="en-GB"/>
              </w:rPr>
            </w:pPr>
            <w:r w:rsidRPr="00F10391">
              <w:rPr>
                <w:lang w:eastAsia="en-GB"/>
              </w:rPr>
              <w:t xml:space="preserve"> Kim J, Kim SH, Hong, GH,  Suedel BC, Clarke J</w:t>
            </w:r>
          </w:p>
        </w:tc>
        <w:tc>
          <w:tcPr>
            <w:tcW w:w="2475" w:type="dxa"/>
            <w:tcBorders>
              <w:top w:val="nil"/>
              <w:left w:val="nil"/>
              <w:bottom w:val="single" w:sz="4" w:space="0" w:color="auto"/>
              <w:right w:val="single" w:sz="4" w:space="0" w:color="auto"/>
            </w:tcBorders>
            <w:shd w:val="clear" w:color="auto" w:fill="auto"/>
            <w:vAlign w:val="center"/>
            <w:hideMark/>
          </w:tcPr>
          <w:p w14:paraId="6F9F38A0" w14:textId="77777777" w:rsidR="00E403D6" w:rsidRPr="00F10391" w:rsidRDefault="00E403D6">
            <w:pPr>
              <w:rPr>
                <w:lang w:eastAsia="en-GB"/>
              </w:rPr>
            </w:pPr>
            <w:r w:rsidRPr="00F10391">
              <w:rPr>
                <w:lang w:eastAsia="en-GB"/>
              </w:rPr>
              <w:t>Integrated Environmental Assessment and Management 6 (1): 2010</w:t>
            </w:r>
          </w:p>
        </w:tc>
        <w:tc>
          <w:tcPr>
            <w:tcW w:w="919" w:type="dxa"/>
            <w:tcBorders>
              <w:top w:val="nil"/>
              <w:left w:val="nil"/>
              <w:bottom w:val="single" w:sz="4" w:space="0" w:color="auto"/>
              <w:right w:val="single" w:sz="4" w:space="0" w:color="auto"/>
            </w:tcBorders>
            <w:shd w:val="clear" w:color="auto" w:fill="auto"/>
            <w:noWrap/>
            <w:vAlign w:val="center"/>
            <w:hideMark/>
          </w:tcPr>
          <w:p w14:paraId="4A4C473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B55C56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482DCE1"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B60834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098DE9D"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03A0D9C5"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4CCF1EE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603938F"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095D218" w14:textId="77777777" w:rsidR="00E403D6" w:rsidRPr="00F10391" w:rsidRDefault="00E403D6" w:rsidP="00494A9A">
            <w:pPr>
              <w:rPr>
                <w:lang w:eastAsia="en-GB"/>
              </w:rPr>
            </w:pPr>
            <w:r w:rsidRPr="00F10391">
              <w:rPr>
                <w:lang w:eastAsia="en-GB"/>
              </w:rPr>
              <w:t>Multi-criteria decision analysis to prioritize health interventions: Capitalizing on first experiences</w:t>
            </w:r>
          </w:p>
        </w:tc>
        <w:tc>
          <w:tcPr>
            <w:tcW w:w="2475" w:type="dxa"/>
            <w:tcBorders>
              <w:top w:val="nil"/>
              <w:left w:val="nil"/>
              <w:bottom w:val="single" w:sz="4" w:space="0" w:color="auto"/>
              <w:right w:val="single" w:sz="4" w:space="0" w:color="auto"/>
            </w:tcBorders>
            <w:shd w:val="clear" w:color="auto" w:fill="auto"/>
            <w:vAlign w:val="center"/>
            <w:hideMark/>
          </w:tcPr>
          <w:p w14:paraId="2EA994FF" w14:textId="77777777" w:rsidR="00E403D6" w:rsidRPr="00F10391" w:rsidRDefault="00E403D6" w:rsidP="00F51F18">
            <w:pPr>
              <w:rPr>
                <w:lang w:eastAsia="en-GB"/>
              </w:rPr>
            </w:pPr>
            <w:r w:rsidRPr="00F10391">
              <w:rPr>
                <w:lang w:eastAsia="en-GB"/>
              </w:rPr>
              <w:t>Baltussen R, Youngkong S, Paolucci, F, Niessen L</w:t>
            </w:r>
          </w:p>
        </w:tc>
        <w:tc>
          <w:tcPr>
            <w:tcW w:w="2475" w:type="dxa"/>
            <w:tcBorders>
              <w:top w:val="nil"/>
              <w:left w:val="nil"/>
              <w:bottom w:val="single" w:sz="4" w:space="0" w:color="auto"/>
              <w:right w:val="single" w:sz="4" w:space="0" w:color="auto"/>
            </w:tcBorders>
            <w:shd w:val="clear" w:color="auto" w:fill="auto"/>
            <w:vAlign w:val="center"/>
            <w:hideMark/>
          </w:tcPr>
          <w:p w14:paraId="3AC5CFE8" w14:textId="77777777" w:rsidR="00E403D6" w:rsidRPr="00F10391" w:rsidRDefault="00E403D6">
            <w:pPr>
              <w:rPr>
                <w:lang w:eastAsia="en-GB"/>
              </w:rPr>
            </w:pPr>
            <w:r w:rsidRPr="00F10391">
              <w:rPr>
                <w:lang w:eastAsia="en-GB"/>
              </w:rPr>
              <w:t>Health policy 96 (3):262-264 2010</w:t>
            </w:r>
          </w:p>
        </w:tc>
        <w:tc>
          <w:tcPr>
            <w:tcW w:w="919" w:type="dxa"/>
            <w:tcBorders>
              <w:top w:val="nil"/>
              <w:left w:val="nil"/>
              <w:bottom w:val="single" w:sz="4" w:space="0" w:color="auto"/>
              <w:right w:val="single" w:sz="4" w:space="0" w:color="auto"/>
            </w:tcBorders>
            <w:shd w:val="clear" w:color="auto" w:fill="auto"/>
            <w:noWrap/>
            <w:vAlign w:val="center"/>
            <w:hideMark/>
          </w:tcPr>
          <w:p w14:paraId="51C5C5E1"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B45375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968959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C408ACA"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31950A8"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6D381EBC"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D000D1B"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AAE4DA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240AB1D" w14:textId="77777777" w:rsidR="00E403D6" w:rsidRPr="00F10391" w:rsidRDefault="00E403D6" w:rsidP="00494A9A">
            <w:pPr>
              <w:rPr>
                <w:lang w:eastAsia="en-GB"/>
              </w:rPr>
            </w:pPr>
            <w:r w:rsidRPr="00F10391">
              <w:rPr>
                <w:lang w:eastAsia="en-GB"/>
              </w:rPr>
              <w:t>Multi-criteria decision analysis to prioritize health interventions: Capitalizing on first experiences.</w:t>
            </w:r>
          </w:p>
        </w:tc>
        <w:tc>
          <w:tcPr>
            <w:tcW w:w="2475" w:type="dxa"/>
            <w:tcBorders>
              <w:top w:val="nil"/>
              <w:left w:val="nil"/>
              <w:bottom w:val="single" w:sz="4" w:space="0" w:color="auto"/>
              <w:right w:val="single" w:sz="4" w:space="0" w:color="auto"/>
            </w:tcBorders>
            <w:shd w:val="clear" w:color="auto" w:fill="auto"/>
            <w:vAlign w:val="center"/>
            <w:hideMark/>
          </w:tcPr>
          <w:p w14:paraId="35F17364" w14:textId="77777777" w:rsidR="00E403D6" w:rsidRPr="00F10391" w:rsidRDefault="00E403D6" w:rsidP="00F51F18">
            <w:pPr>
              <w:rPr>
                <w:lang w:eastAsia="en-GB"/>
              </w:rPr>
            </w:pPr>
            <w:r w:rsidRPr="00F10391">
              <w:rPr>
                <w:lang w:eastAsia="en-GB"/>
              </w:rPr>
              <w:t>Baltussen R, Youngkong S, Paolucci F, Niessen L.</w:t>
            </w:r>
          </w:p>
        </w:tc>
        <w:tc>
          <w:tcPr>
            <w:tcW w:w="2475" w:type="dxa"/>
            <w:tcBorders>
              <w:top w:val="nil"/>
              <w:left w:val="nil"/>
              <w:bottom w:val="single" w:sz="4" w:space="0" w:color="auto"/>
              <w:right w:val="single" w:sz="4" w:space="0" w:color="auto"/>
            </w:tcBorders>
            <w:shd w:val="clear" w:color="auto" w:fill="auto"/>
            <w:vAlign w:val="center"/>
            <w:hideMark/>
          </w:tcPr>
          <w:p w14:paraId="0AE4A6E9" w14:textId="77777777" w:rsidR="00E403D6" w:rsidRPr="00F10391" w:rsidRDefault="00E403D6">
            <w:pPr>
              <w:rPr>
                <w:lang w:eastAsia="en-GB"/>
              </w:rPr>
            </w:pPr>
            <w:r w:rsidRPr="00F10391">
              <w:rPr>
                <w:lang w:eastAsia="en-GB"/>
              </w:rPr>
              <w:t>Health Policy. Aug,96(3):262-4. 2010</w:t>
            </w:r>
          </w:p>
        </w:tc>
        <w:tc>
          <w:tcPr>
            <w:tcW w:w="919" w:type="dxa"/>
            <w:tcBorders>
              <w:top w:val="nil"/>
              <w:left w:val="nil"/>
              <w:bottom w:val="single" w:sz="4" w:space="0" w:color="auto"/>
              <w:right w:val="single" w:sz="4" w:space="0" w:color="auto"/>
            </w:tcBorders>
            <w:shd w:val="clear" w:color="auto" w:fill="auto"/>
            <w:noWrap/>
            <w:vAlign w:val="center"/>
            <w:hideMark/>
          </w:tcPr>
          <w:p w14:paraId="00E3FB7C"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4533786C"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629F9FCD"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20C2553D"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A4CCFDD"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4FCF2ECC"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A4315F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5D3788D"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BE56D29" w14:textId="77777777" w:rsidR="00E403D6" w:rsidRPr="00F10391" w:rsidRDefault="00E403D6" w:rsidP="00494A9A">
            <w:pPr>
              <w:rPr>
                <w:lang w:eastAsia="en-GB"/>
              </w:rPr>
            </w:pPr>
            <w:r w:rsidRPr="00F10391">
              <w:rPr>
                <w:lang w:eastAsia="en-GB"/>
              </w:rPr>
              <w:t>Multi-criteria decision-making - An approach to setting priorities in health care</w:t>
            </w:r>
          </w:p>
        </w:tc>
        <w:tc>
          <w:tcPr>
            <w:tcW w:w="2475" w:type="dxa"/>
            <w:tcBorders>
              <w:top w:val="nil"/>
              <w:left w:val="nil"/>
              <w:bottom w:val="single" w:sz="4" w:space="0" w:color="auto"/>
              <w:right w:val="single" w:sz="4" w:space="0" w:color="auto"/>
            </w:tcBorders>
            <w:shd w:val="clear" w:color="auto" w:fill="auto"/>
            <w:vAlign w:val="center"/>
            <w:hideMark/>
          </w:tcPr>
          <w:p w14:paraId="5B999CE7" w14:textId="77777777" w:rsidR="00E403D6" w:rsidRPr="005D7324" w:rsidRDefault="00E403D6" w:rsidP="00F51F18">
            <w:pPr>
              <w:rPr>
                <w:lang w:eastAsia="en-GB"/>
              </w:rPr>
            </w:pPr>
            <w:r w:rsidRPr="005D7324">
              <w:rPr>
                <w:lang w:eastAsia="en-GB"/>
              </w:rPr>
              <w:t>Nobre FF, Trotta LTF, Gomes LFAM</w:t>
            </w:r>
          </w:p>
        </w:tc>
        <w:tc>
          <w:tcPr>
            <w:tcW w:w="2475" w:type="dxa"/>
            <w:tcBorders>
              <w:top w:val="nil"/>
              <w:left w:val="nil"/>
              <w:bottom w:val="single" w:sz="4" w:space="0" w:color="auto"/>
              <w:right w:val="single" w:sz="4" w:space="0" w:color="auto"/>
            </w:tcBorders>
            <w:shd w:val="clear" w:color="auto" w:fill="auto"/>
            <w:vAlign w:val="center"/>
            <w:hideMark/>
          </w:tcPr>
          <w:p w14:paraId="2F25300C" w14:textId="77777777" w:rsidR="00E403D6" w:rsidRPr="00F10391" w:rsidRDefault="00E403D6">
            <w:pPr>
              <w:rPr>
                <w:lang w:eastAsia="en-GB"/>
              </w:rPr>
            </w:pPr>
            <w:r w:rsidRPr="00F10391">
              <w:rPr>
                <w:lang w:eastAsia="en-GB"/>
              </w:rPr>
              <w:t>Statistics in medicine 18 (23):3345-3354 1999</w:t>
            </w:r>
          </w:p>
        </w:tc>
        <w:tc>
          <w:tcPr>
            <w:tcW w:w="919" w:type="dxa"/>
            <w:tcBorders>
              <w:top w:val="nil"/>
              <w:left w:val="nil"/>
              <w:bottom w:val="single" w:sz="4" w:space="0" w:color="auto"/>
              <w:right w:val="single" w:sz="4" w:space="0" w:color="auto"/>
            </w:tcBorders>
            <w:shd w:val="clear" w:color="auto" w:fill="auto"/>
            <w:noWrap/>
            <w:vAlign w:val="center"/>
            <w:hideMark/>
          </w:tcPr>
          <w:p w14:paraId="40B105F0"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23DB04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39FDFA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753869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A5F645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8991F64"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25562B9A"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9C743B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CC4AF9C" w14:textId="77777777" w:rsidR="00E403D6" w:rsidRPr="00F10391" w:rsidRDefault="00E403D6" w:rsidP="00494A9A">
            <w:pPr>
              <w:rPr>
                <w:lang w:eastAsia="en-GB"/>
              </w:rPr>
            </w:pPr>
            <w:r w:rsidRPr="00F10391">
              <w:rPr>
                <w:lang w:eastAsia="en-GB"/>
              </w:rPr>
              <w:t>Multicriteria decision-making (MCDM) model for regional sustainable shrimp farming development in northwest Mexico</w:t>
            </w:r>
          </w:p>
        </w:tc>
        <w:tc>
          <w:tcPr>
            <w:tcW w:w="2475" w:type="dxa"/>
            <w:tcBorders>
              <w:top w:val="nil"/>
              <w:left w:val="nil"/>
              <w:bottom w:val="single" w:sz="4" w:space="0" w:color="auto"/>
              <w:right w:val="single" w:sz="4" w:space="0" w:color="auto"/>
            </w:tcBorders>
            <w:shd w:val="clear" w:color="auto" w:fill="auto"/>
            <w:vAlign w:val="center"/>
            <w:hideMark/>
          </w:tcPr>
          <w:p w14:paraId="3091CD36" w14:textId="77777777" w:rsidR="00E403D6" w:rsidRPr="005D7324" w:rsidRDefault="00E403D6" w:rsidP="00F51F18">
            <w:pPr>
              <w:rPr>
                <w:lang w:eastAsia="en-GB"/>
              </w:rPr>
            </w:pPr>
            <w:r w:rsidRPr="005D7324">
              <w:rPr>
                <w:lang w:eastAsia="en-GB"/>
              </w:rPr>
              <w:t>Martinez-Cordero FJ, Leung PS</w:t>
            </w:r>
          </w:p>
        </w:tc>
        <w:tc>
          <w:tcPr>
            <w:tcW w:w="2475" w:type="dxa"/>
            <w:tcBorders>
              <w:top w:val="nil"/>
              <w:left w:val="nil"/>
              <w:bottom w:val="single" w:sz="4" w:space="0" w:color="auto"/>
              <w:right w:val="single" w:sz="4" w:space="0" w:color="auto"/>
            </w:tcBorders>
            <w:shd w:val="clear" w:color="auto" w:fill="auto"/>
            <w:vAlign w:val="center"/>
            <w:hideMark/>
          </w:tcPr>
          <w:p w14:paraId="647A6CC7" w14:textId="77777777" w:rsidR="00E403D6" w:rsidRPr="00F10391" w:rsidRDefault="00E403D6">
            <w:pPr>
              <w:rPr>
                <w:lang w:eastAsia="en-GB"/>
              </w:rPr>
            </w:pPr>
            <w:r w:rsidRPr="00F10391">
              <w:rPr>
                <w:lang w:eastAsia="en-GB"/>
              </w:rPr>
              <w:t>Aquaculture Economics and Management 8 (3-4):179-192 2004</w:t>
            </w:r>
          </w:p>
        </w:tc>
        <w:tc>
          <w:tcPr>
            <w:tcW w:w="919" w:type="dxa"/>
            <w:tcBorders>
              <w:top w:val="nil"/>
              <w:left w:val="nil"/>
              <w:bottom w:val="single" w:sz="4" w:space="0" w:color="auto"/>
              <w:right w:val="single" w:sz="4" w:space="0" w:color="auto"/>
            </w:tcBorders>
            <w:shd w:val="clear" w:color="auto" w:fill="auto"/>
            <w:noWrap/>
            <w:vAlign w:val="center"/>
            <w:hideMark/>
          </w:tcPr>
          <w:p w14:paraId="47ABF82B"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B5C565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0696E2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7B45FA8"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DC6896C"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492C275"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D3AF49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3015DD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C7E8AB1" w14:textId="77777777" w:rsidR="00E403D6" w:rsidRPr="00F10391" w:rsidRDefault="00E403D6" w:rsidP="00494A9A">
            <w:pPr>
              <w:rPr>
                <w:lang w:eastAsia="en-GB"/>
              </w:rPr>
            </w:pPr>
            <w:r w:rsidRPr="00F10391">
              <w:rPr>
                <w:lang w:eastAsia="en-GB"/>
              </w:rPr>
              <w:t>Multi-criteria decision-making--an approach to setting priorities in health care.</w:t>
            </w:r>
          </w:p>
        </w:tc>
        <w:tc>
          <w:tcPr>
            <w:tcW w:w="2475" w:type="dxa"/>
            <w:tcBorders>
              <w:top w:val="nil"/>
              <w:left w:val="nil"/>
              <w:bottom w:val="single" w:sz="4" w:space="0" w:color="auto"/>
              <w:right w:val="single" w:sz="4" w:space="0" w:color="auto"/>
            </w:tcBorders>
            <w:shd w:val="clear" w:color="auto" w:fill="auto"/>
            <w:vAlign w:val="center"/>
            <w:hideMark/>
          </w:tcPr>
          <w:p w14:paraId="5D9B8AC1" w14:textId="77777777" w:rsidR="00E403D6" w:rsidRPr="005D7324" w:rsidRDefault="00E403D6" w:rsidP="00F51F18">
            <w:pPr>
              <w:rPr>
                <w:lang w:eastAsia="en-GB"/>
              </w:rPr>
            </w:pPr>
            <w:r w:rsidRPr="005D7324">
              <w:rPr>
                <w:lang w:eastAsia="en-GB"/>
              </w:rPr>
              <w:t>Nobre FF, Trotta LT, Gomes LF.</w:t>
            </w:r>
          </w:p>
        </w:tc>
        <w:tc>
          <w:tcPr>
            <w:tcW w:w="2475" w:type="dxa"/>
            <w:tcBorders>
              <w:top w:val="nil"/>
              <w:left w:val="nil"/>
              <w:bottom w:val="single" w:sz="4" w:space="0" w:color="auto"/>
              <w:right w:val="single" w:sz="4" w:space="0" w:color="auto"/>
            </w:tcBorders>
            <w:shd w:val="clear" w:color="auto" w:fill="auto"/>
            <w:vAlign w:val="center"/>
            <w:hideMark/>
          </w:tcPr>
          <w:p w14:paraId="332701E1" w14:textId="77777777" w:rsidR="00E403D6" w:rsidRPr="00F10391" w:rsidRDefault="00E403D6">
            <w:pPr>
              <w:rPr>
                <w:lang w:eastAsia="en-GB"/>
              </w:rPr>
            </w:pPr>
            <w:r w:rsidRPr="00F10391">
              <w:rPr>
                <w:lang w:eastAsia="en-GB"/>
              </w:rPr>
              <w:t>Stat Med. Dec 15 18(23):3345-54. 1999</w:t>
            </w:r>
          </w:p>
        </w:tc>
        <w:tc>
          <w:tcPr>
            <w:tcW w:w="919" w:type="dxa"/>
            <w:tcBorders>
              <w:top w:val="nil"/>
              <w:left w:val="nil"/>
              <w:bottom w:val="single" w:sz="4" w:space="0" w:color="auto"/>
              <w:right w:val="single" w:sz="4" w:space="0" w:color="auto"/>
            </w:tcBorders>
            <w:shd w:val="clear" w:color="auto" w:fill="auto"/>
            <w:noWrap/>
            <w:vAlign w:val="center"/>
            <w:hideMark/>
          </w:tcPr>
          <w:p w14:paraId="7A7FE090"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16D6EDA0"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4E66C999"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850CE71"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2F0CB96A"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1631F4B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5860F3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13DEED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6799376" w14:textId="77777777" w:rsidR="00E403D6" w:rsidRPr="00F10391" w:rsidRDefault="00E403D6" w:rsidP="00494A9A">
            <w:pPr>
              <w:rPr>
                <w:lang w:eastAsia="en-GB"/>
              </w:rPr>
            </w:pPr>
            <w:r w:rsidRPr="00F10391">
              <w:rPr>
                <w:lang w:eastAsia="en-GB"/>
              </w:rPr>
              <w:t>Multicriteria evaluation for strategies of improving and controlling air-quality in the super city - a case-study of Taipei city</w:t>
            </w:r>
          </w:p>
        </w:tc>
        <w:tc>
          <w:tcPr>
            <w:tcW w:w="2475" w:type="dxa"/>
            <w:tcBorders>
              <w:top w:val="nil"/>
              <w:left w:val="nil"/>
              <w:bottom w:val="single" w:sz="4" w:space="0" w:color="auto"/>
              <w:right w:val="single" w:sz="4" w:space="0" w:color="auto"/>
            </w:tcBorders>
            <w:shd w:val="clear" w:color="auto" w:fill="auto"/>
            <w:vAlign w:val="center"/>
            <w:hideMark/>
          </w:tcPr>
          <w:p w14:paraId="311B02F7" w14:textId="77777777" w:rsidR="00E403D6" w:rsidRPr="00F10391" w:rsidRDefault="00E403D6" w:rsidP="00F51F18">
            <w:pPr>
              <w:rPr>
                <w:lang w:eastAsia="en-GB"/>
              </w:rPr>
            </w:pPr>
            <w:r w:rsidRPr="00F10391">
              <w:rPr>
                <w:lang w:eastAsia="en-GB"/>
              </w:rPr>
              <w:t>Teng  JY, Tzeng GH</w:t>
            </w:r>
          </w:p>
        </w:tc>
        <w:tc>
          <w:tcPr>
            <w:tcW w:w="2475" w:type="dxa"/>
            <w:tcBorders>
              <w:top w:val="nil"/>
              <w:left w:val="nil"/>
              <w:bottom w:val="single" w:sz="4" w:space="0" w:color="auto"/>
              <w:right w:val="single" w:sz="4" w:space="0" w:color="auto"/>
            </w:tcBorders>
            <w:shd w:val="clear" w:color="auto" w:fill="auto"/>
            <w:vAlign w:val="center"/>
            <w:hideMark/>
          </w:tcPr>
          <w:p w14:paraId="744D8330" w14:textId="77777777" w:rsidR="00E403D6" w:rsidRPr="00F10391" w:rsidRDefault="00E403D6">
            <w:pPr>
              <w:rPr>
                <w:lang w:eastAsia="en-GB"/>
              </w:rPr>
            </w:pPr>
            <w:r w:rsidRPr="00F10391">
              <w:rPr>
                <w:lang w:eastAsia="en-GB"/>
              </w:rPr>
              <w:t xml:space="preserve"> journal of environmental management 40 (3):213-229 1994</w:t>
            </w:r>
          </w:p>
        </w:tc>
        <w:tc>
          <w:tcPr>
            <w:tcW w:w="919" w:type="dxa"/>
            <w:tcBorders>
              <w:top w:val="nil"/>
              <w:left w:val="nil"/>
              <w:bottom w:val="single" w:sz="4" w:space="0" w:color="auto"/>
              <w:right w:val="single" w:sz="4" w:space="0" w:color="auto"/>
            </w:tcBorders>
            <w:shd w:val="clear" w:color="auto" w:fill="auto"/>
            <w:noWrap/>
            <w:vAlign w:val="center"/>
            <w:hideMark/>
          </w:tcPr>
          <w:p w14:paraId="5CAEB0E3"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4C4D666"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E61CA09"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890CA50"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5AE0919"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09FDA1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F7EDF0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011411E"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FFFD6BD" w14:textId="77777777" w:rsidR="00E403D6" w:rsidRPr="00F10391" w:rsidRDefault="00E403D6" w:rsidP="00494A9A">
            <w:pPr>
              <w:rPr>
                <w:lang w:eastAsia="en-GB"/>
              </w:rPr>
            </w:pPr>
            <w:r w:rsidRPr="00F10391">
              <w:rPr>
                <w:lang w:eastAsia="en-GB"/>
              </w:rPr>
              <w:t>Multicriteria evaluation tools to support the conceptual design of activated sludge systems</w:t>
            </w:r>
          </w:p>
        </w:tc>
        <w:tc>
          <w:tcPr>
            <w:tcW w:w="2475" w:type="dxa"/>
            <w:tcBorders>
              <w:top w:val="nil"/>
              <w:left w:val="nil"/>
              <w:bottom w:val="single" w:sz="4" w:space="0" w:color="auto"/>
              <w:right w:val="single" w:sz="4" w:space="0" w:color="auto"/>
            </w:tcBorders>
            <w:shd w:val="clear" w:color="auto" w:fill="auto"/>
            <w:vAlign w:val="center"/>
            <w:hideMark/>
          </w:tcPr>
          <w:p w14:paraId="54DDF271" w14:textId="77777777" w:rsidR="00E403D6" w:rsidRPr="005D7324" w:rsidRDefault="00E403D6" w:rsidP="00F51F18">
            <w:pPr>
              <w:rPr>
                <w:lang w:eastAsia="en-GB"/>
              </w:rPr>
            </w:pPr>
            <w:r w:rsidRPr="005D7324">
              <w:rPr>
                <w:lang w:eastAsia="en-GB"/>
              </w:rPr>
              <w:t>Flores X, Bonmati A, Poch M, Roda IR, Jimenez L, Banares-Alcantara R</w:t>
            </w:r>
          </w:p>
        </w:tc>
        <w:tc>
          <w:tcPr>
            <w:tcW w:w="2475" w:type="dxa"/>
            <w:tcBorders>
              <w:top w:val="nil"/>
              <w:left w:val="nil"/>
              <w:bottom w:val="single" w:sz="4" w:space="0" w:color="auto"/>
              <w:right w:val="single" w:sz="4" w:space="0" w:color="auto"/>
            </w:tcBorders>
            <w:shd w:val="clear" w:color="auto" w:fill="auto"/>
            <w:vAlign w:val="center"/>
            <w:hideMark/>
          </w:tcPr>
          <w:p w14:paraId="61AABFED" w14:textId="77777777" w:rsidR="00E403D6" w:rsidRPr="00F10391" w:rsidRDefault="00E403D6">
            <w:pPr>
              <w:rPr>
                <w:lang w:eastAsia="en-GB"/>
              </w:rPr>
            </w:pPr>
            <w:r w:rsidRPr="00F10391">
              <w:rPr>
                <w:lang w:eastAsia="en-GB"/>
              </w:rPr>
              <w:t>Water science and technology 56 (6):85-94 2007</w:t>
            </w:r>
          </w:p>
        </w:tc>
        <w:tc>
          <w:tcPr>
            <w:tcW w:w="919" w:type="dxa"/>
            <w:tcBorders>
              <w:top w:val="nil"/>
              <w:left w:val="nil"/>
              <w:bottom w:val="single" w:sz="4" w:space="0" w:color="auto"/>
              <w:right w:val="single" w:sz="4" w:space="0" w:color="auto"/>
            </w:tcBorders>
            <w:shd w:val="clear" w:color="auto" w:fill="auto"/>
            <w:noWrap/>
            <w:vAlign w:val="center"/>
            <w:hideMark/>
          </w:tcPr>
          <w:p w14:paraId="6E91CFF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AE54ED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A0F5D6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A7F58FD"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285C5A4"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0FBF55A"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D00503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25C05F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0FBE329" w14:textId="77777777" w:rsidR="00E403D6" w:rsidRPr="00F10391" w:rsidRDefault="00E403D6" w:rsidP="00494A9A">
            <w:pPr>
              <w:rPr>
                <w:lang w:eastAsia="en-GB"/>
              </w:rPr>
            </w:pPr>
            <w:r w:rsidRPr="00F10391">
              <w:rPr>
                <w:lang w:eastAsia="en-GB"/>
              </w:rPr>
              <w:t>Multicriteria methods in river basin planning - a case-study</w:t>
            </w:r>
          </w:p>
        </w:tc>
        <w:tc>
          <w:tcPr>
            <w:tcW w:w="2475" w:type="dxa"/>
            <w:tcBorders>
              <w:top w:val="nil"/>
              <w:left w:val="nil"/>
              <w:bottom w:val="single" w:sz="4" w:space="0" w:color="auto"/>
              <w:right w:val="single" w:sz="4" w:space="0" w:color="auto"/>
            </w:tcBorders>
            <w:shd w:val="clear" w:color="auto" w:fill="auto"/>
            <w:vAlign w:val="center"/>
            <w:hideMark/>
          </w:tcPr>
          <w:p w14:paraId="5A464567" w14:textId="77777777" w:rsidR="00E403D6" w:rsidRPr="00F10391" w:rsidRDefault="00E403D6" w:rsidP="00F51F18">
            <w:pPr>
              <w:rPr>
                <w:lang w:eastAsia="en-GB"/>
              </w:rPr>
            </w:pPr>
            <w:r w:rsidRPr="00F10391">
              <w:rPr>
                <w:lang w:eastAsia="en-GB"/>
              </w:rPr>
              <w:t xml:space="preserve"> Raj PA</w:t>
            </w:r>
          </w:p>
        </w:tc>
        <w:tc>
          <w:tcPr>
            <w:tcW w:w="2475" w:type="dxa"/>
            <w:tcBorders>
              <w:top w:val="nil"/>
              <w:left w:val="nil"/>
              <w:bottom w:val="single" w:sz="4" w:space="0" w:color="auto"/>
              <w:right w:val="single" w:sz="4" w:space="0" w:color="auto"/>
            </w:tcBorders>
            <w:shd w:val="clear" w:color="auto" w:fill="auto"/>
            <w:vAlign w:val="center"/>
            <w:hideMark/>
          </w:tcPr>
          <w:p w14:paraId="54E17262" w14:textId="77777777" w:rsidR="00E403D6" w:rsidRPr="00F10391" w:rsidRDefault="00E403D6">
            <w:pPr>
              <w:rPr>
                <w:lang w:eastAsia="en-GB"/>
              </w:rPr>
            </w:pPr>
            <w:r w:rsidRPr="00F10391">
              <w:rPr>
                <w:lang w:eastAsia="en-GB"/>
              </w:rPr>
              <w:t>Water science and technology 31 (8):261-272 1995</w:t>
            </w:r>
          </w:p>
        </w:tc>
        <w:tc>
          <w:tcPr>
            <w:tcW w:w="919" w:type="dxa"/>
            <w:tcBorders>
              <w:top w:val="nil"/>
              <w:left w:val="nil"/>
              <w:bottom w:val="single" w:sz="4" w:space="0" w:color="auto"/>
              <w:right w:val="single" w:sz="4" w:space="0" w:color="auto"/>
            </w:tcBorders>
            <w:shd w:val="clear" w:color="auto" w:fill="auto"/>
            <w:noWrap/>
            <w:vAlign w:val="center"/>
            <w:hideMark/>
          </w:tcPr>
          <w:p w14:paraId="67EE0978"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1EE21B4"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78FB97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FCA606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1E1DB71"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20AC2730"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7682B9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20C7C3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5F5D6F41" w14:textId="77777777" w:rsidR="00E403D6" w:rsidRPr="00F10391" w:rsidRDefault="00E403D6" w:rsidP="00494A9A">
            <w:pPr>
              <w:rPr>
                <w:lang w:eastAsia="en-GB"/>
              </w:rPr>
            </w:pPr>
            <w:r w:rsidRPr="00F10391">
              <w:rPr>
                <w:lang w:eastAsia="en-GB"/>
              </w:rPr>
              <w:t>Multiple criteria decision-making for the resolution of conflicting ergonomic knowledge in manual materials handling</w:t>
            </w:r>
          </w:p>
        </w:tc>
        <w:tc>
          <w:tcPr>
            <w:tcW w:w="2475" w:type="dxa"/>
            <w:tcBorders>
              <w:top w:val="nil"/>
              <w:left w:val="nil"/>
              <w:bottom w:val="single" w:sz="4" w:space="0" w:color="auto"/>
              <w:right w:val="single" w:sz="4" w:space="0" w:color="auto"/>
            </w:tcBorders>
            <w:shd w:val="clear" w:color="auto" w:fill="auto"/>
            <w:vAlign w:val="center"/>
            <w:hideMark/>
          </w:tcPr>
          <w:p w14:paraId="1E81F5FE" w14:textId="77777777" w:rsidR="00E403D6" w:rsidRPr="00F10391" w:rsidRDefault="00E403D6" w:rsidP="00F51F18">
            <w:pPr>
              <w:rPr>
                <w:lang w:eastAsia="en-GB"/>
              </w:rPr>
            </w:pPr>
            <w:r w:rsidRPr="00F10391">
              <w:rPr>
                <w:lang w:eastAsia="en-GB"/>
              </w:rPr>
              <w:t>Jung ES, Freivalds, A</w:t>
            </w:r>
          </w:p>
        </w:tc>
        <w:tc>
          <w:tcPr>
            <w:tcW w:w="2475" w:type="dxa"/>
            <w:tcBorders>
              <w:top w:val="nil"/>
              <w:left w:val="nil"/>
              <w:bottom w:val="single" w:sz="4" w:space="0" w:color="auto"/>
              <w:right w:val="single" w:sz="4" w:space="0" w:color="auto"/>
            </w:tcBorders>
            <w:shd w:val="clear" w:color="auto" w:fill="auto"/>
            <w:vAlign w:val="center"/>
            <w:hideMark/>
          </w:tcPr>
          <w:p w14:paraId="7AC6E1E5" w14:textId="77777777" w:rsidR="00E403D6" w:rsidRPr="00F10391" w:rsidRDefault="00E403D6">
            <w:pPr>
              <w:rPr>
                <w:lang w:eastAsia="en-GB"/>
              </w:rPr>
            </w:pPr>
            <w:r w:rsidRPr="00F10391">
              <w:rPr>
                <w:lang w:eastAsia="en-GB"/>
              </w:rPr>
              <w:t>Ergonomics 34 (11):1351-1356 1991</w:t>
            </w:r>
          </w:p>
        </w:tc>
        <w:tc>
          <w:tcPr>
            <w:tcW w:w="919" w:type="dxa"/>
            <w:tcBorders>
              <w:top w:val="nil"/>
              <w:left w:val="nil"/>
              <w:bottom w:val="single" w:sz="4" w:space="0" w:color="auto"/>
              <w:right w:val="single" w:sz="4" w:space="0" w:color="auto"/>
            </w:tcBorders>
            <w:shd w:val="clear" w:color="auto" w:fill="auto"/>
            <w:noWrap/>
            <w:vAlign w:val="center"/>
            <w:hideMark/>
          </w:tcPr>
          <w:p w14:paraId="3AD4F91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765AF2B"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2FDD219"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E71DBE1"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010D1591"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E011272"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A2D9727"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734BE5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406745E" w14:textId="77777777" w:rsidR="00E403D6" w:rsidRPr="00F10391" w:rsidRDefault="00E403D6" w:rsidP="00494A9A">
            <w:pPr>
              <w:rPr>
                <w:lang w:eastAsia="en-GB"/>
              </w:rPr>
            </w:pPr>
            <w:r w:rsidRPr="00F10391">
              <w:rPr>
                <w:lang w:eastAsia="en-GB"/>
              </w:rPr>
              <w:t>On some aspects of data integration techniques with environmental applications</w:t>
            </w:r>
          </w:p>
        </w:tc>
        <w:tc>
          <w:tcPr>
            <w:tcW w:w="2475" w:type="dxa"/>
            <w:tcBorders>
              <w:top w:val="nil"/>
              <w:left w:val="nil"/>
              <w:bottom w:val="single" w:sz="4" w:space="0" w:color="auto"/>
              <w:right w:val="single" w:sz="4" w:space="0" w:color="auto"/>
            </w:tcBorders>
            <w:shd w:val="clear" w:color="auto" w:fill="auto"/>
            <w:vAlign w:val="center"/>
            <w:hideMark/>
          </w:tcPr>
          <w:p w14:paraId="76AB15EF" w14:textId="77777777" w:rsidR="00E403D6" w:rsidRPr="00F10391" w:rsidRDefault="00E403D6" w:rsidP="00F51F18">
            <w:pPr>
              <w:rPr>
                <w:lang w:eastAsia="en-GB"/>
              </w:rPr>
            </w:pPr>
            <w:r w:rsidRPr="00F10391">
              <w:rPr>
                <w:lang w:eastAsia="en-GB"/>
              </w:rPr>
              <w:t xml:space="preserve"> Sinha BK, Shah KR</w:t>
            </w:r>
          </w:p>
        </w:tc>
        <w:tc>
          <w:tcPr>
            <w:tcW w:w="2475" w:type="dxa"/>
            <w:tcBorders>
              <w:top w:val="nil"/>
              <w:left w:val="nil"/>
              <w:bottom w:val="single" w:sz="4" w:space="0" w:color="auto"/>
              <w:right w:val="single" w:sz="4" w:space="0" w:color="auto"/>
            </w:tcBorders>
            <w:shd w:val="clear" w:color="auto" w:fill="auto"/>
            <w:vAlign w:val="center"/>
            <w:hideMark/>
          </w:tcPr>
          <w:p w14:paraId="1C75763A" w14:textId="77777777" w:rsidR="00E403D6" w:rsidRPr="00F10391" w:rsidRDefault="00E403D6">
            <w:pPr>
              <w:rPr>
                <w:lang w:eastAsia="en-GB"/>
              </w:rPr>
            </w:pPr>
            <w:r w:rsidRPr="00F10391">
              <w:rPr>
                <w:lang w:eastAsia="en-GB"/>
              </w:rPr>
              <w:t>Environmetrics 14 (4):409-416 2003</w:t>
            </w:r>
          </w:p>
        </w:tc>
        <w:tc>
          <w:tcPr>
            <w:tcW w:w="919" w:type="dxa"/>
            <w:tcBorders>
              <w:top w:val="nil"/>
              <w:left w:val="nil"/>
              <w:bottom w:val="single" w:sz="4" w:space="0" w:color="auto"/>
              <w:right w:val="single" w:sz="4" w:space="0" w:color="auto"/>
            </w:tcBorders>
            <w:shd w:val="clear" w:color="auto" w:fill="auto"/>
            <w:noWrap/>
            <w:vAlign w:val="center"/>
            <w:hideMark/>
          </w:tcPr>
          <w:p w14:paraId="6145410C"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8DD491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C4AE2F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FF2A44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A95239E"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6684268F"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6C824B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C5B262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D761ACB" w14:textId="77777777" w:rsidR="00E403D6" w:rsidRPr="00F10391" w:rsidRDefault="00E403D6" w:rsidP="00494A9A">
            <w:pPr>
              <w:rPr>
                <w:lang w:eastAsia="en-GB"/>
              </w:rPr>
            </w:pPr>
            <w:r w:rsidRPr="00F10391">
              <w:rPr>
                <w:lang w:eastAsia="en-GB"/>
              </w:rPr>
              <w:t>Path analysis and multi-criteria decision-making: an approach for multivariate model selection and analysis in health.</w:t>
            </w:r>
          </w:p>
        </w:tc>
        <w:tc>
          <w:tcPr>
            <w:tcW w:w="2475" w:type="dxa"/>
            <w:tcBorders>
              <w:top w:val="nil"/>
              <w:left w:val="nil"/>
              <w:bottom w:val="single" w:sz="4" w:space="0" w:color="auto"/>
              <w:right w:val="single" w:sz="4" w:space="0" w:color="auto"/>
            </w:tcBorders>
            <w:shd w:val="clear" w:color="auto" w:fill="auto"/>
            <w:vAlign w:val="center"/>
            <w:hideMark/>
          </w:tcPr>
          <w:p w14:paraId="76EEB0D7" w14:textId="77777777" w:rsidR="00E403D6" w:rsidRPr="005D7324" w:rsidRDefault="00E403D6" w:rsidP="00F51F18">
            <w:pPr>
              <w:rPr>
                <w:lang w:eastAsia="en-GB"/>
              </w:rPr>
            </w:pPr>
            <w:r w:rsidRPr="005D7324">
              <w:rPr>
                <w:lang w:eastAsia="en-GB"/>
              </w:rPr>
              <w:t>Vasconcelos AG, Almeida RM, Nobre FF.</w:t>
            </w:r>
          </w:p>
        </w:tc>
        <w:tc>
          <w:tcPr>
            <w:tcW w:w="2475" w:type="dxa"/>
            <w:tcBorders>
              <w:top w:val="nil"/>
              <w:left w:val="nil"/>
              <w:bottom w:val="single" w:sz="4" w:space="0" w:color="auto"/>
              <w:right w:val="single" w:sz="4" w:space="0" w:color="auto"/>
            </w:tcBorders>
            <w:shd w:val="clear" w:color="auto" w:fill="auto"/>
            <w:vAlign w:val="center"/>
            <w:hideMark/>
          </w:tcPr>
          <w:p w14:paraId="3E0312CE" w14:textId="77777777" w:rsidR="00E403D6" w:rsidRPr="00F10391" w:rsidRDefault="00E403D6">
            <w:pPr>
              <w:rPr>
                <w:lang w:eastAsia="en-GB"/>
              </w:rPr>
            </w:pPr>
            <w:r w:rsidRPr="00F10391">
              <w:rPr>
                <w:lang w:eastAsia="en-GB"/>
              </w:rPr>
              <w:t>Ann Epidemiol. Aug 11(6):377-84. 2001</w:t>
            </w:r>
          </w:p>
        </w:tc>
        <w:tc>
          <w:tcPr>
            <w:tcW w:w="919" w:type="dxa"/>
            <w:tcBorders>
              <w:top w:val="nil"/>
              <w:left w:val="nil"/>
              <w:bottom w:val="single" w:sz="4" w:space="0" w:color="auto"/>
              <w:right w:val="single" w:sz="4" w:space="0" w:color="auto"/>
            </w:tcBorders>
            <w:shd w:val="clear" w:color="auto" w:fill="auto"/>
            <w:noWrap/>
            <w:vAlign w:val="center"/>
            <w:hideMark/>
          </w:tcPr>
          <w:p w14:paraId="16F5357E"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5811CF48"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E49D2F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12E8D4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1EF47FE"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33A9BBA2"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18FFFF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411F8A9"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FD2AECF" w14:textId="77777777" w:rsidR="00E403D6" w:rsidRPr="00F10391" w:rsidRDefault="00E403D6" w:rsidP="00494A9A">
            <w:pPr>
              <w:rPr>
                <w:lang w:eastAsia="en-GB"/>
              </w:rPr>
            </w:pPr>
            <w:r w:rsidRPr="00F10391">
              <w:rPr>
                <w:lang w:eastAsia="en-GB"/>
              </w:rPr>
              <w:t>PBMA - its role in the future purchasing arrangements for health-care services</w:t>
            </w:r>
          </w:p>
        </w:tc>
        <w:tc>
          <w:tcPr>
            <w:tcW w:w="2475" w:type="dxa"/>
            <w:tcBorders>
              <w:top w:val="nil"/>
              <w:left w:val="nil"/>
              <w:bottom w:val="single" w:sz="4" w:space="0" w:color="auto"/>
              <w:right w:val="single" w:sz="4" w:space="0" w:color="auto"/>
            </w:tcBorders>
            <w:shd w:val="clear" w:color="auto" w:fill="auto"/>
            <w:vAlign w:val="center"/>
            <w:hideMark/>
          </w:tcPr>
          <w:p w14:paraId="4089077A" w14:textId="77777777" w:rsidR="00E403D6" w:rsidRPr="00F10391" w:rsidRDefault="00E403D6" w:rsidP="00F51F18">
            <w:pPr>
              <w:rPr>
                <w:lang w:eastAsia="en-GB"/>
              </w:rPr>
            </w:pPr>
            <w:r w:rsidRPr="00F10391">
              <w:rPr>
                <w:lang w:eastAsia="en-GB"/>
              </w:rPr>
              <w:t>Wilson H, Scott S</w:t>
            </w:r>
          </w:p>
        </w:tc>
        <w:tc>
          <w:tcPr>
            <w:tcW w:w="2475" w:type="dxa"/>
            <w:tcBorders>
              <w:top w:val="nil"/>
              <w:left w:val="nil"/>
              <w:bottom w:val="single" w:sz="4" w:space="0" w:color="auto"/>
              <w:right w:val="single" w:sz="4" w:space="0" w:color="auto"/>
            </w:tcBorders>
            <w:shd w:val="clear" w:color="auto" w:fill="auto"/>
            <w:vAlign w:val="center"/>
            <w:hideMark/>
          </w:tcPr>
          <w:p w14:paraId="63F0A9B6" w14:textId="77777777" w:rsidR="00E403D6" w:rsidRPr="00F10391" w:rsidRDefault="00E403D6">
            <w:pPr>
              <w:rPr>
                <w:lang w:eastAsia="en-GB"/>
              </w:rPr>
            </w:pPr>
            <w:r w:rsidRPr="00F10391">
              <w:rPr>
                <w:lang w:eastAsia="en-GB"/>
              </w:rPr>
              <w:t>Health policy 33 (2):157-160 1995</w:t>
            </w:r>
          </w:p>
        </w:tc>
        <w:tc>
          <w:tcPr>
            <w:tcW w:w="919" w:type="dxa"/>
            <w:tcBorders>
              <w:top w:val="nil"/>
              <w:left w:val="nil"/>
              <w:bottom w:val="single" w:sz="4" w:space="0" w:color="auto"/>
              <w:right w:val="single" w:sz="4" w:space="0" w:color="auto"/>
            </w:tcBorders>
            <w:shd w:val="clear" w:color="auto" w:fill="auto"/>
            <w:noWrap/>
            <w:vAlign w:val="center"/>
            <w:hideMark/>
          </w:tcPr>
          <w:p w14:paraId="22AB9584"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B93C01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E3D3C1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E367932"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AD45A44"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F97BA24"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7ACCF64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EB023CF"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07D3BA4" w14:textId="77777777" w:rsidR="00E403D6" w:rsidRPr="00F10391" w:rsidRDefault="00E403D6" w:rsidP="00494A9A">
            <w:pPr>
              <w:rPr>
                <w:lang w:eastAsia="en-GB"/>
              </w:rPr>
            </w:pPr>
            <w:r w:rsidRPr="00F10391">
              <w:rPr>
                <w:lang w:eastAsia="en-GB"/>
              </w:rPr>
              <w:t>PBMA (programme budgeting marginal analysis)--its role in the future purchasing arrangements for health care services.</w:t>
            </w:r>
          </w:p>
        </w:tc>
        <w:tc>
          <w:tcPr>
            <w:tcW w:w="2475" w:type="dxa"/>
            <w:tcBorders>
              <w:top w:val="nil"/>
              <w:left w:val="nil"/>
              <w:bottom w:val="single" w:sz="4" w:space="0" w:color="auto"/>
              <w:right w:val="single" w:sz="4" w:space="0" w:color="auto"/>
            </w:tcBorders>
            <w:shd w:val="clear" w:color="auto" w:fill="auto"/>
            <w:vAlign w:val="center"/>
            <w:hideMark/>
          </w:tcPr>
          <w:p w14:paraId="3F65F106" w14:textId="77777777" w:rsidR="00E403D6" w:rsidRPr="00F10391" w:rsidRDefault="00E403D6" w:rsidP="00F51F18">
            <w:pPr>
              <w:rPr>
                <w:lang w:eastAsia="en-GB"/>
              </w:rPr>
            </w:pPr>
            <w:r w:rsidRPr="00F10391">
              <w:rPr>
                <w:lang w:eastAsia="en-GB"/>
              </w:rPr>
              <w:t>Wilson H, Scott S</w:t>
            </w:r>
          </w:p>
        </w:tc>
        <w:tc>
          <w:tcPr>
            <w:tcW w:w="2475" w:type="dxa"/>
            <w:tcBorders>
              <w:top w:val="nil"/>
              <w:left w:val="nil"/>
              <w:bottom w:val="single" w:sz="4" w:space="0" w:color="auto"/>
              <w:right w:val="single" w:sz="4" w:space="0" w:color="auto"/>
            </w:tcBorders>
            <w:shd w:val="clear" w:color="auto" w:fill="auto"/>
            <w:vAlign w:val="center"/>
            <w:hideMark/>
          </w:tcPr>
          <w:p w14:paraId="44DC42FA" w14:textId="77777777" w:rsidR="00E403D6" w:rsidRPr="00F10391" w:rsidRDefault="00E403D6">
            <w:pPr>
              <w:rPr>
                <w:lang w:eastAsia="en-GB"/>
              </w:rPr>
            </w:pPr>
            <w:r w:rsidRPr="00F10391">
              <w:rPr>
                <w:lang w:eastAsia="en-GB"/>
              </w:rPr>
              <w:t>Health Policy. Aug 33(2):157-60. 1995</w:t>
            </w:r>
          </w:p>
        </w:tc>
        <w:tc>
          <w:tcPr>
            <w:tcW w:w="919" w:type="dxa"/>
            <w:tcBorders>
              <w:top w:val="nil"/>
              <w:left w:val="nil"/>
              <w:bottom w:val="single" w:sz="4" w:space="0" w:color="auto"/>
              <w:right w:val="single" w:sz="4" w:space="0" w:color="auto"/>
            </w:tcBorders>
            <w:shd w:val="clear" w:color="auto" w:fill="auto"/>
            <w:noWrap/>
            <w:vAlign w:val="center"/>
            <w:hideMark/>
          </w:tcPr>
          <w:p w14:paraId="51025BD1"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2894973"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47D3A987"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E1B7756"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EBDE92C"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76A7090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112862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BEFF4D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65AA029" w14:textId="77777777" w:rsidR="00E403D6" w:rsidRPr="00F10391" w:rsidRDefault="00E403D6" w:rsidP="00494A9A">
            <w:pPr>
              <w:rPr>
                <w:lang w:eastAsia="en-GB"/>
              </w:rPr>
            </w:pPr>
            <w:r w:rsidRPr="00F10391">
              <w:rPr>
                <w:lang w:eastAsia="en-GB"/>
              </w:rPr>
              <w:t>Population viability risk management (PVRM) for in situ management of endangered tree species - A case study on a Taxus baccata L. population</w:t>
            </w:r>
          </w:p>
        </w:tc>
        <w:tc>
          <w:tcPr>
            <w:tcW w:w="2475" w:type="dxa"/>
            <w:tcBorders>
              <w:top w:val="nil"/>
              <w:left w:val="nil"/>
              <w:bottom w:val="single" w:sz="4" w:space="0" w:color="auto"/>
              <w:right w:val="single" w:sz="4" w:space="0" w:color="auto"/>
            </w:tcBorders>
            <w:shd w:val="clear" w:color="auto" w:fill="auto"/>
            <w:vAlign w:val="center"/>
            <w:hideMark/>
          </w:tcPr>
          <w:p w14:paraId="5DBEE94F" w14:textId="77777777" w:rsidR="00E403D6" w:rsidRPr="00F10391" w:rsidRDefault="00E403D6" w:rsidP="00F51F18">
            <w:pPr>
              <w:rPr>
                <w:lang w:eastAsia="en-GB"/>
              </w:rPr>
            </w:pPr>
            <w:r w:rsidRPr="00F10391">
              <w:rPr>
                <w:lang w:eastAsia="en-GB"/>
              </w:rPr>
              <w:t>Dhar A, Ruprecht H, Vacik H</w:t>
            </w:r>
          </w:p>
        </w:tc>
        <w:tc>
          <w:tcPr>
            <w:tcW w:w="2475" w:type="dxa"/>
            <w:tcBorders>
              <w:top w:val="nil"/>
              <w:left w:val="nil"/>
              <w:bottom w:val="single" w:sz="4" w:space="0" w:color="auto"/>
              <w:right w:val="single" w:sz="4" w:space="0" w:color="auto"/>
            </w:tcBorders>
            <w:shd w:val="clear" w:color="auto" w:fill="auto"/>
            <w:vAlign w:val="center"/>
            <w:hideMark/>
          </w:tcPr>
          <w:p w14:paraId="0009602F" w14:textId="77777777" w:rsidR="00E403D6" w:rsidRPr="00F10391" w:rsidRDefault="00E403D6">
            <w:pPr>
              <w:rPr>
                <w:lang w:eastAsia="en-GB"/>
              </w:rPr>
            </w:pPr>
            <w:r w:rsidRPr="00F10391">
              <w:rPr>
                <w:lang w:eastAsia="en-GB"/>
              </w:rPr>
              <w:t>Forest ecology and management 255 (7):2835-2845 2008</w:t>
            </w:r>
          </w:p>
        </w:tc>
        <w:tc>
          <w:tcPr>
            <w:tcW w:w="919" w:type="dxa"/>
            <w:tcBorders>
              <w:top w:val="nil"/>
              <w:left w:val="nil"/>
              <w:bottom w:val="single" w:sz="4" w:space="0" w:color="auto"/>
              <w:right w:val="single" w:sz="4" w:space="0" w:color="auto"/>
            </w:tcBorders>
            <w:shd w:val="clear" w:color="auto" w:fill="auto"/>
            <w:noWrap/>
            <w:vAlign w:val="center"/>
            <w:hideMark/>
          </w:tcPr>
          <w:p w14:paraId="02BB8E72"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705454B3"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E4241B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EE1013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8F9A508"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C3CE0F9"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68F8BB9"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AD108B9"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F901A78" w14:textId="77777777" w:rsidR="00E403D6" w:rsidRPr="00F10391" w:rsidRDefault="00E403D6" w:rsidP="00494A9A">
            <w:pPr>
              <w:rPr>
                <w:lang w:eastAsia="en-GB"/>
              </w:rPr>
            </w:pPr>
            <w:r w:rsidRPr="00F10391">
              <w:rPr>
                <w:lang w:eastAsia="en-GB"/>
              </w:rPr>
              <w:t>Priority setting in mental health services.</w:t>
            </w:r>
          </w:p>
        </w:tc>
        <w:tc>
          <w:tcPr>
            <w:tcW w:w="2475" w:type="dxa"/>
            <w:tcBorders>
              <w:top w:val="nil"/>
              <w:left w:val="nil"/>
              <w:bottom w:val="single" w:sz="4" w:space="0" w:color="auto"/>
              <w:right w:val="single" w:sz="4" w:space="0" w:color="auto"/>
            </w:tcBorders>
            <w:shd w:val="clear" w:color="auto" w:fill="auto"/>
            <w:vAlign w:val="center"/>
            <w:hideMark/>
          </w:tcPr>
          <w:p w14:paraId="665442EF" w14:textId="77777777" w:rsidR="00E403D6" w:rsidRPr="00F10391" w:rsidRDefault="00E403D6" w:rsidP="00F51F18">
            <w:pPr>
              <w:rPr>
                <w:lang w:eastAsia="en-GB"/>
              </w:rPr>
            </w:pPr>
            <w:r w:rsidRPr="00F10391">
              <w:rPr>
                <w:lang w:eastAsia="en-GB"/>
              </w:rPr>
              <w:t>Mooney G</w:t>
            </w:r>
          </w:p>
        </w:tc>
        <w:tc>
          <w:tcPr>
            <w:tcW w:w="2475" w:type="dxa"/>
            <w:tcBorders>
              <w:top w:val="nil"/>
              <w:left w:val="nil"/>
              <w:bottom w:val="single" w:sz="4" w:space="0" w:color="auto"/>
              <w:right w:val="single" w:sz="4" w:space="0" w:color="auto"/>
            </w:tcBorders>
            <w:shd w:val="clear" w:color="auto" w:fill="auto"/>
            <w:vAlign w:val="center"/>
            <w:hideMark/>
          </w:tcPr>
          <w:p w14:paraId="4998C6C1" w14:textId="77777777" w:rsidR="00E403D6" w:rsidRPr="00F10391" w:rsidRDefault="00E403D6">
            <w:pPr>
              <w:rPr>
                <w:lang w:eastAsia="en-GB"/>
              </w:rPr>
            </w:pPr>
            <w:r w:rsidRPr="00F10391">
              <w:rPr>
                <w:lang w:eastAsia="en-GB"/>
              </w:rPr>
              <w:t>Appl Health Econ Health Policy 1(2):65-74. 2002</w:t>
            </w:r>
          </w:p>
        </w:tc>
        <w:tc>
          <w:tcPr>
            <w:tcW w:w="919" w:type="dxa"/>
            <w:tcBorders>
              <w:top w:val="nil"/>
              <w:left w:val="nil"/>
              <w:bottom w:val="single" w:sz="4" w:space="0" w:color="auto"/>
              <w:right w:val="single" w:sz="4" w:space="0" w:color="auto"/>
            </w:tcBorders>
            <w:shd w:val="clear" w:color="auto" w:fill="auto"/>
            <w:noWrap/>
            <w:vAlign w:val="center"/>
            <w:hideMark/>
          </w:tcPr>
          <w:p w14:paraId="050DC497"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7C3B8C9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38DCF2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251EC74" w14:textId="77777777" w:rsidR="00E403D6" w:rsidRPr="00F10391" w:rsidRDefault="00E403D6">
            <w:pPr>
              <w:rPr>
                <w:lang w:eastAsia="en-GB"/>
              </w:rPr>
            </w:pPr>
            <w:r w:rsidRPr="00F10391">
              <w:rPr>
                <w:lang w:eastAsia="en-GB"/>
              </w:rPr>
              <w:t> </w:t>
            </w:r>
          </w:p>
        </w:tc>
        <w:tc>
          <w:tcPr>
            <w:tcW w:w="707" w:type="dxa"/>
            <w:tcBorders>
              <w:top w:val="nil"/>
              <w:left w:val="nil"/>
              <w:bottom w:val="single" w:sz="4" w:space="0" w:color="auto"/>
              <w:right w:val="single" w:sz="4" w:space="0" w:color="auto"/>
            </w:tcBorders>
            <w:shd w:val="clear" w:color="auto" w:fill="auto"/>
            <w:noWrap/>
            <w:vAlign w:val="center"/>
            <w:hideMark/>
          </w:tcPr>
          <w:p w14:paraId="5BE908B0" w14:textId="77777777" w:rsidR="00E403D6" w:rsidRPr="00F10391" w:rsidRDefault="00E403D6">
            <w:pPr>
              <w:rPr>
                <w:lang w:eastAsia="en-GB"/>
              </w:rPr>
            </w:pPr>
            <w:r w:rsidRPr="00F10391">
              <w:rPr>
                <w:lang w:eastAsia="en-GB"/>
              </w:rPr>
              <w:t> </w:t>
            </w:r>
          </w:p>
        </w:tc>
        <w:tc>
          <w:tcPr>
            <w:tcW w:w="794" w:type="dxa"/>
            <w:tcBorders>
              <w:top w:val="nil"/>
              <w:left w:val="nil"/>
              <w:bottom w:val="single" w:sz="4" w:space="0" w:color="auto"/>
              <w:right w:val="single" w:sz="4" w:space="0" w:color="auto"/>
            </w:tcBorders>
            <w:shd w:val="clear" w:color="auto" w:fill="auto"/>
            <w:noWrap/>
            <w:vAlign w:val="center"/>
            <w:hideMark/>
          </w:tcPr>
          <w:p w14:paraId="15FF2D05"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96ECD9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204123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0485AFA" w14:textId="77777777" w:rsidR="00E403D6" w:rsidRPr="00F10391" w:rsidRDefault="00E403D6" w:rsidP="00494A9A">
            <w:pPr>
              <w:rPr>
                <w:lang w:eastAsia="en-GB"/>
              </w:rPr>
            </w:pPr>
            <w:r w:rsidRPr="00F10391">
              <w:rPr>
                <w:lang w:eastAsia="en-GB"/>
              </w:rPr>
              <w:t>Priority setting in practice: what is the best way to compare costs and benefits?</w:t>
            </w:r>
          </w:p>
        </w:tc>
        <w:tc>
          <w:tcPr>
            <w:tcW w:w="2475" w:type="dxa"/>
            <w:tcBorders>
              <w:top w:val="nil"/>
              <w:left w:val="nil"/>
              <w:bottom w:val="single" w:sz="4" w:space="0" w:color="auto"/>
              <w:right w:val="single" w:sz="4" w:space="0" w:color="auto"/>
            </w:tcBorders>
            <w:shd w:val="clear" w:color="auto" w:fill="auto"/>
            <w:vAlign w:val="center"/>
            <w:hideMark/>
          </w:tcPr>
          <w:p w14:paraId="62D70462" w14:textId="77777777" w:rsidR="00E403D6" w:rsidRPr="00F10391" w:rsidRDefault="00E403D6" w:rsidP="00F51F18">
            <w:pPr>
              <w:rPr>
                <w:lang w:eastAsia="en-GB"/>
              </w:rPr>
            </w:pPr>
            <w:r w:rsidRPr="00F10391">
              <w:rPr>
                <w:lang w:eastAsia="en-GB"/>
              </w:rPr>
              <w:t>Wilson ECF, Peacock SJ, Ruta D</w:t>
            </w:r>
          </w:p>
        </w:tc>
        <w:tc>
          <w:tcPr>
            <w:tcW w:w="2475" w:type="dxa"/>
            <w:tcBorders>
              <w:top w:val="nil"/>
              <w:left w:val="nil"/>
              <w:bottom w:val="single" w:sz="4" w:space="0" w:color="auto"/>
              <w:right w:val="single" w:sz="4" w:space="0" w:color="auto"/>
            </w:tcBorders>
            <w:shd w:val="clear" w:color="auto" w:fill="auto"/>
            <w:vAlign w:val="center"/>
            <w:hideMark/>
          </w:tcPr>
          <w:p w14:paraId="6DCFFC17" w14:textId="77777777" w:rsidR="00E403D6" w:rsidRPr="00F10391" w:rsidRDefault="00E403D6">
            <w:pPr>
              <w:rPr>
                <w:lang w:eastAsia="en-GB"/>
              </w:rPr>
            </w:pPr>
            <w:r w:rsidRPr="00F10391">
              <w:rPr>
                <w:lang w:eastAsia="en-GB"/>
              </w:rPr>
              <w:t>Health economics 18 (4):467-478 2009</w:t>
            </w:r>
          </w:p>
        </w:tc>
        <w:tc>
          <w:tcPr>
            <w:tcW w:w="919" w:type="dxa"/>
            <w:tcBorders>
              <w:top w:val="nil"/>
              <w:left w:val="nil"/>
              <w:bottom w:val="single" w:sz="4" w:space="0" w:color="auto"/>
              <w:right w:val="single" w:sz="4" w:space="0" w:color="auto"/>
            </w:tcBorders>
            <w:shd w:val="clear" w:color="auto" w:fill="auto"/>
            <w:noWrap/>
            <w:vAlign w:val="center"/>
            <w:hideMark/>
          </w:tcPr>
          <w:p w14:paraId="5F06EC0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79A8591"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E02D32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D6B8A4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1A5DE61"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7350F571"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03E4F7D3"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377805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13BF3DD" w14:textId="77777777" w:rsidR="00E403D6" w:rsidRPr="00F10391" w:rsidRDefault="00E403D6" w:rsidP="00494A9A">
            <w:pPr>
              <w:rPr>
                <w:lang w:eastAsia="en-GB"/>
              </w:rPr>
            </w:pPr>
            <w:r w:rsidRPr="00F10391">
              <w:rPr>
                <w:lang w:eastAsia="en-GB"/>
              </w:rPr>
              <w:t>Priority setting in practice: what is the best way to compare costs and benefits?</w:t>
            </w:r>
          </w:p>
        </w:tc>
        <w:tc>
          <w:tcPr>
            <w:tcW w:w="2475" w:type="dxa"/>
            <w:tcBorders>
              <w:top w:val="nil"/>
              <w:left w:val="nil"/>
              <w:bottom w:val="single" w:sz="4" w:space="0" w:color="auto"/>
              <w:right w:val="single" w:sz="4" w:space="0" w:color="auto"/>
            </w:tcBorders>
            <w:shd w:val="clear" w:color="auto" w:fill="auto"/>
            <w:vAlign w:val="center"/>
            <w:hideMark/>
          </w:tcPr>
          <w:p w14:paraId="2407595A" w14:textId="77777777" w:rsidR="00E403D6" w:rsidRPr="00F10391" w:rsidRDefault="00E403D6" w:rsidP="00F51F18">
            <w:pPr>
              <w:rPr>
                <w:lang w:eastAsia="en-GB"/>
              </w:rPr>
            </w:pPr>
            <w:r w:rsidRPr="00F10391">
              <w:rPr>
                <w:lang w:eastAsia="en-GB"/>
              </w:rPr>
              <w:t>Wilson EC, Peacock SJ, Ruta D</w:t>
            </w:r>
          </w:p>
        </w:tc>
        <w:tc>
          <w:tcPr>
            <w:tcW w:w="2475" w:type="dxa"/>
            <w:tcBorders>
              <w:top w:val="nil"/>
              <w:left w:val="nil"/>
              <w:bottom w:val="single" w:sz="4" w:space="0" w:color="auto"/>
              <w:right w:val="single" w:sz="4" w:space="0" w:color="auto"/>
            </w:tcBorders>
            <w:shd w:val="clear" w:color="auto" w:fill="auto"/>
            <w:vAlign w:val="center"/>
            <w:hideMark/>
          </w:tcPr>
          <w:p w14:paraId="48FBAA09" w14:textId="77777777" w:rsidR="00E403D6" w:rsidRPr="00F10391" w:rsidRDefault="00E403D6">
            <w:pPr>
              <w:rPr>
                <w:lang w:eastAsia="en-GB"/>
              </w:rPr>
            </w:pPr>
            <w:r w:rsidRPr="00F10391">
              <w:rPr>
                <w:lang w:eastAsia="en-GB"/>
              </w:rPr>
              <w:t>Health Econ. 18(4):467-78. 2009</w:t>
            </w:r>
          </w:p>
        </w:tc>
        <w:tc>
          <w:tcPr>
            <w:tcW w:w="919" w:type="dxa"/>
            <w:tcBorders>
              <w:top w:val="nil"/>
              <w:left w:val="nil"/>
              <w:bottom w:val="single" w:sz="4" w:space="0" w:color="auto"/>
              <w:right w:val="single" w:sz="4" w:space="0" w:color="auto"/>
            </w:tcBorders>
            <w:shd w:val="clear" w:color="auto" w:fill="auto"/>
            <w:noWrap/>
            <w:vAlign w:val="center"/>
            <w:hideMark/>
          </w:tcPr>
          <w:p w14:paraId="79B6FB06"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7BC91AA0"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6D0F594B"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00E1851E"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66BC6E8B"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5E9AF80"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0FEA11C"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4C5DB81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A8298C4" w14:textId="77777777" w:rsidR="00E403D6" w:rsidRPr="00F10391" w:rsidRDefault="00E403D6" w:rsidP="00494A9A">
            <w:pPr>
              <w:rPr>
                <w:lang w:eastAsia="en-GB"/>
              </w:rPr>
            </w:pPr>
            <w:r w:rsidRPr="00F10391">
              <w:rPr>
                <w:lang w:eastAsia="en-GB"/>
              </w:rPr>
              <w:t>Priority setting of health interventions: the need for multi-criteria decision analysis</w:t>
            </w:r>
          </w:p>
        </w:tc>
        <w:tc>
          <w:tcPr>
            <w:tcW w:w="2475" w:type="dxa"/>
            <w:tcBorders>
              <w:top w:val="nil"/>
              <w:left w:val="nil"/>
              <w:bottom w:val="single" w:sz="4" w:space="0" w:color="auto"/>
              <w:right w:val="single" w:sz="4" w:space="0" w:color="auto"/>
            </w:tcBorders>
            <w:shd w:val="clear" w:color="auto" w:fill="auto"/>
            <w:vAlign w:val="center"/>
            <w:hideMark/>
          </w:tcPr>
          <w:p w14:paraId="6F2B5BE9" w14:textId="77777777" w:rsidR="00E403D6" w:rsidRPr="00F10391" w:rsidRDefault="00E403D6" w:rsidP="00F51F18">
            <w:pPr>
              <w:rPr>
                <w:lang w:eastAsia="en-GB"/>
              </w:rPr>
            </w:pPr>
            <w:r w:rsidRPr="00F10391">
              <w:rPr>
                <w:lang w:eastAsia="en-GB"/>
              </w:rPr>
              <w:t>Baltussen R, Niessen L</w:t>
            </w:r>
          </w:p>
        </w:tc>
        <w:tc>
          <w:tcPr>
            <w:tcW w:w="2475" w:type="dxa"/>
            <w:tcBorders>
              <w:top w:val="nil"/>
              <w:left w:val="nil"/>
              <w:bottom w:val="single" w:sz="4" w:space="0" w:color="auto"/>
              <w:right w:val="single" w:sz="4" w:space="0" w:color="auto"/>
            </w:tcBorders>
            <w:shd w:val="clear" w:color="auto" w:fill="auto"/>
            <w:vAlign w:val="center"/>
            <w:hideMark/>
          </w:tcPr>
          <w:p w14:paraId="6D71E923" w14:textId="77777777" w:rsidR="00E403D6" w:rsidRPr="00F10391" w:rsidRDefault="00E403D6">
            <w:pPr>
              <w:rPr>
                <w:lang w:eastAsia="en-GB"/>
              </w:rPr>
            </w:pPr>
            <w:r w:rsidRPr="00F10391">
              <w:rPr>
                <w:lang w:eastAsia="en-GB"/>
              </w:rPr>
              <w:t>Cost Effectiveness and Resource Allocation 4:14  2006</w:t>
            </w:r>
          </w:p>
        </w:tc>
        <w:tc>
          <w:tcPr>
            <w:tcW w:w="919" w:type="dxa"/>
            <w:tcBorders>
              <w:top w:val="nil"/>
              <w:left w:val="nil"/>
              <w:bottom w:val="single" w:sz="4" w:space="0" w:color="auto"/>
              <w:right w:val="single" w:sz="4" w:space="0" w:color="auto"/>
            </w:tcBorders>
            <w:shd w:val="clear" w:color="auto" w:fill="auto"/>
            <w:noWrap/>
            <w:vAlign w:val="center"/>
            <w:hideMark/>
          </w:tcPr>
          <w:p w14:paraId="4609C858"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0057AFB7"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EFCA77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DB2667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011B55A"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2671A89"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4871AF4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B77E8A3"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26B5864" w14:textId="77777777" w:rsidR="00E403D6" w:rsidRPr="00F10391" w:rsidRDefault="00E403D6" w:rsidP="00494A9A">
            <w:pPr>
              <w:rPr>
                <w:lang w:eastAsia="en-GB"/>
              </w:rPr>
            </w:pPr>
            <w:r w:rsidRPr="00F10391">
              <w:rPr>
                <w:lang w:eastAsia="en-GB"/>
              </w:rPr>
              <w:t>Programme budgeting and marginal analysis: application within programmes to assist purchasing in Greater Glasgow Health Board.</w:t>
            </w:r>
          </w:p>
        </w:tc>
        <w:tc>
          <w:tcPr>
            <w:tcW w:w="2475" w:type="dxa"/>
            <w:tcBorders>
              <w:top w:val="nil"/>
              <w:left w:val="nil"/>
              <w:bottom w:val="single" w:sz="4" w:space="0" w:color="auto"/>
              <w:right w:val="single" w:sz="4" w:space="0" w:color="auto"/>
            </w:tcBorders>
            <w:shd w:val="clear" w:color="auto" w:fill="auto"/>
            <w:vAlign w:val="center"/>
            <w:hideMark/>
          </w:tcPr>
          <w:p w14:paraId="2B2AC39B" w14:textId="77777777" w:rsidR="00E403D6" w:rsidRPr="00F10391" w:rsidRDefault="00E403D6" w:rsidP="00F51F18">
            <w:pPr>
              <w:rPr>
                <w:lang w:eastAsia="en-GB"/>
              </w:rPr>
            </w:pPr>
            <w:r w:rsidRPr="00F10391">
              <w:rPr>
                <w:lang w:eastAsia="en-GB"/>
              </w:rPr>
              <w:t>Twaddle S, Walker A</w:t>
            </w:r>
          </w:p>
        </w:tc>
        <w:tc>
          <w:tcPr>
            <w:tcW w:w="2475" w:type="dxa"/>
            <w:tcBorders>
              <w:top w:val="nil"/>
              <w:left w:val="nil"/>
              <w:bottom w:val="single" w:sz="4" w:space="0" w:color="auto"/>
              <w:right w:val="single" w:sz="4" w:space="0" w:color="auto"/>
            </w:tcBorders>
            <w:shd w:val="clear" w:color="auto" w:fill="auto"/>
            <w:vAlign w:val="center"/>
            <w:hideMark/>
          </w:tcPr>
          <w:p w14:paraId="229ECB88" w14:textId="77777777" w:rsidR="00E403D6" w:rsidRPr="00F10391" w:rsidRDefault="00E403D6">
            <w:pPr>
              <w:rPr>
                <w:lang w:eastAsia="en-GB"/>
              </w:rPr>
            </w:pPr>
            <w:r w:rsidRPr="00F10391">
              <w:rPr>
                <w:lang w:eastAsia="en-GB"/>
              </w:rPr>
              <w:t>Health Policy. Aug 33(2):91-105. 1995</w:t>
            </w:r>
          </w:p>
        </w:tc>
        <w:tc>
          <w:tcPr>
            <w:tcW w:w="919" w:type="dxa"/>
            <w:tcBorders>
              <w:top w:val="nil"/>
              <w:left w:val="nil"/>
              <w:bottom w:val="single" w:sz="4" w:space="0" w:color="auto"/>
              <w:right w:val="single" w:sz="4" w:space="0" w:color="auto"/>
            </w:tcBorders>
            <w:shd w:val="clear" w:color="auto" w:fill="auto"/>
            <w:noWrap/>
            <w:vAlign w:val="center"/>
            <w:hideMark/>
          </w:tcPr>
          <w:p w14:paraId="40F2D90D"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F7DADDA"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3834DC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F4B8D01"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06D44AB"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3AF01DC7"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28B323FA"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2BD7C84"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224A59C" w14:textId="77777777" w:rsidR="00E403D6" w:rsidRPr="00F10391" w:rsidRDefault="00E403D6" w:rsidP="00494A9A">
            <w:pPr>
              <w:rPr>
                <w:lang w:eastAsia="en-GB"/>
              </w:rPr>
            </w:pPr>
            <w:r w:rsidRPr="00F10391">
              <w:rPr>
                <w:lang w:eastAsia="en-GB"/>
              </w:rPr>
              <w:t>Programme budgeting and marginal analysis: application within programmes to assist purchasing in Greater Glasgow Health Board.</w:t>
            </w:r>
          </w:p>
        </w:tc>
        <w:tc>
          <w:tcPr>
            <w:tcW w:w="2475" w:type="dxa"/>
            <w:tcBorders>
              <w:top w:val="nil"/>
              <w:left w:val="nil"/>
              <w:bottom w:val="single" w:sz="4" w:space="0" w:color="auto"/>
              <w:right w:val="single" w:sz="4" w:space="0" w:color="auto"/>
            </w:tcBorders>
            <w:shd w:val="clear" w:color="auto" w:fill="auto"/>
            <w:vAlign w:val="center"/>
            <w:hideMark/>
          </w:tcPr>
          <w:p w14:paraId="12F216D5" w14:textId="77777777" w:rsidR="00E403D6" w:rsidRPr="00F10391" w:rsidRDefault="00E403D6" w:rsidP="00F51F18">
            <w:pPr>
              <w:rPr>
                <w:lang w:eastAsia="en-GB"/>
              </w:rPr>
            </w:pPr>
            <w:r w:rsidRPr="00F10391">
              <w:rPr>
                <w:lang w:eastAsia="en-GB"/>
              </w:rPr>
              <w:t>Twaddle S, Walker A</w:t>
            </w:r>
          </w:p>
        </w:tc>
        <w:tc>
          <w:tcPr>
            <w:tcW w:w="2475" w:type="dxa"/>
            <w:tcBorders>
              <w:top w:val="nil"/>
              <w:left w:val="nil"/>
              <w:bottom w:val="single" w:sz="4" w:space="0" w:color="auto"/>
              <w:right w:val="single" w:sz="4" w:space="0" w:color="auto"/>
            </w:tcBorders>
            <w:shd w:val="clear" w:color="auto" w:fill="auto"/>
            <w:vAlign w:val="center"/>
            <w:hideMark/>
          </w:tcPr>
          <w:p w14:paraId="6C62B5F4" w14:textId="77777777" w:rsidR="00E403D6" w:rsidRPr="00F10391" w:rsidRDefault="00E403D6">
            <w:pPr>
              <w:rPr>
                <w:lang w:eastAsia="en-GB"/>
              </w:rPr>
            </w:pPr>
            <w:r w:rsidRPr="00F10391">
              <w:rPr>
                <w:lang w:eastAsia="en-GB"/>
              </w:rPr>
              <w:t>Health Policy. Aug 33(2):91-105 1995</w:t>
            </w:r>
          </w:p>
        </w:tc>
        <w:tc>
          <w:tcPr>
            <w:tcW w:w="919" w:type="dxa"/>
            <w:tcBorders>
              <w:top w:val="nil"/>
              <w:left w:val="nil"/>
              <w:bottom w:val="single" w:sz="4" w:space="0" w:color="auto"/>
              <w:right w:val="single" w:sz="4" w:space="0" w:color="auto"/>
            </w:tcBorders>
            <w:shd w:val="clear" w:color="auto" w:fill="auto"/>
            <w:noWrap/>
            <w:vAlign w:val="center"/>
            <w:hideMark/>
          </w:tcPr>
          <w:p w14:paraId="21EB43E9"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5998F545"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5C0637AC"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592B8FE"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8CFDD9D"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797594E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2EDDEC4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5C550F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A5E93F2" w14:textId="77777777" w:rsidR="00E403D6" w:rsidRPr="00F10391" w:rsidRDefault="00E403D6" w:rsidP="00494A9A">
            <w:pPr>
              <w:rPr>
                <w:lang w:eastAsia="en-GB"/>
              </w:rPr>
            </w:pPr>
            <w:r w:rsidRPr="00F10391">
              <w:rPr>
                <w:lang w:eastAsia="en-GB"/>
              </w:rPr>
              <w:t>Public health and economics in tandem: programme budgeting, marginal analysis and priority setting in practice.</w:t>
            </w:r>
          </w:p>
        </w:tc>
        <w:tc>
          <w:tcPr>
            <w:tcW w:w="2475" w:type="dxa"/>
            <w:tcBorders>
              <w:top w:val="nil"/>
              <w:left w:val="nil"/>
              <w:bottom w:val="single" w:sz="4" w:space="0" w:color="auto"/>
              <w:right w:val="single" w:sz="4" w:space="0" w:color="auto"/>
            </w:tcBorders>
            <w:shd w:val="clear" w:color="auto" w:fill="auto"/>
            <w:vAlign w:val="center"/>
            <w:hideMark/>
          </w:tcPr>
          <w:p w14:paraId="695E6308" w14:textId="77777777" w:rsidR="00E403D6" w:rsidRPr="00F10391" w:rsidRDefault="00E403D6" w:rsidP="00F51F18">
            <w:pPr>
              <w:rPr>
                <w:lang w:eastAsia="en-GB"/>
              </w:rPr>
            </w:pPr>
            <w:r w:rsidRPr="00F10391">
              <w:rPr>
                <w:lang w:eastAsia="en-GB"/>
              </w:rPr>
              <w:t>Madden L, Hussey R, Mooney G, Church E</w:t>
            </w:r>
          </w:p>
        </w:tc>
        <w:tc>
          <w:tcPr>
            <w:tcW w:w="2475" w:type="dxa"/>
            <w:tcBorders>
              <w:top w:val="nil"/>
              <w:left w:val="nil"/>
              <w:bottom w:val="single" w:sz="4" w:space="0" w:color="auto"/>
              <w:right w:val="single" w:sz="4" w:space="0" w:color="auto"/>
            </w:tcBorders>
            <w:shd w:val="clear" w:color="auto" w:fill="auto"/>
            <w:vAlign w:val="center"/>
            <w:hideMark/>
          </w:tcPr>
          <w:p w14:paraId="650A2BFB" w14:textId="77777777" w:rsidR="00E403D6" w:rsidRPr="00F10391" w:rsidRDefault="00E403D6">
            <w:pPr>
              <w:rPr>
                <w:lang w:eastAsia="en-GB"/>
              </w:rPr>
            </w:pPr>
            <w:r w:rsidRPr="00F10391">
              <w:rPr>
                <w:lang w:eastAsia="en-GB"/>
              </w:rPr>
              <w:t>Health Policy. Aug 33(2):161-8 1995</w:t>
            </w:r>
          </w:p>
        </w:tc>
        <w:tc>
          <w:tcPr>
            <w:tcW w:w="919" w:type="dxa"/>
            <w:tcBorders>
              <w:top w:val="nil"/>
              <w:left w:val="nil"/>
              <w:bottom w:val="single" w:sz="4" w:space="0" w:color="auto"/>
              <w:right w:val="single" w:sz="4" w:space="0" w:color="auto"/>
            </w:tcBorders>
            <w:shd w:val="clear" w:color="auto" w:fill="auto"/>
            <w:noWrap/>
            <w:vAlign w:val="center"/>
            <w:hideMark/>
          </w:tcPr>
          <w:p w14:paraId="5246229C"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7AAA01F"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7CDC33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BC6FBC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BB6099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19AA8D8"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254C28C8"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ECD4876"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2DC087BC" w14:textId="77777777" w:rsidR="00E403D6" w:rsidRPr="00F10391" w:rsidRDefault="00E403D6" w:rsidP="00494A9A">
            <w:pPr>
              <w:rPr>
                <w:lang w:eastAsia="en-GB"/>
              </w:rPr>
            </w:pPr>
            <w:r w:rsidRPr="00F10391">
              <w:rPr>
                <w:lang w:eastAsia="en-GB"/>
              </w:rPr>
              <w:t>Public-Health And Economics In Tandem - Program Budgeting, Marginal Analysis And Priority Setting In Practice</w:t>
            </w:r>
          </w:p>
        </w:tc>
        <w:tc>
          <w:tcPr>
            <w:tcW w:w="2475" w:type="dxa"/>
            <w:tcBorders>
              <w:top w:val="nil"/>
              <w:left w:val="nil"/>
              <w:bottom w:val="single" w:sz="4" w:space="0" w:color="auto"/>
              <w:right w:val="single" w:sz="4" w:space="0" w:color="auto"/>
            </w:tcBorders>
            <w:shd w:val="clear" w:color="auto" w:fill="auto"/>
            <w:vAlign w:val="center"/>
            <w:hideMark/>
          </w:tcPr>
          <w:p w14:paraId="4E2411BC" w14:textId="77777777" w:rsidR="00E403D6" w:rsidRPr="00F10391" w:rsidRDefault="00E403D6" w:rsidP="00F51F18">
            <w:pPr>
              <w:rPr>
                <w:lang w:eastAsia="en-GB"/>
              </w:rPr>
            </w:pPr>
            <w:r w:rsidRPr="00F10391">
              <w:rPr>
                <w:lang w:eastAsia="en-GB"/>
              </w:rPr>
              <w:t>Madden, L, Hussey, R, Mooney, G, Church, E</w:t>
            </w:r>
          </w:p>
        </w:tc>
        <w:tc>
          <w:tcPr>
            <w:tcW w:w="2475" w:type="dxa"/>
            <w:tcBorders>
              <w:top w:val="nil"/>
              <w:left w:val="nil"/>
              <w:bottom w:val="single" w:sz="4" w:space="0" w:color="auto"/>
              <w:right w:val="single" w:sz="4" w:space="0" w:color="auto"/>
            </w:tcBorders>
            <w:shd w:val="clear" w:color="auto" w:fill="auto"/>
            <w:vAlign w:val="center"/>
            <w:hideMark/>
          </w:tcPr>
          <w:p w14:paraId="58C93C5A" w14:textId="77777777" w:rsidR="00E403D6" w:rsidRPr="00F10391" w:rsidRDefault="00E403D6">
            <w:pPr>
              <w:rPr>
                <w:lang w:eastAsia="en-GB"/>
              </w:rPr>
            </w:pPr>
            <w:r w:rsidRPr="00F10391">
              <w:rPr>
                <w:lang w:eastAsia="en-GB"/>
              </w:rPr>
              <w:t>Health policy 33 (2):161-168 1995</w:t>
            </w:r>
          </w:p>
        </w:tc>
        <w:tc>
          <w:tcPr>
            <w:tcW w:w="919" w:type="dxa"/>
            <w:tcBorders>
              <w:top w:val="nil"/>
              <w:left w:val="nil"/>
              <w:bottom w:val="single" w:sz="4" w:space="0" w:color="auto"/>
              <w:right w:val="single" w:sz="4" w:space="0" w:color="auto"/>
            </w:tcBorders>
            <w:shd w:val="clear" w:color="auto" w:fill="auto"/>
            <w:noWrap/>
            <w:vAlign w:val="center"/>
            <w:hideMark/>
          </w:tcPr>
          <w:p w14:paraId="3B1D277B"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8806AE7"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21921C3A"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D519DA8"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F1A25E6"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92CC9BC"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64421B0"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9825DE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461A386" w14:textId="77777777" w:rsidR="00E403D6" w:rsidRPr="00F10391" w:rsidRDefault="00E403D6" w:rsidP="00494A9A">
            <w:pPr>
              <w:rPr>
                <w:lang w:eastAsia="en-GB"/>
              </w:rPr>
            </w:pPr>
            <w:r w:rsidRPr="00F10391">
              <w:rPr>
                <w:lang w:eastAsia="en-GB"/>
              </w:rPr>
              <w:t>Resource allocation in health care: Health economics and beyond</w:t>
            </w:r>
          </w:p>
        </w:tc>
        <w:tc>
          <w:tcPr>
            <w:tcW w:w="2475" w:type="dxa"/>
            <w:tcBorders>
              <w:top w:val="nil"/>
              <w:left w:val="nil"/>
              <w:bottom w:val="single" w:sz="4" w:space="0" w:color="auto"/>
              <w:right w:val="single" w:sz="4" w:space="0" w:color="auto"/>
            </w:tcBorders>
            <w:shd w:val="clear" w:color="auto" w:fill="auto"/>
            <w:vAlign w:val="center"/>
            <w:hideMark/>
          </w:tcPr>
          <w:p w14:paraId="00CAF831" w14:textId="77777777" w:rsidR="00E403D6" w:rsidRPr="00F10391" w:rsidRDefault="00E403D6" w:rsidP="00F51F18">
            <w:pPr>
              <w:rPr>
                <w:lang w:eastAsia="en-GB"/>
              </w:rPr>
            </w:pPr>
            <w:r w:rsidRPr="00F10391">
              <w:rPr>
                <w:lang w:eastAsia="en-GB"/>
              </w:rPr>
              <w:t>Mitton C, Donaldson C</w:t>
            </w:r>
          </w:p>
        </w:tc>
        <w:tc>
          <w:tcPr>
            <w:tcW w:w="2475" w:type="dxa"/>
            <w:tcBorders>
              <w:top w:val="nil"/>
              <w:left w:val="nil"/>
              <w:bottom w:val="single" w:sz="4" w:space="0" w:color="auto"/>
              <w:right w:val="single" w:sz="4" w:space="0" w:color="auto"/>
            </w:tcBorders>
            <w:shd w:val="clear" w:color="auto" w:fill="auto"/>
            <w:vAlign w:val="center"/>
            <w:hideMark/>
          </w:tcPr>
          <w:p w14:paraId="05A01F3C" w14:textId="77777777" w:rsidR="00E403D6" w:rsidRPr="00F10391" w:rsidRDefault="00E403D6">
            <w:pPr>
              <w:rPr>
                <w:lang w:eastAsia="en-GB"/>
              </w:rPr>
            </w:pPr>
            <w:r w:rsidRPr="00F10391">
              <w:rPr>
                <w:lang w:eastAsia="en-GB"/>
              </w:rPr>
              <w:t>Health care analysis 11 (3):245-257 2003</w:t>
            </w:r>
          </w:p>
        </w:tc>
        <w:tc>
          <w:tcPr>
            <w:tcW w:w="919" w:type="dxa"/>
            <w:tcBorders>
              <w:top w:val="nil"/>
              <w:left w:val="nil"/>
              <w:bottom w:val="single" w:sz="4" w:space="0" w:color="auto"/>
              <w:right w:val="single" w:sz="4" w:space="0" w:color="auto"/>
            </w:tcBorders>
            <w:shd w:val="clear" w:color="auto" w:fill="auto"/>
            <w:noWrap/>
            <w:vAlign w:val="center"/>
            <w:hideMark/>
          </w:tcPr>
          <w:p w14:paraId="6ADAF373"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CBA6005"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502874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D0D1C3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B0141C0"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0A444AAE"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78F1A636"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54A7E47"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95848BE" w14:textId="77777777" w:rsidR="00E403D6" w:rsidRPr="00F10391" w:rsidRDefault="00E403D6" w:rsidP="00494A9A">
            <w:pPr>
              <w:rPr>
                <w:lang w:eastAsia="en-GB"/>
              </w:rPr>
            </w:pPr>
            <w:r w:rsidRPr="00F10391">
              <w:rPr>
                <w:lang w:eastAsia="en-GB"/>
              </w:rPr>
              <w:t>Resource allocation in health care: health economics and beyond.</w:t>
            </w:r>
          </w:p>
        </w:tc>
        <w:tc>
          <w:tcPr>
            <w:tcW w:w="2475" w:type="dxa"/>
            <w:tcBorders>
              <w:top w:val="nil"/>
              <w:left w:val="nil"/>
              <w:bottom w:val="single" w:sz="4" w:space="0" w:color="auto"/>
              <w:right w:val="single" w:sz="4" w:space="0" w:color="auto"/>
            </w:tcBorders>
            <w:shd w:val="clear" w:color="auto" w:fill="auto"/>
            <w:vAlign w:val="center"/>
            <w:hideMark/>
          </w:tcPr>
          <w:p w14:paraId="5AEB9037" w14:textId="77777777" w:rsidR="00E403D6" w:rsidRPr="00F10391" w:rsidRDefault="00E403D6" w:rsidP="00F51F18">
            <w:pPr>
              <w:rPr>
                <w:lang w:eastAsia="en-GB"/>
              </w:rPr>
            </w:pPr>
            <w:r w:rsidRPr="00F10391">
              <w:rPr>
                <w:lang w:eastAsia="en-GB"/>
              </w:rPr>
              <w:t>Mitton C, Donaldson C</w:t>
            </w:r>
          </w:p>
        </w:tc>
        <w:tc>
          <w:tcPr>
            <w:tcW w:w="2475" w:type="dxa"/>
            <w:tcBorders>
              <w:top w:val="nil"/>
              <w:left w:val="nil"/>
              <w:bottom w:val="single" w:sz="4" w:space="0" w:color="auto"/>
              <w:right w:val="single" w:sz="4" w:space="0" w:color="auto"/>
            </w:tcBorders>
            <w:shd w:val="clear" w:color="auto" w:fill="auto"/>
            <w:vAlign w:val="center"/>
            <w:hideMark/>
          </w:tcPr>
          <w:p w14:paraId="1A087D1A" w14:textId="77777777" w:rsidR="00E403D6" w:rsidRPr="00F10391" w:rsidRDefault="00E403D6">
            <w:pPr>
              <w:rPr>
                <w:lang w:eastAsia="en-GB"/>
              </w:rPr>
            </w:pPr>
            <w:r w:rsidRPr="00F10391">
              <w:rPr>
                <w:lang w:eastAsia="en-GB"/>
              </w:rPr>
              <w:t>Health Care Anal. 11(3):245-57 2003</w:t>
            </w:r>
          </w:p>
        </w:tc>
        <w:tc>
          <w:tcPr>
            <w:tcW w:w="919" w:type="dxa"/>
            <w:tcBorders>
              <w:top w:val="nil"/>
              <w:left w:val="nil"/>
              <w:bottom w:val="single" w:sz="4" w:space="0" w:color="auto"/>
              <w:right w:val="single" w:sz="4" w:space="0" w:color="auto"/>
            </w:tcBorders>
            <w:shd w:val="clear" w:color="auto" w:fill="auto"/>
            <w:noWrap/>
            <w:vAlign w:val="center"/>
            <w:hideMark/>
          </w:tcPr>
          <w:p w14:paraId="52B4103B"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0DF93B4"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7C324C49"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0A57BF0"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79083EC"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E21D77D"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354BFAF"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F119576"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5DB649A" w14:textId="77777777" w:rsidR="00E403D6" w:rsidRPr="00F10391" w:rsidRDefault="00E403D6" w:rsidP="00494A9A">
            <w:pPr>
              <w:rPr>
                <w:lang w:eastAsia="en-GB"/>
              </w:rPr>
            </w:pPr>
            <w:r w:rsidRPr="00F10391">
              <w:rPr>
                <w:lang w:eastAsia="en-GB"/>
              </w:rPr>
              <w:t>Selection of hydrothermal pre-treatment conditions of waste sludge destruction using multicriteria decision-making</w:t>
            </w:r>
          </w:p>
        </w:tc>
        <w:tc>
          <w:tcPr>
            <w:tcW w:w="2475" w:type="dxa"/>
            <w:tcBorders>
              <w:top w:val="nil"/>
              <w:left w:val="nil"/>
              <w:bottom w:val="single" w:sz="4" w:space="0" w:color="auto"/>
              <w:right w:val="single" w:sz="4" w:space="0" w:color="auto"/>
            </w:tcBorders>
            <w:shd w:val="clear" w:color="auto" w:fill="auto"/>
            <w:vAlign w:val="center"/>
            <w:hideMark/>
          </w:tcPr>
          <w:p w14:paraId="0CAF36B3" w14:textId="77777777" w:rsidR="00E403D6" w:rsidRPr="00F10391" w:rsidRDefault="00E403D6" w:rsidP="00F51F18">
            <w:pPr>
              <w:rPr>
                <w:lang w:eastAsia="en-GB"/>
              </w:rPr>
            </w:pPr>
            <w:r w:rsidRPr="00F10391">
              <w:rPr>
                <w:lang w:eastAsia="en-GB"/>
              </w:rPr>
              <w:t xml:space="preserve"> Khalil WAS, Shanableh  A, Rigby P, Kokot  S</w:t>
            </w:r>
          </w:p>
        </w:tc>
        <w:tc>
          <w:tcPr>
            <w:tcW w:w="2475" w:type="dxa"/>
            <w:tcBorders>
              <w:top w:val="nil"/>
              <w:left w:val="nil"/>
              <w:bottom w:val="single" w:sz="4" w:space="0" w:color="auto"/>
              <w:right w:val="single" w:sz="4" w:space="0" w:color="auto"/>
            </w:tcBorders>
            <w:shd w:val="clear" w:color="auto" w:fill="auto"/>
            <w:vAlign w:val="center"/>
            <w:hideMark/>
          </w:tcPr>
          <w:p w14:paraId="38D220D5" w14:textId="77777777" w:rsidR="00E403D6" w:rsidRPr="00F10391" w:rsidRDefault="00E403D6">
            <w:pPr>
              <w:rPr>
                <w:lang w:eastAsia="en-GB"/>
              </w:rPr>
            </w:pPr>
            <w:r w:rsidRPr="00F10391">
              <w:rPr>
                <w:lang w:eastAsia="en-GB"/>
              </w:rPr>
              <w:t>Journal of environmental management 75 (1):53-64 2005</w:t>
            </w:r>
          </w:p>
        </w:tc>
        <w:tc>
          <w:tcPr>
            <w:tcW w:w="919" w:type="dxa"/>
            <w:tcBorders>
              <w:top w:val="nil"/>
              <w:left w:val="nil"/>
              <w:bottom w:val="single" w:sz="4" w:space="0" w:color="auto"/>
              <w:right w:val="single" w:sz="4" w:space="0" w:color="auto"/>
            </w:tcBorders>
            <w:shd w:val="clear" w:color="auto" w:fill="auto"/>
            <w:noWrap/>
            <w:vAlign w:val="center"/>
            <w:hideMark/>
          </w:tcPr>
          <w:p w14:paraId="704260D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3D8B2E84"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F846030"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346AC9E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FD1AE03"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2A0DA147"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7F0E1C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BCBB729"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09F9C60" w14:textId="77777777" w:rsidR="00E403D6" w:rsidRPr="00F10391" w:rsidRDefault="00E403D6" w:rsidP="00494A9A">
            <w:pPr>
              <w:rPr>
                <w:lang w:eastAsia="en-GB"/>
              </w:rPr>
            </w:pPr>
            <w:r w:rsidRPr="00F10391">
              <w:rPr>
                <w:lang w:eastAsia="en-GB"/>
              </w:rPr>
              <w:t>Setting priorities and allocating resources in health regions: lessons from a project evaluating program budgeting and marginal analysis (PBMA)</w:t>
            </w:r>
          </w:p>
        </w:tc>
        <w:tc>
          <w:tcPr>
            <w:tcW w:w="2475" w:type="dxa"/>
            <w:tcBorders>
              <w:top w:val="nil"/>
              <w:left w:val="nil"/>
              <w:bottom w:val="single" w:sz="4" w:space="0" w:color="auto"/>
              <w:right w:val="single" w:sz="4" w:space="0" w:color="auto"/>
            </w:tcBorders>
            <w:shd w:val="clear" w:color="auto" w:fill="auto"/>
            <w:vAlign w:val="center"/>
            <w:hideMark/>
          </w:tcPr>
          <w:p w14:paraId="063EAD73" w14:textId="77777777" w:rsidR="00E403D6" w:rsidRPr="00F10391" w:rsidRDefault="00E403D6" w:rsidP="00F51F18">
            <w:pPr>
              <w:rPr>
                <w:lang w:eastAsia="en-GB"/>
              </w:rPr>
            </w:pPr>
            <w:r w:rsidRPr="00F10391">
              <w:rPr>
                <w:lang w:eastAsia="en-GB"/>
              </w:rPr>
              <w:t xml:space="preserve"> Mitton CR, Donaldson C</w:t>
            </w:r>
          </w:p>
        </w:tc>
        <w:tc>
          <w:tcPr>
            <w:tcW w:w="2475" w:type="dxa"/>
            <w:tcBorders>
              <w:top w:val="nil"/>
              <w:left w:val="nil"/>
              <w:bottom w:val="single" w:sz="4" w:space="0" w:color="auto"/>
              <w:right w:val="single" w:sz="4" w:space="0" w:color="auto"/>
            </w:tcBorders>
            <w:shd w:val="clear" w:color="auto" w:fill="auto"/>
            <w:vAlign w:val="center"/>
            <w:hideMark/>
          </w:tcPr>
          <w:p w14:paraId="2D90CC74" w14:textId="77777777" w:rsidR="00E403D6" w:rsidRPr="00F10391" w:rsidRDefault="00E403D6">
            <w:pPr>
              <w:rPr>
                <w:lang w:eastAsia="en-GB"/>
              </w:rPr>
            </w:pPr>
            <w:r w:rsidRPr="00F10391">
              <w:rPr>
                <w:lang w:eastAsia="en-GB"/>
              </w:rPr>
              <w:t>Health policy 64 (3):335-348 Art No. PII S0168-8510(02)00198-7 2003</w:t>
            </w:r>
          </w:p>
        </w:tc>
        <w:tc>
          <w:tcPr>
            <w:tcW w:w="919" w:type="dxa"/>
            <w:tcBorders>
              <w:top w:val="nil"/>
              <w:left w:val="nil"/>
              <w:bottom w:val="single" w:sz="4" w:space="0" w:color="auto"/>
              <w:right w:val="single" w:sz="4" w:space="0" w:color="auto"/>
            </w:tcBorders>
            <w:shd w:val="clear" w:color="auto" w:fill="auto"/>
            <w:noWrap/>
            <w:vAlign w:val="center"/>
            <w:hideMark/>
          </w:tcPr>
          <w:p w14:paraId="27003B8B"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EF8FCE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10C05D9"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5492DA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3690EA5"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063CBDF"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1F91147D"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63FEEA80"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13E58C3" w14:textId="77777777" w:rsidR="00E403D6" w:rsidRPr="00F10391" w:rsidRDefault="00E403D6" w:rsidP="00494A9A">
            <w:pPr>
              <w:rPr>
                <w:lang w:eastAsia="en-GB"/>
              </w:rPr>
            </w:pPr>
            <w:r w:rsidRPr="00F10391">
              <w:rPr>
                <w:lang w:eastAsia="en-GB"/>
              </w:rPr>
              <w:t>Supporting decision makers in land use planning around chemical sites. Case study: expansion of an oil refinery</w:t>
            </w:r>
          </w:p>
        </w:tc>
        <w:tc>
          <w:tcPr>
            <w:tcW w:w="2475" w:type="dxa"/>
            <w:tcBorders>
              <w:top w:val="nil"/>
              <w:left w:val="nil"/>
              <w:bottom w:val="single" w:sz="4" w:space="0" w:color="auto"/>
              <w:right w:val="single" w:sz="4" w:space="0" w:color="auto"/>
            </w:tcBorders>
            <w:shd w:val="clear" w:color="auto" w:fill="auto"/>
            <w:vAlign w:val="center"/>
            <w:hideMark/>
          </w:tcPr>
          <w:p w14:paraId="7FE02BDE" w14:textId="77777777" w:rsidR="00E403D6" w:rsidRPr="00F10391" w:rsidRDefault="00E403D6" w:rsidP="00F51F18">
            <w:pPr>
              <w:rPr>
                <w:lang w:eastAsia="en-GB"/>
              </w:rPr>
            </w:pPr>
            <w:r w:rsidRPr="00F10391">
              <w:rPr>
                <w:lang w:eastAsia="en-GB"/>
              </w:rPr>
              <w:t xml:space="preserve"> Papazoglou IA, Bonanos GS, Nivolianitou ZS, Duijm NJ, Rasmussen B</w:t>
            </w:r>
          </w:p>
        </w:tc>
        <w:tc>
          <w:tcPr>
            <w:tcW w:w="2475" w:type="dxa"/>
            <w:tcBorders>
              <w:top w:val="nil"/>
              <w:left w:val="nil"/>
              <w:bottom w:val="single" w:sz="4" w:space="0" w:color="auto"/>
              <w:right w:val="single" w:sz="4" w:space="0" w:color="auto"/>
            </w:tcBorders>
            <w:shd w:val="clear" w:color="auto" w:fill="auto"/>
            <w:vAlign w:val="center"/>
            <w:hideMark/>
          </w:tcPr>
          <w:p w14:paraId="55FFEDBE" w14:textId="77777777" w:rsidR="00E403D6" w:rsidRPr="00F10391" w:rsidRDefault="00E403D6">
            <w:pPr>
              <w:rPr>
                <w:lang w:eastAsia="en-GB"/>
              </w:rPr>
            </w:pPr>
            <w:r w:rsidRPr="00F10391">
              <w:rPr>
                <w:lang w:eastAsia="en-GB"/>
              </w:rPr>
              <w:t>Journal of hazardous materials 71 (1-3):343-373 si 2000</w:t>
            </w:r>
          </w:p>
        </w:tc>
        <w:tc>
          <w:tcPr>
            <w:tcW w:w="919" w:type="dxa"/>
            <w:tcBorders>
              <w:top w:val="nil"/>
              <w:left w:val="nil"/>
              <w:bottom w:val="single" w:sz="4" w:space="0" w:color="auto"/>
              <w:right w:val="single" w:sz="4" w:space="0" w:color="auto"/>
            </w:tcBorders>
            <w:shd w:val="clear" w:color="auto" w:fill="auto"/>
            <w:noWrap/>
            <w:vAlign w:val="center"/>
            <w:hideMark/>
          </w:tcPr>
          <w:p w14:paraId="565062DF"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4EDDE79"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147CC384"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1656696"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A1D54D7"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524CBFD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65680E71"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2BD6A02"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45772E74" w14:textId="77777777" w:rsidR="00E403D6" w:rsidRPr="00F10391" w:rsidRDefault="00E403D6" w:rsidP="00494A9A">
            <w:pPr>
              <w:rPr>
                <w:lang w:eastAsia="en-GB"/>
              </w:rPr>
            </w:pPr>
            <w:r w:rsidRPr="00F10391">
              <w:rPr>
                <w:lang w:eastAsia="en-GB"/>
              </w:rPr>
              <w:t>Supporting decision makers in land use planning around chemical sites. Case study: expansion of an oil refinery.</w:t>
            </w:r>
          </w:p>
        </w:tc>
        <w:tc>
          <w:tcPr>
            <w:tcW w:w="2475" w:type="dxa"/>
            <w:tcBorders>
              <w:top w:val="nil"/>
              <w:left w:val="nil"/>
              <w:bottom w:val="single" w:sz="4" w:space="0" w:color="auto"/>
              <w:right w:val="single" w:sz="4" w:space="0" w:color="auto"/>
            </w:tcBorders>
            <w:shd w:val="clear" w:color="auto" w:fill="auto"/>
            <w:vAlign w:val="center"/>
            <w:hideMark/>
          </w:tcPr>
          <w:p w14:paraId="083DFEF2" w14:textId="77777777" w:rsidR="00E403D6" w:rsidRPr="00F10391" w:rsidRDefault="00E403D6" w:rsidP="00F51F18">
            <w:pPr>
              <w:rPr>
                <w:lang w:eastAsia="en-GB"/>
              </w:rPr>
            </w:pPr>
            <w:r w:rsidRPr="00F10391">
              <w:rPr>
                <w:lang w:eastAsia="en-GB"/>
              </w:rPr>
              <w:t>Papazoglou IA, Bonanos GS, Nivolianitou ZS, Duijm NJ, Rasmussen B.</w:t>
            </w:r>
          </w:p>
        </w:tc>
        <w:tc>
          <w:tcPr>
            <w:tcW w:w="2475" w:type="dxa"/>
            <w:tcBorders>
              <w:top w:val="nil"/>
              <w:left w:val="nil"/>
              <w:bottom w:val="single" w:sz="4" w:space="0" w:color="auto"/>
              <w:right w:val="single" w:sz="4" w:space="0" w:color="auto"/>
            </w:tcBorders>
            <w:shd w:val="clear" w:color="auto" w:fill="auto"/>
            <w:vAlign w:val="center"/>
            <w:hideMark/>
          </w:tcPr>
          <w:p w14:paraId="4D6A457B" w14:textId="77777777" w:rsidR="00E403D6" w:rsidRPr="00F10391" w:rsidRDefault="00E403D6">
            <w:pPr>
              <w:rPr>
                <w:lang w:eastAsia="en-GB"/>
              </w:rPr>
            </w:pPr>
            <w:r w:rsidRPr="00F10391">
              <w:rPr>
                <w:lang w:eastAsia="en-GB"/>
              </w:rPr>
              <w:t>J Hazard Mater. 71(1-3):343-73 2000</w:t>
            </w:r>
          </w:p>
        </w:tc>
        <w:tc>
          <w:tcPr>
            <w:tcW w:w="919" w:type="dxa"/>
            <w:tcBorders>
              <w:top w:val="nil"/>
              <w:left w:val="nil"/>
              <w:bottom w:val="single" w:sz="4" w:space="0" w:color="auto"/>
              <w:right w:val="single" w:sz="4" w:space="0" w:color="auto"/>
            </w:tcBorders>
            <w:shd w:val="clear" w:color="auto" w:fill="auto"/>
            <w:noWrap/>
            <w:vAlign w:val="center"/>
            <w:hideMark/>
          </w:tcPr>
          <w:p w14:paraId="00F86909"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54E24095"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06D46475"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1D1E90A8"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38A040B1" w14:textId="77777777" w:rsidR="00E403D6" w:rsidRPr="00F10391" w:rsidRDefault="00E403D6">
            <w:pPr>
              <w:rPr>
                <w:lang w:eastAsia="en-GB"/>
              </w:rPr>
            </w:pPr>
            <w:r w:rsidRPr="00F10391">
              <w:rPr>
                <w:lang w:eastAsia="en-GB"/>
              </w:rPr>
              <w:t> </w:t>
            </w:r>
          </w:p>
        </w:tc>
        <w:tc>
          <w:tcPr>
            <w:tcW w:w="794" w:type="dxa"/>
            <w:tcBorders>
              <w:top w:val="nil"/>
              <w:left w:val="nil"/>
              <w:bottom w:val="single" w:sz="4" w:space="0" w:color="auto"/>
              <w:right w:val="single" w:sz="4" w:space="0" w:color="auto"/>
            </w:tcBorders>
            <w:shd w:val="clear" w:color="auto" w:fill="auto"/>
            <w:noWrap/>
            <w:vAlign w:val="center"/>
            <w:hideMark/>
          </w:tcPr>
          <w:p w14:paraId="76DEA0F6"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5D1F554"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3FB28BBD"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798CE67" w14:textId="77777777" w:rsidR="00E403D6" w:rsidRPr="00F10391" w:rsidRDefault="00E403D6" w:rsidP="00494A9A">
            <w:pPr>
              <w:rPr>
                <w:lang w:eastAsia="en-GB"/>
              </w:rPr>
            </w:pPr>
            <w:r w:rsidRPr="00F10391">
              <w:rPr>
                <w:lang w:eastAsia="en-GB"/>
              </w:rPr>
              <w:t>The dream of consensus: Finding common ground in a bioethical context</w:t>
            </w:r>
          </w:p>
        </w:tc>
        <w:tc>
          <w:tcPr>
            <w:tcW w:w="2475" w:type="dxa"/>
            <w:tcBorders>
              <w:top w:val="nil"/>
              <w:left w:val="nil"/>
              <w:bottom w:val="single" w:sz="4" w:space="0" w:color="auto"/>
              <w:right w:val="single" w:sz="4" w:space="0" w:color="auto"/>
            </w:tcBorders>
            <w:shd w:val="clear" w:color="auto" w:fill="auto"/>
            <w:vAlign w:val="center"/>
            <w:hideMark/>
          </w:tcPr>
          <w:p w14:paraId="6C333309" w14:textId="77777777" w:rsidR="00E403D6" w:rsidRPr="00F10391" w:rsidRDefault="00E403D6" w:rsidP="00F51F18">
            <w:pPr>
              <w:rPr>
                <w:lang w:eastAsia="en-GB"/>
              </w:rPr>
            </w:pPr>
            <w:r w:rsidRPr="00F10391">
              <w:rPr>
                <w:lang w:eastAsia="en-GB"/>
              </w:rPr>
              <w:t>Koch, T, Rowell, M</w:t>
            </w:r>
          </w:p>
        </w:tc>
        <w:tc>
          <w:tcPr>
            <w:tcW w:w="2475" w:type="dxa"/>
            <w:tcBorders>
              <w:top w:val="nil"/>
              <w:left w:val="nil"/>
              <w:bottom w:val="single" w:sz="4" w:space="0" w:color="auto"/>
              <w:right w:val="single" w:sz="4" w:space="0" w:color="auto"/>
            </w:tcBorders>
            <w:shd w:val="clear" w:color="auto" w:fill="auto"/>
            <w:vAlign w:val="center"/>
            <w:hideMark/>
          </w:tcPr>
          <w:p w14:paraId="0339D683" w14:textId="77777777" w:rsidR="00E403D6" w:rsidRPr="00F10391" w:rsidRDefault="00E403D6">
            <w:pPr>
              <w:rPr>
                <w:lang w:eastAsia="en-GB"/>
              </w:rPr>
            </w:pPr>
            <w:r w:rsidRPr="00F10391">
              <w:rPr>
                <w:lang w:eastAsia="en-GB"/>
              </w:rPr>
              <w:t>Theoretical medicine and Bioethics 20 (3):261-273 1999</w:t>
            </w:r>
          </w:p>
        </w:tc>
        <w:tc>
          <w:tcPr>
            <w:tcW w:w="919" w:type="dxa"/>
            <w:tcBorders>
              <w:top w:val="nil"/>
              <w:left w:val="nil"/>
              <w:bottom w:val="single" w:sz="4" w:space="0" w:color="auto"/>
              <w:right w:val="single" w:sz="4" w:space="0" w:color="auto"/>
            </w:tcBorders>
            <w:shd w:val="clear" w:color="auto" w:fill="auto"/>
            <w:noWrap/>
            <w:vAlign w:val="center"/>
            <w:hideMark/>
          </w:tcPr>
          <w:p w14:paraId="5CE704F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5B6DD2A"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734F65C7"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800751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549989B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21450374"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6FA2480A"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C137366"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FA79EE9" w14:textId="77777777" w:rsidR="00E403D6" w:rsidRPr="00F10391" w:rsidRDefault="00E403D6" w:rsidP="00494A9A">
            <w:pPr>
              <w:rPr>
                <w:lang w:eastAsia="en-GB"/>
              </w:rPr>
            </w:pPr>
            <w:r w:rsidRPr="00F10391">
              <w:rPr>
                <w:lang w:eastAsia="en-GB"/>
              </w:rPr>
              <w:t>The dream of consensus: finding common ground in a bioethical context.</w:t>
            </w:r>
          </w:p>
        </w:tc>
        <w:tc>
          <w:tcPr>
            <w:tcW w:w="2475" w:type="dxa"/>
            <w:tcBorders>
              <w:top w:val="nil"/>
              <w:left w:val="nil"/>
              <w:bottom w:val="single" w:sz="4" w:space="0" w:color="auto"/>
              <w:right w:val="single" w:sz="4" w:space="0" w:color="auto"/>
            </w:tcBorders>
            <w:shd w:val="clear" w:color="auto" w:fill="auto"/>
            <w:vAlign w:val="center"/>
            <w:hideMark/>
          </w:tcPr>
          <w:p w14:paraId="1C8834E7" w14:textId="77777777" w:rsidR="00E403D6" w:rsidRPr="00F10391" w:rsidRDefault="00E403D6" w:rsidP="00F51F18">
            <w:pPr>
              <w:rPr>
                <w:lang w:eastAsia="en-GB"/>
              </w:rPr>
            </w:pPr>
            <w:r w:rsidRPr="00F10391">
              <w:rPr>
                <w:lang w:eastAsia="en-GB"/>
              </w:rPr>
              <w:t>Koch T, Rowell M</w:t>
            </w:r>
          </w:p>
        </w:tc>
        <w:tc>
          <w:tcPr>
            <w:tcW w:w="2475" w:type="dxa"/>
            <w:tcBorders>
              <w:top w:val="nil"/>
              <w:left w:val="nil"/>
              <w:bottom w:val="single" w:sz="4" w:space="0" w:color="auto"/>
              <w:right w:val="single" w:sz="4" w:space="0" w:color="auto"/>
            </w:tcBorders>
            <w:shd w:val="clear" w:color="auto" w:fill="auto"/>
            <w:vAlign w:val="center"/>
            <w:hideMark/>
          </w:tcPr>
          <w:p w14:paraId="306236BE" w14:textId="77777777" w:rsidR="00E403D6" w:rsidRPr="00F10391" w:rsidRDefault="00E403D6">
            <w:pPr>
              <w:rPr>
                <w:lang w:eastAsia="en-GB"/>
              </w:rPr>
            </w:pPr>
            <w:r w:rsidRPr="00F10391">
              <w:rPr>
                <w:lang w:eastAsia="en-GB"/>
              </w:rPr>
              <w:t>Theor Med Bioeth. 20(3):261-73 1999</w:t>
            </w:r>
          </w:p>
        </w:tc>
        <w:tc>
          <w:tcPr>
            <w:tcW w:w="919" w:type="dxa"/>
            <w:tcBorders>
              <w:top w:val="nil"/>
              <w:left w:val="nil"/>
              <w:bottom w:val="single" w:sz="4" w:space="0" w:color="auto"/>
              <w:right w:val="single" w:sz="4" w:space="0" w:color="auto"/>
            </w:tcBorders>
            <w:shd w:val="clear" w:color="auto" w:fill="auto"/>
            <w:noWrap/>
            <w:vAlign w:val="center"/>
            <w:hideMark/>
          </w:tcPr>
          <w:p w14:paraId="42DAF309" w14:textId="77777777" w:rsidR="00E403D6" w:rsidRPr="00F10391" w:rsidRDefault="00E403D6">
            <w:pPr>
              <w:rPr>
                <w:lang w:eastAsia="en-GB"/>
              </w:rPr>
            </w:pPr>
            <w:r w:rsidRPr="00F10391">
              <w:rPr>
                <w:lang w:eastAsia="en-GB"/>
              </w:rPr>
              <w:t>Medline</w:t>
            </w:r>
          </w:p>
        </w:tc>
        <w:tc>
          <w:tcPr>
            <w:tcW w:w="794" w:type="dxa"/>
            <w:tcBorders>
              <w:top w:val="nil"/>
              <w:left w:val="nil"/>
              <w:bottom w:val="single" w:sz="4" w:space="0" w:color="auto"/>
              <w:right w:val="single" w:sz="4" w:space="0" w:color="auto"/>
            </w:tcBorders>
            <w:shd w:val="clear" w:color="auto" w:fill="auto"/>
            <w:noWrap/>
            <w:vAlign w:val="center"/>
            <w:hideMark/>
          </w:tcPr>
          <w:p w14:paraId="64AA7C34" w14:textId="77777777" w:rsidR="00E403D6" w:rsidRPr="00F10391" w:rsidRDefault="00E403D6">
            <w:pPr>
              <w:rPr>
                <w:lang w:eastAsia="en-GB"/>
              </w:rPr>
            </w:pPr>
            <w:r w:rsidRPr="00F10391">
              <w:rPr>
                <w:rFonts w:ascii="Segoe UI Symbol" w:hAnsi="Segoe UI Symbol" w:cs="Segoe UI Symbol"/>
                <w:lang w:eastAsia="en-GB"/>
              </w:rPr>
              <w:t>✖</w:t>
            </w:r>
          </w:p>
        </w:tc>
        <w:tc>
          <w:tcPr>
            <w:tcW w:w="974" w:type="dxa"/>
            <w:tcBorders>
              <w:top w:val="nil"/>
              <w:left w:val="nil"/>
              <w:bottom w:val="single" w:sz="4" w:space="0" w:color="auto"/>
              <w:right w:val="single" w:sz="4" w:space="0" w:color="auto"/>
            </w:tcBorders>
            <w:shd w:val="clear" w:color="auto" w:fill="auto"/>
            <w:noWrap/>
            <w:vAlign w:val="center"/>
            <w:hideMark/>
          </w:tcPr>
          <w:p w14:paraId="7B6BD238"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726CADCB"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4E5443E6"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11BDB1D6"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355C2C12"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C6014C5"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13EE720" w14:textId="77777777" w:rsidR="00E403D6" w:rsidRPr="00F10391" w:rsidRDefault="00E403D6" w:rsidP="00494A9A">
            <w:pPr>
              <w:rPr>
                <w:lang w:eastAsia="en-GB"/>
              </w:rPr>
            </w:pPr>
            <w:r w:rsidRPr="00F10391">
              <w:rPr>
                <w:lang w:eastAsia="en-GB"/>
              </w:rPr>
              <w:t>Transshipment site selection using the AHP and TOPSIS approaches under fuzzy environment</w:t>
            </w:r>
          </w:p>
        </w:tc>
        <w:tc>
          <w:tcPr>
            <w:tcW w:w="2475" w:type="dxa"/>
            <w:tcBorders>
              <w:top w:val="nil"/>
              <w:left w:val="nil"/>
              <w:bottom w:val="single" w:sz="4" w:space="0" w:color="auto"/>
              <w:right w:val="single" w:sz="4" w:space="0" w:color="auto"/>
            </w:tcBorders>
            <w:shd w:val="clear" w:color="auto" w:fill="auto"/>
            <w:vAlign w:val="center"/>
            <w:hideMark/>
          </w:tcPr>
          <w:p w14:paraId="65356CA5" w14:textId="77777777" w:rsidR="00E403D6" w:rsidRPr="00F10391" w:rsidRDefault="00E403D6" w:rsidP="00F51F18">
            <w:pPr>
              <w:rPr>
                <w:lang w:eastAsia="en-GB"/>
              </w:rPr>
            </w:pPr>
            <w:r w:rsidRPr="00F10391">
              <w:rPr>
                <w:lang w:eastAsia="en-GB"/>
              </w:rPr>
              <w:t>Oenuet S, Soner S</w:t>
            </w:r>
          </w:p>
        </w:tc>
        <w:tc>
          <w:tcPr>
            <w:tcW w:w="2475" w:type="dxa"/>
            <w:tcBorders>
              <w:top w:val="nil"/>
              <w:left w:val="nil"/>
              <w:bottom w:val="single" w:sz="4" w:space="0" w:color="auto"/>
              <w:right w:val="single" w:sz="4" w:space="0" w:color="auto"/>
            </w:tcBorders>
            <w:shd w:val="clear" w:color="auto" w:fill="auto"/>
            <w:vAlign w:val="center"/>
            <w:hideMark/>
          </w:tcPr>
          <w:p w14:paraId="4D95F4B9" w14:textId="77777777" w:rsidR="00E403D6" w:rsidRPr="00F10391" w:rsidRDefault="00E403D6">
            <w:pPr>
              <w:rPr>
                <w:lang w:eastAsia="en-GB"/>
              </w:rPr>
            </w:pPr>
            <w:r w:rsidRPr="00F10391">
              <w:rPr>
                <w:lang w:eastAsia="en-GB"/>
              </w:rPr>
              <w:t>Waste Management 28 (9):1552-1559 Art No. 2008</w:t>
            </w:r>
          </w:p>
        </w:tc>
        <w:tc>
          <w:tcPr>
            <w:tcW w:w="919" w:type="dxa"/>
            <w:tcBorders>
              <w:top w:val="nil"/>
              <w:left w:val="nil"/>
              <w:bottom w:val="single" w:sz="4" w:space="0" w:color="auto"/>
              <w:right w:val="single" w:sz="4" w:space="0" w:color="auto"/>
            </w:tcBorders>
            <w:shd w:val="clear" w:color="auto" w:fill="auto"/>
            <w:noWrap/>
            <w:vAlign w:val="center"/>
            <w:hideMark/>
          </w:tcPr>
          <w:p w14:paraId="0CDA290A"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8651138"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85247BE"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79718EC"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AA3C17F"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1742DB9D"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AEFCB88"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24AD06C7"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6D09A6DA" w14:textId="77777777" w:rsidR="00E403D6" w:rsidRPr="00F10391" w:rsidRDefault="00E403D6" w:rsidP="00494A9A">
            <w:pPr>
              <w:rPr>
                <w:lang w:eastAsia="en-GB"/>
              </w:rPr>
            </w:pPr>
            <w:r w:rsidRPr="00F10391">
              <w:rPr>
                <w:lang w:eastAsia="en-GB"/>
              </w:rPr>
              <w:t>Use of chemometrics methods and multicriteria decision-making for site selection for sustainable on-site sewage effluent disposal</w:t>
            </w:r>
          </w:p>
        </w:tc>
        <w:tc>
          <w:tcPr>
            <w:tcW w:w="2475" w:type="dxa"/>
            <w:tcBorders>
              <w:top w:val="nil"/>
              <w:left w:val="nil"/>
              <w:bottom w:val="single" w:sz="4" w:space="0" w:color="auto"/>
              <w:right w:val="single" w:sz="4" w:space="0" w:color="auto"/>
            </w:tcBorders>
            <w:shd w:val="clear" w:color="auto" w:fill="auto"/>
            <w:vAlign w:val="center"/>
            <w:hideMark/>
          </w:tcPr>
          <w:p w14:paraId="2652D882" w14:textId="77777777" w:rsidR="00E403D6" w:rsidRPr="00F10391" w:rsidRDefault="00E403D6" w:rsidP="00F51F18">
            <w:pPr>
              <w:rPr>
                <w:lang w:eastAsia="en-GB"/>
              </w:rPr>
            </w:pPr>
            <w:r w:rsidRPr="00F10391">
              <w:rPr>
                <w:lang w:eastAsia="en-GB"/>
              </w:rPr>
              <w:t>Khalil WAS, Goonetilleke A, Kokot  S, Carrol, S</w:t>
            </w:r>
          </w:p>
        </w:tc>
        <w:tc>
          <w:tcPr>
            <w:tcW w:w="2475" w:type="dxa"/>
            <w:tcBorders>
              <w:top w:val="nil"/>
              <w:left w:val="nil"/>
              <w:bottom w:val="single" w:sz="4" w:space="0" w:color="auto"/>
              <w:right w:val="single" w:sz="4" w:space="0" w:color="auto"/>
            </w:tcBorders>
            <w:shd w:val="clear" w:color="auto" w:fill="auto"/>
            <w:vAlign w:val="center"/>
            <w:hideMark/>
          </w:tcPr>
          <w:p w14:paraId="5348A880" w14:textId="77777777" w:rsidR="00E403D6" w:rsidRPr="00F10391" w:rsidRDefault="00E403D6">
            <w:pPr>
              <w:rPr>
                <w:lang w:eastAsia="en-GB"/>
              </w:rPr>
            </w:pPr>
            <w:r w:rsidRPr="00F10391">
              <w:rPr>
                <w:lang w:eastAsia="en-GB"/>
              </w:rPr>
              <w:t>Analytica chimica acta 506 (1):41-56 2004</w:t>
            </w:r>
          </w:p>
        </w:tc>
        <w:tc>
          <w:tcPr>
            <w:tcW w:w="919" w:type="dxa"/>
            <w:tcBorders>
              <w:top w:val="nil"/>
              <w:left w:val="nil"/>
              <w:bottom w:val="single" w:sz="4" w:space="0" w:color="auto"/>
              <w:right w:val="single" w:sz="4" w:space="0" w:color="auto"/>
            </w:tcBorders>
            <w:shd w:val="clear" w:color="auto" w:fill="auto"/>
            <w:noWrap/>
            <w:vAlign w:val="center"/>
            <w:hideMark/>
          </w:tcPr>
          <w:p w14:paraId="257515F6"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17D84195"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5E58A1F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94B0483"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DF8BF67"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6AD39387"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51CF9C53"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53D78221"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1CE9C5FB" w14:textId="77777777" w:rsidR="00E403D6" w:rsidRPr="00F10391" w:rsidRDefault="00E403D6" w:rsidP="00494A9A">
            <w:pPr>
              <w:rPr>
                <w:lang w:eastAsia="en-GB"/>
              </w:rPr>
            </w:pPr>
            <w:r w:rsidRPr="00F10391">
              <w:rPr>
                <w:lang w:eastAsia="en-GB"/>
              </w:rPr>
              <w:t>Using an innovative criteria weighting tool for stakeholders involvement to rank MSW facility sites with the AHP</w:t>
            </w:r>
          </w:p>
        </w:tc>
        <w:tc>
          <w:tcPr>
            <w:tcW w:w="2475" w:type="dxa"/>
            <w:tcBorders>
              <w:top w:val="nil"/>
              <w:left w:val="nil"/>
              <w:bottom w:val="single" w:sz="4" w:space="0" w:color="auto"/>
              <w:right w:val="single" w:sz="4" w:space="0" w:color="auto"/>
            </w:tcBorders>
            <w:shd w:val="clear" w:color="auto" w:fill="auto"/>
            <w:vAlign w:val="center"/>
            <w:hideMark/>
          </w:tcPr>
          <w:p w14:paraId="4F5CDED0" w14:textId="77777777" w:rsidR="00E403D6" w:rsidRPr="005D7324" w:rsidRDefault="00E403D6" w:rsidP="00F51F18">
            <w:pPr>
              <w:rPr>
                <w:lang w:eastAsia="en-GB"/>
              </w:rPr>
            </w:pPr>
            <w:r w:rsidRPr="005D7324">
              <w:rPr>
                <w:lang w:eastAsia="en-GB"/>
              </w:rPr>
              <w:t>De Feo G, De Gisi S</w:t>
            </w:r>
          </w:p>
        </w:tc>
        <w:tc>
          <w:tcPr>
            <w:tcW w:w="2475" w:type="dxa"/>
            <w:tcBorders>
              <w:top w:val="nil"/>
              <w:left w:val="nil"/>
              <w:bottom w:val="single" w:sz="4" w:space="0" w:color="auto"/>
              <w:right w:val="single" w:sz="4" w:space="0" w:color="auto"/>
            </w:tcBorders>
            <w:shd w:val="clear" w:color="auto" w:fill="auto"/>
            <w:vAlign w:val="center"/>
            <w:hideMark/>
          </w:tcPr>
          <w:p w14:paraId="38DCA6FB" w14:textId="77777777" w:rsidR="00E403D6" w:rsidRPr="00F10391" w:rsidRDefault="00E403D6">
            <w:pPr>
              <w:rPr>
                <w:lang w:eastAsia="en-GB"/>
              </w:rPr>
            </w:pPr>
            <w:r w:rsidRPr="00F10391">
              <w:rPr>
                <w:lang w:eastAsia="en-GB"/>
              </w:rPr>
              <w:t>Waste management 30 (11):2370-2382 2010</w:t>
            </w:r>
          </w:p>
        </w:tc>
        <w:tc>
          <w:tcPr>
            <w:tcW w:w="919" w:type="dxa"/>
            <w:tcBorders>
              <w:top w:val="nil"/>
              <w:left w:val="nil"/>
              <w:bottom w:val="single" w:sz="4" w:space="0" w:color="auto"/>
              <w:right w:val="single" w:sz="4" w:space="0" w:color="auto"/>
            </w:tcBorders>
            <w:shd w:val="clear" w:color="auto" w:fill="auto"/>
            <w:noWrap/>
            <w:vAlign w:val="center"/>
            <w:hideMark/>
          </w:tcPr>
          <w:p w14:paraId="03FEC7B9"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6040C432"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2FB390A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6C10C05"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06F6DBE2"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475E2C31"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02D22B65"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76A4F09A"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0DA80DED" w14:textId="77777777" w:rsidR="00E403D6" w:rsidRPr="00F10391" w:rsidRDefault="00E403D6" w:rsidP="00494A9A">
            <w:pPr>
              <w:rPr>
                <w:lang w:eastAsia="en-GB"/>
              </w:rPr>
            </w:pPr>
            <w:r w:rsidRPr="00F10391">
              <w:rPr>
                <w:lang w:eastAsia="en-GB"/>
              </w:rPr>
              <w:t>Using multicriteria methods in environmental planning and management</w:t>
            </w:r>
          </w:p>
        </w:tc>
        <w:tc>
          <w:tcPr>
            <w:tcW w:w="2475" w:type="dxa"/>
            <w:tcBorders>
              <w:top w:val="nil"/>
              <w:left w:val="nil"/>
              <w:bottom w:val="single" w:sz="4" w:space="0" w:color="auto"/>
              <w:right w:val="single" w:sz="4" w:space="0" w:color="auto"/>
            </w:tcBorders>
            <w:shd w:val="clear" w:color="auto" w:fill="auto"/>
            <w:vAlign w:val="center"/>
            <w:hideMark/>
          </w:tcPr>
          <w:p w14:paraId="032AF0BA" w14:textId="77777777" w:rsidR="00E403D6" w:rsidRPr="00F10391" w:rsidRDefault="00E403D6" w:rsidP="00F51F18">
            <w:pPr>
              <w:rPr>
                <w:lang w:eastAsia="en-GB"/>
              </w:rPr>
            </w:pPr>
            <w:r w:rsidRPr="00F10391">
              <w:rPr>
                <w:lang w:eastAsia="en-GB"/>
              </w:rPr>
              <w:t>Lahdelma R, Salminen P, Hokkanen J</w:t>
            </w:r>
          </w:p>
        </w:tc>
        <w:tc>
          <w:tcPr>
            <w:tcW w:w="2475" w:type="dxa"/>
            <w:tcBorders>
              <w:top w:val="nil"/>
              <w:left w:val="nil"/>
              <w:bottom w:val="single" w:sz="4" w:space="0" w:color="auto"/>
              <w:right w:val="single" w:sz="4" w:space="0" w:color="auto"/>
            </w:tcBorders>
            <w:shd w:val="clear" w:color="auto" w:fill="auto"/>
            <w:vAlign w:val="center"/>
            <w:hideMark/>
          </w:tcPr>
          <w:p w14:paraId="2161C8D1" w14:textId="77777777" w:rsidR="00E403D6" w:rsidRPr="00F10391" w:rsidRDefault="00E403D6">
            <w:pPr>
              <w:rPr>
                <w:lang w:eastAsia="en-GB"/>
              </w:rPr>
            </w:pPr>
            <w:r w:rsidRPr="00F10391">
              <w:rPr>
                <w:lang w:eastAsia="en-GB"/>
              </w:rPr>
              <w:t>Environmental management 26 (6):595-605 2000</w:t>
            </w:r>
          </w:p>
        </w:tc>
        <w:tc>
          <w:tcPr>
            <w:tcW w:w="919" w:type="dxa"/>
            <w:tcBorders>
              <w:top w:val="nil"/>
              <w:left w:val="nil"/>
              <w:bottom w:val="single" w:sz="4" w:space="0" w:color="auto"/>
              <w:right w:val="single" w:sz="4" w:space="0" w:color="auto"/>
            </w:tcBorders>
            <w:shd w:val="clear" w:color="auto" w:fill="auto"/>
            <w:noWrap/>
            <w:vAlign w:val="center"/>
            <w:hideMark/>
          </w:tcPr>
          <w:p w14:paraId="3F61CB13"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5B87DE2"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31C202B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7AF02356"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6988A528"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3A34E6BE"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1A84E07E"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1D08D3EF"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30AF31F1" w14:textId="77777777" w:rsidR="00E403D6" w:rsidRPr="00F10391" w:rsidRDefault="00E403D6" w:rsidP="00494A9A">
            <w:pPr>
              <w:rPr>
                <w:lang w:eastAsia="en-GB"/>
              </w:rPr>
            </w:pPr>
            <w:r w:rsidRPr="00F10391">
              <w:rPr>
                <w:lang w:eastAsia="en-GB"/>
              </w:rPr>
              <w:t>Using multiple criteria decision analysis for supporting decisions of solid waste management</w:t>
            </w:r>
          </w:p>
        </w:tc>
        <w:tc>
          <w:tcPr>
            <w:tcW w:w="2475" w:type="dxa"/>
            <w:tcBorders>
              <w:top w:val="nil"/>
              <w:left w:val="nil"/>
              <w:bottom w:val="single" w:sz="4" w:space="0" w:color="auto"/>
              <w:right w:val="single" w:sz="4" w:space="0" w:color="auto"/>
            </w:tcBorders>
            <w:shd w:val="clear" w:color="auto" w:fill="auto"/>
            <w:vAlign w:val="center"/>
            <w:hideMark/>
          </w:tcPr>
          <w:p w14:paraId="4C1BB6E7" w14:textId="77777777" w:rsidR="00E403D6" w:rsidRPr="00F10391" w:rsidRDefault="00E403D6" w:rsidP="00F51F18">
            <w:pPr>
              <w:rPr>
                <w:lang w:eastAsia="en-GB"/>
              </w:rPr>
            </w:pPr>
            <w:r w:rsidRPr="00F10391">
              <w:rPr>
                <w:lang w:eastAsia="en-GB"/>
              </w:rPr>
              <w:t>Cheng S, Chan CW, Huang GH</w:t>
            </w:r>
          </w:p>
        </w:tc>
        <w:tc>
          <w:tcPr>
            <w:tcW w:w="2475" w:type="dxa"/>
            <w:tcBorders>
              <w:top w:val="nil"/>
              <w:left w:val="nil"/>
              <w:bottom w:val="single" w:sz="4" w:space="0" w:color="auto"/>
              <w:right w:val="single" w:sz="4" w:space="0" w:color="auto"/>
            </w:tcBorders>
            <w:shd w:val="clear" w:color="auto" w:fill="auto"/>
            <w:vAlign w:val="center"/>
            <w:hideMark/>
          </w:tcPr>
          <w:p w14:paraId="5E449947" w14:textId="77777777" w:rsidR="00E403D6" w:rsidRPr="00F10391" w:rsidRDefault="00E403D6">
            <w:pPr>
              <w:rPr>
                <w:lang w:eastAsia="en-GB"/>
              </w:rPr>
            </w:pPr>
            <w:r w:rsidRPr="00F10391">
              <w:rPr>
                <w:lang w:eastAsia="en-GB"/>
              </w:rPr>
              <w:t>Journal of environmental science and health part a-toxic/hazardous substances &amp; environmental engineering 37 (6):975-990 2002</w:t>
            </w:r>
          </w:p>
        </w:tc>
        <w:tc>
          <w:tcPr>
            <w:tcW w:w="919" w:type="dxa"/>
            <w:tcBorders>
              <w:top w:val="nil"/>
              <w:left w:val="nil"/>
              <w:bottom w:val="single" w:sz="4" w:space="0" w:color="auto"/>
              <w:right w:val="single" w:sz="4" w:space="0" w:color="auto"/>
            </w:tcBorders>
            <w:shd w:val="clear" w:color="auto" w:fill="auto"/>
            <w:noWrap/>
            <w:vAlign w:val="center"/>
            <w:hideMark/>
          </w:tcPr>
          <w:p w14:paraId="08B91F13"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40E9CD0E"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646C71EB"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2F5B2A6D" w14:textId="77777777" w:rsidR="00E403D6" w:rsidRPr="00F10391" w:rsidRDefault="00E403D6">
            <w:pPr>
              <w:rPr>
                <w:lang w:eastAsia="en-GB"/>
              </w:rPr>
            </w:pPr>
          </w:p>
        </w:tc>
        <w:tc>
          <w:tcPr>
            <w:tcW w:w="707" w:type="dxa"/>
            <w:tcBorders>
              <w:top w:val="nil"/>
              <w:left w:val="nil"/>
              <w:bottom w:val="single" w:sz="4" w:space="0" w:color="auto"/>
              <w:right w:val="single" w:sz="4" w:space="0" w:color="auto"/>
            </w:tcBorders>
            <w:shd w:val="clear" w:color="auto" w:fill="auto"/>
            <w:noWrap/>
            <w:vAlign w:val="center"/>
            <w:hideMark/>
          </w:tcPr>
          <w:p w14:paraId="57775A35" w14:textId="77777777" w:rsidR="00E403D6" w:rsidRPr="00F10391" w:rsidRDefault="00E403D6">
            <w:pPr>
              <w:rPr>
                <w:lang w:eastAsia="en-GB"/>
              </w:rPr>
            </w:pPr>
          </w:p>
        </w:tc>
        <w:tc>
          <w:tcPr>
            <w:tcW w:w="794" w:type="dxa"/>
            <w:tcBorders>
              <w:top w:val="nil"/>
              <w:left w:val="nil"/>
              <w:bottom w:val="single" w:sz="4" w:space="0" w:color="auto"/>
              <w:right w:val="single" w:sz="4" w:space="0" w:color="auto"/>
            </w:tcBorders>
            <w:shd w:val="clear" w:color="auto" w:fill="auto"/>
            <w:noWrap/>
            <w:vAlign w:val="center"/>
            <w:hideMark/>
          </w:tcPr>
          <w:p w14:paraId="18CC8F74" w14:textId="77777777" w:rsidR="00E403D6" w:rsidRPr="00F10391" w:rsidRDefault="00E403D6">
            <w:pPr>
              <w:rPr>
                <w:lang w:eastAsia="en-GB"/>
              </w:rPr>
            </w:pPr>
            <w:r w:rsidRPr="00F10391">
              <w:rPr>
                <w:lang w:eastAsia="en-GB"/>
              </w:rPr>
              <w:t> </w:t>
            </w:r>
          </w:p>
        </w:tc>
        <w:tc>
          <w:tcPr>
            <w:tcW w:w="795" w:type="dxa"/>
            <w:tcBorders>
              <w:top w:val="nil"/>
              <w:left w:val="nil"/>
              <w:bottom w:val="single" w:sz="4" w:space="0" w:color="auto"/>
              <w:right w:val="single" w:sz="4" w:space="0" w:color="auto"/>
            </w:tcBorders>
            <w:shd w:val="clear" w:color="auto" w:fill="auto"/>
            <w:noWrap/>
            <w:vAlign w:val="center"/>
            <w:hideMark/>
          </w:tcPr>
          <w:p w14:paraId="7AA813B4" w14:textId="77777777" w:rsidR="00E403D6" w:rsidRPr="00F10391" w:rsidRDefault="00E403D6">
            <w:pPr>
              <w:rPr>
                <w:lang w:eastAsia="en-GB"/>
              </w:rPr>
            </w:pPr>
            <w:r w:rsidRPr="00F10391">
              <w:rPr>
                <w:rFonts w:ascii="Segoe UI Symbol" w:hAnsi="Segoe UI Symbol" w:cs="Segoe UI Symbol"/>
                <w:lang w:eastAsia="en-GB"/>
              </w:rPr>
              <w:t>✖</w:t>
            </w:r>
          </w:p>
        </w:tc>
      </w:tr>
      <w:tr w:rsidR="00E403D6" w:rsidRPr="00F10391" w14:paraId="02004D3C" w14:textId="77777777" w:rsidTr="00E403D6">
        <w:trPr>
          <w:cantSplit/>
          <w:trHeight w:val="425"/>
          <w:tblHeader/>
        </w:trPr>
        <w:tc>
          <w:tcPr>
            <w:tcW w:w="3711" w:type="dxa"/>
            <w:tcBorders>
              <w:top w:val="nil"/>
              <w:left w:val="single" w:sz="4" w:space="0" w:color="auto"/>
              <w:bottom w:val="single" w:sz="4" w:space="0" w:color="auto"/>
              <w:right w:val="single" w:sz="4" w:space="0" w:color="auto"/>
            </w:tcBorders>
            <w:shd w:val="clear" w:color="auto" w:fill="auto"/>
            <w:vAlign w:val="center"/>
            <w:hideMark/>
          </w:tcPr>
          <w:p w14:paraId="76B72EE5" w14:textId="77777777" w:rsidR="00E403D6" w:rsidRPr="00F10391" w:rsidRDefault="00E403D6" w:rsidP="00494A9A">
            <w:pPr>
              <w:rPr>
                <w:lang w:eastAsia="en-GB"/>
              </w:rPr>
            </w:pPr>
            <w:r w:rsidRPr="00F10391">
              <w:rPr>
                <w:lang w:eastAsia="en-GB"/>
              </w:rPr>
              <w:t>Using programme budgeting and marginal analysis to assist population based strategic planning for coronary heart disease</w:t>
            </w:r>
          </w:p>
        </w:tc>
        <w:tc>
          <w:tcPr>
            <w:tcW w:w="2475" w:type="dxa"/>
            <w:tcBorders>
              <w:top w:val="nil"/>
              <w:left w:val="nil"/>
              <w:bottom w:val="single" w:sz="4" w:space="0" w:color="auto"/>
              <w:right w:val="single" w:sz="4" w:space="0" w:color="auto"/>
            </w:tcBorders>
            <w:shd w:val="clear" w:color="auto" w:fill="auto"/>
            <w:vAlign w:val="center"/>
            <w:hideMark/>
          </w:tcPr>
          <w:p w14:paraId="6C8EF46F" w14:textId="77777777" w:rsidR="00E403D6" w:rsidRPr="00F10391" w:rsidRDefault="00E403D6" w:rsidP="00F51F18">
            <w:pPr>
              <w:rPr>
                <w:lang w:eastAsia="en-GB"/>
              </w:rPr>
            </w:pPr>
            <w:r w:rsidRPr="00F10391">
              <w:rPr>
                <w:lang w:eastAsia="en-GB"/>
              </w:rPr>
              <w:t>Haas M, Viney R, Kristensen E, Pain C, Foulds K</w:t>
            </w:r>
          </w:p>
        </w:tc>
        <w:tc>
          <w:tcPr>
            <w:tcW w:w="2475" w:type="dxa"/>
            <w:tcBorders>
              <w:top w:val="nil"/>
              <w:left w:val="nil"/>
              <w:bottom w:val="single" w:sz="4" w:space="0" w:color="auto"/>
              <w:right w:val="single" w:sz="4" w:space="0" w:color="auto"/>
            </w:tcBorders>
            <w:shd w:val="clear" w:color="auto" w:fill="auto"/>
            <w:vAlign w:val="center"/>
            <w:hideMark/>
          </w:tcPr>
          <w:p w14:paraId="4344403C" w14:textId="77777777" w:rsidR="00E403D6" w:rsidRPr="00F10391" w:rsidRDefault="00E403D6">
            <w:pPr>
              <w:rPr>
                <w:lang w:eastAsia="en-GB"/>
              </w:rPr>
            </w:pPr>
            <w:r w:rsidRPr="00F10391">
              <w:rPr>
                <w:lang w:eastAsia="en-GB"/>
              </w:rPr>
              <w:t>Health policy 55 (3):173-186 2001</w:t>
            </w:r>
          </w:p>
        </w:tc>
        <w:tc>
          <w:tcPr>
            <w:tcW w:w="919" w:type="dxa"/>
            <w:tcBorders>
              <w:top w:val="nil"/>
              <w:left w:val="nil"/>
              <w:bottom w:val="single" w:sz="4" w:space="0" w:color="auto"/>
              <w:right w:val="single" w:sz="4" w:space="0" w:color="auto"/>
            </w:tcBorders>
            <w:shd w:val="clear" w:color="auto" w:fill="auto"/>
            <w:noWrap/>
            <w:vAlign w:val="center"/>
            <w:hideMark/>
          </w:tcPr>
          <w:p w14:paraId="2C6105A8" w14:textId="77777777" w:rsidR="00E403D6" w:rsidRPr="00F10391" w:rsidRDefault="00E403D6">
            <w:pPr>
              <w:rPr>
                <w:lang w:eastAsia="en-GB"/>
              </w:rPr>
            </w:pPr>
            <w:r w:rsidRPr="00F10391">
              <w:rPr>
                <w:lang w:eastAsia="en-GB"/>
              </w:rPr>
              <w:t>ISI Web</w:t>
            </w:r>
          </w:p>
        </w:tc>
        <w:tc>
          <w:tcPr>
            <w:tcW w:w="794" w:type="dxa"/>
            <w:tcBorders>
              <w:top w:val="nil"/>
              <w:left w:val="nil"/>
              <w:bottom w:val="single" w:sz="4" w:space="0" w:color="auto"/>
              <w:right w:val="single" w:sz="4" w:space="0" w:color="auto"/>
            </w:tcBorders>
            <w:shd w:val="clear" w:color="auto" w:fill="auto"/>
            <w:noWrap/>
            <w:vAlign w:val="center"/>
            <w:hideMark/>
          </w:tcPr>
          <w:p w14:paraId="2122B8ED" w14:textId="77777777" w:rsidR="00E403D6" w:rsidRPr="00F10391" w:rsidRDefault="00E403D6">
            <w:pPr>
              <w:rPr>
                <w:lang w:eastAsia="en-GB"/>
              </w:rPr>
            </w:pPr>
            <w:r w:rsidRPr="00F10391">
              <w:rPr>
                <w:lang w:eastAsia="en-GB"/>
              </w:rPr>
              <w:t> </w:t>
            </w:r>
          </w:p>
        </w:tc>
        <w:tc>
          <w:tcPr>
            <w:tcW w:w="974" w:type="dxa"/>
            <w:tcBorders>
              <w:top w:val="nil"/>
              <w:left w:val="nil"/>
              <w:bottom w:val="single" w:sz="4" w:space="0" w:color="auto"/>
              <w:right w:val="single" w:sz="4" w:space="0" w:color="auto"/>
            </w:tcBorders>
            <w:shd w:val="clear" w:color="auto" w:fill="auto"/>
            <w:noWrap/>
            <w:vAlign w:val="center"/>
            <w:hideMark/>
          </w:tcPr>
          <w:p w14:paraId="4C1D2D18"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1657D91F" w14:textId="77777777" w:rsidR="00E403D6" w:rsidRPr="00F10391" w:rsidRDefault="00E403D6">
            <w:pPr>
              <w:rPr>
                <w:lang w:eastAsia="en-GB"/>
              </w:rPr>
            </w:pPr>
            <w:r w:rsidRPr="00F10391">
              <w:rPr>
                <w:rFonts w:ascii="Segoe UI Symbol" w:hAnsi="Segoe UI Symbol" w:cs="Segoe UI Symbol"/>
                <w:lang w:eastAsia="en-GB"/>
              </w:rPr>
              <w:t>✓</w:t>
            </w:r>
          </w:p>
        </w:tc>
        <w:tc>
          <w:tcPr>
            <w:tcW w:w="707" w:type="dxa"/>
            <w:tcBorders>
              <w:top w:val="nil"/>
              <w:left w:val="nil"/>
              <w:bottom w:val="single" w:sz="4" w:space="0" w:color="auto"/>
              <w:right w:val="single" w:sz="4" w:space="0" w:color="auto"/>
            </w:tcBorders>
            <w:shd w:val="clear" w:color="auto" w:fill="auto"/>
            <w:noWrap/>
            <w:vAlign w:val="center"/>
            <w:hideMark/>
          </w:tcPr>
          <w:p w14:paraId="43314737" w14:textId="77777777" w:rsidR="00E403D6" w:rsidRPr="00F10391" w:rsidRDefault="00E403D6">
            <w:pPr>
              <w:rPr>
                <w:lang w:eastAsia="en-GB"/>
              </w:rPr>
            </w:pPr>
            <w:r w:rsidRPr="00F10391">
              <w:rPr>
                <w:rFonts w:ascii="Segoe UI Symbol" w:hAnsi="Segoe UI Symbol" w:cs="Segoe UI Symbol"/>
                <w:lang w:eastAsia="en-GB"/>
              </w:rPr>
              <w:t>✓</w:t>
            </w:r>
          </w:p>
        </w:tc>
        <w:tc>
          <w:tcPr>
            <w:tcW w:w="794" w:type="dxa"/>
            <w:tcBorders>
              <w:top w:val="nil"/>
              <w:left w:val="nil"/>
              <w:bottom w:val="single" w:sz="4" w:space="0" w:color="auto"/>
              <w:right w:val="single" w:sz="4" w:space="0" w:color="auto"/>
            </w:tcBorders>
            <w:shd w:val="clear" w:color="auto" w:fill="auto"/>
            <w:noWrap/>
            <w:vAlign w:val="center"/>
            <w:hideMark/>
          </w:tcPr>
          <w:p w14:paraId="5485D15C" w14:textId="77777777" w:rsidR="00E403D6" w:rsidRPr="00F10391" w:rsidRDefault="00E403D6">
            <w:pPr>
              <w:rPr>
                <w:lang w:eastAsia="en-GB"/>
              </w:rPr>
            </w:pPr>
            <w:r w:rsidRPr="00F10391">
              <w:rPr>
                <w:rFonts w:ascii="Segoe UI Symbol" w:hAnsi="Segoe UI Symbol" w:cs="Segoe UI Symbol"/>
                <w:lang w:eastAsia="en-GB"/>
              </w:rPr>
              <w:t>✓</w:t>
            </w:r>
          </w:p>
        </w:tc>
        <w:tc>
          <w:tcPr>
            <w:tcW w:w="795" w:type="dxa"/>
            <w:tcBorders>
              <w:top w:val="nil"/>
              <w:left w:val="nil"/>
              <w:bottom w:val="single" w:sz="4" w:space="0" w:color="auto"/>
              <w:right w:val="single" w:sz="4" w:space="0" w:color="auto"/>
            </w:tcBorders>
            <w:shd w:val="clear" w:color="auto" w:fill="auto"/>
            <w:noWrap/>
            <w:vAlign w:val="center"/>
            <w:hideMark/>
          </w:tcPr>
          <w:p w14:paraId="2CBDA218" w14:textId="77777777" w:rsidR="00E403D6" w:rsidRPr="00F10391" w:rsidRDefault="00E403D6">
            <w:pPr>
              <w:rPr>
                <w:lang w:eastAsia="en-GB"/>
              </w:rPr>
            </w:pPr>
            <w:r w:rsidRPr="00F10391">
              <w:rPr>
                <w:rFonts w:ascii="Segoe UI Symbol" w:hAnsi="Segoe UI Symbol" w:cs="Segoe UI Symbol"/>
                <w:lang w:eastAsia="en-GB"/>
              </w:rPr>
              <w:t>✓</w:t>
            </w:r>
          </w:p>
        </w:tc>
      </w:tr>
    </w:tbl>
    <w:p w14:paraId="609FBA75" w14:textId="77777777" w:rsidR="00E403D6" w:rsidRPr="00F10391" w:rsidRDefault="00E403D6" w:rsidP="00494A9A">
      <w:pPr>
        <w:sectPr w:rsidR="00E403D6" w:rsidRPr="00F10391" w:rsidSect="00C333BF">
          <w:pgSz w:w="16838" w:h="11906" w:orient="landscape" w:code="9"/>
          <w:pgMar w:top="1440" w:right="1440" w:bottom="1440" w:left="1440" w:header="708" w:footer="708" w:gutter="0"/>
          <w:cols w:space="708"/>
          <w:docGrid w:linePitch="360"/>
        </w:sectPr>
      </w:pPr>
    </w:p>
    <w:p w14:paraId="6AC0F52B" w14:textId="77777777" w:rsidR="00D22CE3" w:rsidRPr="00F10391" w:rsidRDefault="00D22CE3" w:rsidP="0063065F">
      <w:pPr>
        <w:rPr>
          <w:sz w:val="28"/>
          <w:szCs w:val="28"/>
        </w:rPr>
      </w:pPr>
      <w:bookmarkStart w:id="893" w:name="_Toc313187911"/>
      <w:bookmarkStart w:id="894" w:name="_Toc313619482"/>
      <w:r w:rsidRPr="00F10391">
        <w:br w:type="page"/>
      </w:r>
    </w:p>
    <w:p w14:paraId="078A5B3A" w14:textId="05C0FB8C" w:rsidR="00E403D6" w:rsidRPr="00F10391" w:rsidRDefault="00E403D6" w:rsidP="00494A9A">
      <w:pPr>
        <w:pStyle w:val="Heading2"/>
      </w:pPr>
      <w:bookmarkStart w:id="895" w:name="_Toc453595571"/>
      <w:bookmarkStart w:id="896" w:name="_Toc476241670"/>
      <w:r w:rsidRPr="00F10391">
        <w:t xml:space="preserve">Appendix </w:t>
      </w:r>
      <w:r w:rsidR="00D22CE3" w:rsidRPr="00F10391">
        <w:t>C</w:t>
      </w:r>
      <w:r w:rsidRPr="00F10391">
        <w:t>: Complete list of papers found in revised 2014 search</w:t>
      </w:r>
      <w:bookmarkEnd w:id="893"/>
      <w:bookmarkEnd w:id="894"/>
      <w:bookmarkEnd w:id="895"/>
      <w:bookmarkEnd w:id="896"/>
    </w:p>
    <w:p w14:paraId="61DA630F" w14:textId="77777777" w:rsidR="00E403D6" w:rsidRPr="00F10391" w:rsidRDefault="00E403D6" w:rsidP="00F51F18"/>
    <w:tbl>
      <w:tblPr>
        <w:tblW w:w="14742" w:type="dxa"/>
        <w:tblLayout w:type="fixed"/>
        <w:tblLook w:val="04A0" w:firstRow="1" w:lastRow="0" w:firstColumn="1" w:lastColumn="0" w:noHBand="0" w:noVBand="1"/>
      </w:tblPr>
      <w:tblGrid>
        <w:gridCol w:w="932"/>
        <w:gridCol w:w="2720"/>
        <w:gridCol w:w="1985"/>
        <w:gridCol w:w="2078"/>
        <w:gridCol w:w="862"/>
        <w:gridCol w:w="940"/>
        <w:gridCol w:w="848"/>
        <w:gridCol w:w="840"/>
        <w:gridCol w:w="840"/>
        <w:gridCol w:w="840"/>
        <w:gridCol w:w="972"/>
        <w:gridCol w:w="885"/>
      </w:tblGrid>
      <w:tr w:rsidR="00E403D6" w:rsidRPr="00F10391" w14:paraId="767882C1" w14:textId="77777777" w:rsidTr="00D4610F">
        <w:trPr>
          <w:tblHeader/>
        </w:trPr>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72FFC" w14:textId="77777777" w:rsidR="00E403D6" w:rsidRPr="00F10391" w:rsidRDefault="00E403D6" w:rsidP="0063065F">
            <w:pPr>
              <w:jc w:val="left"/>
            </w:pPr>
            <w:r w:rsidRPr="00F10391">
              <w:t>Pub date</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14:paraId="1E98A1DA" w14:textId="77777777" w:rsidR="00E403D6" w:rsidRPr="00F10391" w:rsidRDefault="00E403D6" w:rsidP="0063065F">
            <w:pPr>
              <w:jc w:val="left"/>
            </w:pPr>
            <w:r w:rsidRPr="00F10391">
              <w:t>Title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085F0B9" w14:textId="77777777" w:rsidR="00E403D6" w:rsidRPr="00F10391" w:rsidRDefault="00E403D6" w:rsidP="0063065F">
            <w:pPr>
              <w:jc w:val="left"/>
            </w:pPr>
            <w:r w:rsidRPr="00F10391">
              <w:t>Authors</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0D70E2D2" w14:textId="77777777" w:rsidR="00E403D6" w:rsidRPr="00F10391" w:rsidRDefault="00E403D6" w:rsidP="0063065F">
            <w:pPr>
              <w:jc w:val="left"/>
            </w:pPr>
            <w:r w:rsidRPr="00F10391">
              <w:t>Reference</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3EBA3E33" w14:textId="77777777" w:rsidR="00E403D6" w:rsidRPr="00F10391" w:rsidRDefault="00E403D6" w:rsidP="0063065F">
            <w:pPr>
              <w:jc w:val="left"/>
            </w:pPr>
            <w:r w:rsidRPr="00F10391">
              <w:t>Source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9F0EEF1" w14:textId="77777777" w:rsidR="00E403D6" w:rsidRPr="00F10391" w:rsidRDefault="00E403D6">
            <w:r w:rsidRPr="00F10391">
              <w:t>Duplicate</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7B0B40CE" w14:textId="77777777" w:rsidR="00E403D6" w:rsidRPr="00F10391" w:rsidRDefault="00E403D6">
            <w:r w:rsidRPr="00F10391">
              <w:t>Could be located (incl. in English)</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9C213F2" w14:textId="77777777" w:rsidR="00E403D6" w:rsidRPr="00F10391" w:rsidRDefault="00E403D6">
            <w:r w:rsidRPr="00F10391">
              <w:t>Incl. after title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5842786" w14:textId="77777777" w:rsidR="00E403D6" w:rsidRPr="00F10391" w:rsidRDefault="00E403D6">
            <w:r w:rsidRPr="00F10391">
              <w:t>Incl. after abs.</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59ECF5DA" w14:textId="77777777" w:rsidR="00E403D6" w:rsidRPr="00F10391" w:rsidRDefault="00E403D6">
            <w:r w:rsidRPr="00F10391">
              <w:t>Incl. after full text</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2A0928B" w14:textId="77777777" w:rsidR="00E403D6" w:rsidRPr="00F10391" w:rsidRDefault="00E403D6">
            <w:r w:rsidRPr="00F10391">
              <w:t>Accepted and published since 2011</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1522E359" w14:textId="77777777" w:rsidR="00E403D6" w:rsidRPr="00F10391" w:rsidRDefault="00E403D6">
            <w:r w:rsidRPr="00F10391">
              <w:t>Found in previous search?</w:t>
            </w:r>
          </w:p>
        </w:tc>
      </w:tr>
      <w:tr w:rsidR="00E403D6" w:rsidRPr="00F10391" w14:paraId="5770186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83D1383" w14:textId="77777777" w:rsidR="00E403D6" w:rsidRPr="00F10391" w:rsidRDefault="00E403D6" w:rsidP="0063065F">
            <w:pPr>
              <w:jc w:val="left"/>
            </w:pPr>
            <w:r w:rsidRPr="00F10391">
              <w:t>01/01/82</w:t>
            </w:r>
          </w:p>
        </w:tc>
        <w:tc>
          <w:tcPr>
            <w:tcW w:w="2720" w:type="dxa"/>
            <w:tcBorders>
              <w:top w:val="nil"/>
              <w:left w:val="nil"/>
              <w:bottom w:val="single" w:sz="4" w:space="0" w:color="auto"/>
              <w:right w:val="single" w:sz="4" w:space="0" w:color="auto"/>
            </w:tcBorders>
            <w:shd w:val="clear" w:color="auto" w:fill="auto"/>
            <w:vAlign w:val="center"/>
            <w:hideMark/>
          </w:tcPr>
          <w:p w14:paraId="2A22438F" w14:textId="77777777" w:rsidR="00E403D6" w:rsidRPr="00F10391" w:rsidRDefault="00E403D6" w:rsidP="0063065F">
            <w:pPr>
              <w:jc w:val="left"/>
            </w:pPr>
            <w:r w:rsidRPr="00F10391">
              <w:t>A Multicriteria Tool For The Analysis Of Health Status Indicators Of A Population. Application To The Elaboration Of A Typology For The Use Of Health Indicators</w:t>
            </w:r>
          </w:p>
        </w:tc>
        <w:tc>
          <w:tcPr>
            <w:tcW w:w="1985" w:type="dxa"/>
            <w:tcBorders>
              <w:top w:val="nil"/>
              <w:left w:val="nil"/>
              <w:bottom w:val="single" w:sz="4" w:space="0" w:color="auto"/>
              <w:right w:val="single" w:sz="4" w:space="0" w:color="auto"/>
            </w:tcBorders>
            <w:shd w:val="clear" w:color="auto" w:fill="auto"/>
            <w:vAlign w:val="center"/>
            <w:hideMark/>
          </w:tcPr>
          <w:p w14:paraId="7F869CE9" w14:textId="77777777" w:rsidR="00E403D6" w:rsidRPr="00F10391" w:rsidRDefault="00E403D6" w:rsidP="0063065F">
            <w:pPr>
              <w:jc w:val="left"/>
            </w:pPr>
            <w:r w:rsidRPr="00F10391">
              <w:t>Dab W, Goldberg M, Thebaud A, Gremy F.</w:t>
            </w:r>
          </w:p>
        </w:tc>
        <w:tc>
          <w:tcPr>
            <w:tcW w:w="2078" w:type="dxa"/>
            <w:tcBorders>
              <w:top w:val="nil"/>
              <w:left w:val="nil"/>
              <w:bottom w:val="single" w:sz="4" w:space="0" w:color="auto"/>
              <w:right w:val="single" w:sz="4" w:space="0" w:color="auto"/>
            </w:tcBorders>
            <w:shd w:val="clear" w:color="auto" w:fill="auto"/>
            <w:vAlign w:val="center"/>
            <w:hideMark/>
          </w:tcPr>
          <w:p w14:paraId="6A3EA049" w14:textId="77777777" w:rsidR="00E403D6" w:rsidRPr="005D7324" w:rsidRDefault="00E403D6" w:rsidP="0063065F">
            <w:pPr>
              <w:jc w:val="left"/>
            </w:pPr>
            <w:r w:rsidRPr="005D7324">
              <w:t xml:space="preserve">Rev Epidemiol Sante Publique. 1982;30(3):325-42. French. </w:t>
            </w:r>
          </w:p>
        </w:tc>
        <w:tc>
          <w:tcPr>
            <w:tcW w:w="862" w:type="dxa"/>
            <w:tcBorders>
              <w:top w:val="nil"/>
              <w:left w:val="nil"/>
              <w:bottom w:val="single" w:sz="4" w:space="0" w:color="auto"/>
              <w:right w:val="single" w:sz="4" w:space="0" w:color="auto"/>
            </w:tcBorders>
            <w:shd w:val="clear" w:color="auto" w:fill="auto"/>
            <w:noWrap/>
            <w:vAlign w:val="center"/>
            <w:hideMark/>
          </w:tcPr>
          <w:p w14:paraId="7F98044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5E9305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F0994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235158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988BD7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DD9E9E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BEE409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E31CC1B" w14:textId="77777777" w:rsidR="00E403D6" w:rsidRPr="00F10391" w:rsidRDefault="00E403D6">
            <w:r w:rsidRPr="00F10391">
              <w:t>Not found</w:t>
            </w:r>
          </w:p>
        </w:tc>
      </w:tr>
      <w:tr w:rsidR="00E403D6" w:rsidRPr="00F10391" w14:paraId="3F3096C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265E7BE" w14:textId="77777777" w:rsidR="00E403D6" w:rsidRPr="00F10391" w:rsidRDefault="00E403D6" w:rsidP="0063065F">
            <w:pPr>
              <w:jc w:val="left"/>
            </w:pPr>
            <w:r w:rsidRPr="00F10391">
              <w:t>15/12/83</w:t>
            </w:r>
          </w:p>
        </w:tc>
        <w:tc>
          <w:tcPr>
            <w:tcW w:w="2720" w:type="dxa"/>
            <w:tcBorders>
              <w:top w:val="nil"/>
              <w:left w:val="nil"/>
              <w:bottom w:val="single" w:sz="4" w:space="0" w:color="auto"/>
              <w:right w:val="single" w:sz="4" w:space="0" w:color="auto"/>
            </w:tcBorders>
            <w:shd w:val="clear" w:color="auto" w:fill="auto"/>
            <w:vAlign w:val="center"/>
            <w:hideMark/>
          </w:tcPr>
          <w:p w14:paraId="1A7804D8" w14:textId="77777777" w:rsidR="00E403D6" w:rsidRPr="00F10391" w:rsidRDefault="00E403D6" w:rsidP="0063065F">
            <w:pPr>
              <w:jc w:val="left"/>
            </w:pPr>
            <w:r w:rsidRPr="00F10391">
              <w:t>A Computer Based Decision-Making Model For Poultry Inspection.</w:t>
            </w:r>
          </w:p>
        </w:tc>
        <w:tc>
          <w:tcPr>
            <w:tcW w:w="1985" w:type="dxa"/>
            <w:tcBorders>
              <w:top w:val="nil"/>
              <w:left w:val="nil"/>
              <w:bottom w:val="single" w:sz="4" w:space="0" w:color="auto"/>
              <w:right w:val="single" w:sz="4" w:space="0" w:color="auto"/>
            </w:tcBorders>
            <w:shd w:val="clear" w:color="auto" w:fill="auto"/>
            <w:vAlign w:val="center"/>
            <w:hideMark/>
          </w:tcPr>
          <w:p w14:paraId="095E9B61" w14:textId="77777777" w:rsidR="00E403D6" w:rsidRPr="00F10391" w:rsidRDefault="00E403D6" w:rsidP="0063065F">
            <w:pPr>
              <w:jc w:val="left"/>
            </w:pPr>
            <w:r w:rsidRPr="00F10391">
              <w:t>Habtemariam T, Cho Y.</w:t>
            </w:r>
          </w:p>
        </w:tc>
        <w:tc>
          <w:tcPr>
            <w:tcW w:w="2078" w:type="dxa"/>
            <w:tcBorders>
              <w:top w:val="nil"/>
              <w:left w:val="nil"/>
              <w:bottom w:val="single" w:sz="4" w:space="0" w:color="auto"/>
              <w:right w:val="single" w:sz="4" w:space="0" w:color="auto"/>
            </w:tcBorders>
            <w:shd w:val="clear" w:color="auto" w:fill="auto"/>
            <w:vAlign w:val="center"/>
            <w:hideMark/>
          </w:tcPr>
          <w:p w14:paraId="0D7B989B" w14:textId="77777777" w:rsidR="00E403D6" w:rsidRPr="00F10391" w:rsidRDefault="00E403D6" w:rsidP="0063065F">
            <w:pPr>
              <w:jc w:val="left"/>
            </w:pPr>
            <w:r w:rsidRPr="00F10391">
              <w:t>J Am Vet Med Assoc. 1983 Dec 15;183(12):1440-6.</w:t>
            </w:r>
          </w:p>
        </w:tc>
        <w:tc>
          <w:tcPr>
            <w:tcW w:w="862" w:type="dxa"/>
            <w:tcBorders>
              <w:top w:val="nil"/>
              <w:left w:val="nil"/>
              <w:bottom w:val="single" w:sz="4" w:space="0" w:color="auto"/>
              <w:right w:val="single" w:sz="4" w:space="0" w:color="auto"/>
            </w:tcBorders>
            <w:shd w:val="clear" w:color="auto" w:fill="auto"/>
            <w:noWrap/>
            <w:vAlign w:val="center"/>
            <w:hideMark/>
          </w:tcPr>
          <w:p w14:paraId="599A26E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9D37FC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1D8D10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D8B39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6DA55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A6C77A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E384B3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0A96FBE" w14:textId="77777777" w:rsidR="00E403D6" w:rsidRPr="00F10391" w:rsidRDefault="00E403D6">
            <w:r w:rsidRPr="00F10391">
              <w:t>Not found</w:t>
            </w:r>
          </w:p>
        </w:tc>
      </w:tr>
      <w:tr w:rsidR="00E403D6" w:rsidRPr="00F10391" w14:paraId="3435D29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6161AF4" w14:textId="77777777" w:rsidR="00E403D6" w:rsidRPr="00F10391" w:rsidRDefault="00E403D6" w:rsidP="0063065F">
            <w:pPr>
              <w:jc w:val="left"/>
            </w:pPr>
            <w:r w:rsidRPr="00F10391">
              <w:t>12/06/89</w:t>
            </w:r>
          </w:p>
        </w:tc>
        <w:tc>
          <w:tcPr>
            <w:tcW w:w="2720" w:type="dxa"/>
            <w:tcBorders>
              <w:top w:val="nil"/>
              <w:left w:val="nil"/>
              <w:bottom w:val="single" w:sz="4" w:space="0" w:color="auto"/>
              <w:right w:val="single" w:sz="4" w:space="0" w:color="auto"/>
            </w:tcBorders>
            <w:shd w:val="clear" w:color="auto" w:fill="auto"/>
            <w:vAlign w:val="center"/>
            <w:hideMark/>
          </w:tcPr>
          <w:p w14:paraId="5914CC5E" w14:textId="77777777" w:rsidR="00E403D6" w:rsidRPr="00F10391" w:rsidRDefault="00E403D6" w:rsidP="0063065F">
            <w:pPr>
              <w:jc w:val="left"/>
            </w:pPr>
            <w:r w:rsidRPr="00F10391">
              <w:t>Incentives, Mcdm, And Environmental-Protection</w:t>
            </w:r>
          </w:p>
        </w:tc>
        <w:tc>
          <w:tcPr>
            <w:tcW w:w="1985" w:type="dxa"/>
            <w:tcBorders>
              <w:top w:val="nil"/>
              <w:left w:val="nil"/>
              <w:bottom w:val="single" w:sz="4" w:space="0" w:color="auto"/>
              <w:right w:val="single" w:sz="4" w:space="0" w:color="auto"/>
            </w:tcBorders>
            <w:shd w:val="clear" w:color="auto" w:fill="auto"/>
            <w:vAlign w:val="center"/>
            <w:hideMark/>
          </w:tcPr>
          <w:p w14:paraId="0DF1282A" w14:textId="77777777" w:rsidR="00E403D6" w:rsidRPr="00F10391" w:rsidRDefault="00E403D6" w:rsidP="0063065F">
            <w:pPr>
              <w:jc w:val="left"/>
            </w:pPr>
            <w:r w:rsidRPr="00F10391">
              <w:t>Nagel, S; Nagel, R</w:t>
            </w:r>
          </w:p>
        </w:tc>
        <w:tc>
          <w:tcPr>
            <w:tcW w:w="2078" w:type="dxa"/>
            <w:tcBorders>
              <w:top w:val="nil"/>
              <w:left w:val="nil"/>
              <w:bottom w:val="single" w:sz="4" w:space="0" w:color="auto"/>
              <w:right w:val="single" w:sz="4" w:space="0" w:color="auto"/>
            </w:tcBorders>
            <w:shd w:val="clear" w:color="auto" w:fill="auto"/>
            <w:vAlign w:val="center"/>
            <w:hideMark/>
          </w:tcPr>
          <w:p w14:paraId="779E89F4" w14:textId="77777777" w:rsidR="00E403D6" w:rsidRPr="00F10391" w:rsidRDefault="00E403D6" w:rsidP="0063065F">
            <w:pPr>
              <w:jc w:val="left"/>
            </w:pPr>
            <w:r w:rsidRPr="00F10391">
              <w:t>Journal Of Environmental Systems. 1989;19(1):25-32</w:t>
            </w:r>
          </w:p>
        </w:tc>
        <w:tc>
          <w:tcPr>
            <w:tcW w:w="862" w:type="dxa"/>
            <w:tcBorders>
              <w:top w:val="nil"/>
              <w:left w:val="nil"/>
              <w:bottom w:val="single" w:sz="4" w:space="0" w:color="auto"/>
              <w:right w:val="single" w:sz="4" w:space="0" w:color="auto"/>
            </w:tcBorders>
            <w:shd w:val="clear" w:color="auto" w:fill="auto"/>
            <w:noWrap/>
            <w:vAlign w:val="center"/>
            <w:hideMark/>
          </w:tcPr>
          <w:p w14:paraId="181F466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2DCEBD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05115D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C088F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52653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E0286F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20169B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B422942" w14:textId="77777777" w:rsidR="00E403D6" w:rsidRPr="00F10391" w:rsidRDefault="00E403D6">
            <w:r w:rsidRPr="00F10391">
              <w:t>Excluded</w:t>
            </w:r>
          </w:p>
        </w:tc>
      </w:tr>
      <w:tr w:rsidR="00E403D6" w:rsidRPr="00F10391" w14:paraId="26C455F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FDDEB2A" w14:textId="77777777" w:rsidR="00E403D6" w:rsidRPr="00F10391" w:rsidRDefault="00E403D6" w:rsidP="0063065F">
            <w:pPr>
              <w:jc w:val="left"/>
            </w:pPr>
            <w:r w:rsidRPr="00F10391">
              <w:t>01/11/90</w:t>
            </w:r>
          </w:p>
        </w:tc>
        <w:tc>
          <w:tcPr>
            <w:tcW w:w="2720" w:type="dxa"/>
            <w:tcBorders>
              <w:top w:val="nil"/>
              <w:left w:val="nil"/>
              <w:bottom w:val="single" w:sz="4" w:space="0" w:color="auto"/>
              <w:right w:val="single" w:sz="4" w:space="0" w:color="auto"/>
            </w:tcBorders>
            <w:shd w:val="clear" w:color="auto" w:fill="auto"/>
            <w:vAlign w:val="center"/>
            <w:hideMark/>
          </w:tcPr>
          <w:p w14:paraId="4F937616" w14:textId="77777777" w:rsidR="00E403D6" w:rsidRPr="00F10391" w:rsidRDefault="00E403D6" w:rsidP="0063065F">
            <w:pPr>
              <w:jc w:val="left"/>
            </w:pPr>
            <w:r w:rsidRPr="00F10391">
              <w:t>Political And Ethical Implications Of Using Quality Of Life As An Outcome Measure.</w:t>
            </w:r>
          </w:p>
        </w:tc>
        <w:tc>
          <w:tcPr>
            <w:tcW w:w="1985" w:type="dxa"/>
            <w:tcBorders>
              <w:top w:val="nil"/>
              <w:left w:val="nil"/>
              <w:bottom w:val="single" w:sz="4" w:space="0" w:color="auto"/>
              <w:right w:val="single" w:sz="4" w:space="0" w:color="auto"/>
            </w:tcBorders>
            <w:shd w:val="clear" w:color="auto" w:fill="auto"/>
            <w:vAlign w:val="center"/>
            <w:hideMark/>
          </w:tcPr>
          <w:p w14:paraId="6725FCF0" w14:textId="77777777" w:rsidR="00E403D6" w:rsidRPr="00F10391" w:rsidRDefault="00E403D6" w:rsidP="0063065F">
            <w:pPr>
              <w:jc w:val="left"/>
            </w:pPr>
            <w:r w:rsidRPr="00F10391">
              <w:t>Dean He.</w:t>
            </w:r>
          </w:p>
        </w:tc>
        <w:tc>
          <w:tcPr>
            <w:tcW w:w="2078" w:type="dxa"/>
            <w:tcBorders>
              <w:top w:val="nil"/>
              <w:left w:val="nil"/>
              <w:bottom w:val="single" w:sz="4" w:space="0" w:color="auto"/>
              <w:right w:val="single" w:sz="4" w:space="0" w:color="auto"/>
            </w:tcBorders>
            <w:shd w:val="clear" w:color="auto" w:fill="auto"/>
            <w:vAlign w:val="center"/>
            <w:hideMark/>
          </w:tcPr>
          <w:p w14:paraId="37655FF3" w14:textId="77777777" w:rsidR="00E403D6" w:rsidRPr="00F10391" w:rsidRDefault="00E403D6" w:rsidP="0063065F">
            <w:pPr>
              <w:jc w:val="left"/>
            </w:pPr>
            <w:r w:rsidRPr="00F10391">
              <w:t>Semin Oncol Nurs. 1990 Nov;6(4):303-8.</w:t>
            </w:r>
          </w:p>
        </w:tc>
        <w:tc>
          <w:tcPr>
            <w:tcW w:w="862" w:type="dxa"/>
            <w:tcBorders>
              <w:top w:val="nil"/>
              <w:left w:val="nil"/>
              <w:bottom w:val="single" w:sz="4" w:space="0" w:color="auto"/>
              <w:right w:val="single" w:sz="4" w:space="0" w:color="auto"/>
            </w:tcBorders>
            <w:shd w:val="clear" w:color="auto" w:fill="auto"/>
            <w:noWrap/>
            <w:vAlign w:val="center"/>
            <w:hideMark/>
          </w:tcPr>
          <w:p w14:paraId="471EC22C"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20BE41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D3ABCA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63E1C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DA80D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8D8C4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D4A4C6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6625E31" w14:textId="77777777" w:rsidR="00E403D6" w:rsidRPr="00F10391" w:rsidRDefault="00E403D6">
            <w:r w:rsidRPr="00F10391">
              <w:t>Not found</w:t>
            </w:r>
          </w:p>
        </w:tc>
      </w:tr>
      <w:tr w:rsidR="00E403D6" w:rsidRPr="00F10391" w14:paraId="1EAF0F4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523C318" w14:textId="77777777" w:rsidR="00E403D6" w:rsidRPr="00F10391" w:rsidRDefault="00E403D6" w:rsidP="0063065F">
            <w:pPr>
              <w:jc w:val="left"/>
            </w:pPr>
            <w:r w:rsidRPr="00F10391">
              <w:t>01/10/92</w:t>
            </w:r>
          </w:p>
        </w:tc>
        <w:tc>
          <w:tcPr>
            <w:tcW w:w="2720" w:type="dxa"/>
            <w:tcBorders>
              <w:top w:val="nil"/>
              <w:left w:val="nil"/>
              <w:bottom w:val="single" w:sz="4" w:space="0" w:color="auto"/>
              <w:right w:val="single" w:sz="4" w:space="0" w:color="auto"/>
            </w:tcBorders>
            <w:shd w:val="clear" w:color="auto" w:fill="auto"/>
            <w:vAlign w:val="center"/>
            <w:hideMark/>
          </w:tcPr>
          <w:p w14:paraId="5800570B" w14:textId="77777777" w:rsidR="00E403D6" w:rsidRPr="00F10391" w:rsidRDefault="00E403D6" w:rsidP="0063065F">
            <w:pPr>
              <w:jc w:val="left"/>
            </w:pPr>
            <w:r w:rsidRPr="00F10391">
              <w:t>General Practice In Gloucestershire, Avon And Somerset: Explaining Variations In Standards.</w:t>
            </w:r>
          </w:p>
        </w:tc>
        <w:tc>
          <w:tcPr>
            <w:tcW w:w="1985" w:type="dxa"/>
            <w:tcBorders>
              <w:top w:val="nil"/>
              <w:left w:val="nil"/>
              <w:bottom w:val="single" w:sz="4" w:space="0" w:color="auto"/>
              <w:right w:val="single" w:sz="4" w:space="0" w:color="auto"/>
            </w:tcBorders>
            <w:shd w:val="clear" w:color="auto" w:fill="auto"/>
            <w:vAlign w:val="center"/>
            <w:hideMark/>
          </w:tcPr>
          <w:p w14:paraId="20182D58" w14:textId="77777777" w:rsidR="00E403D6" w:rsidRPr="00F10391" w:rsidRDefault="00E403D6" w:rsidP="0063065F">
            <w:pPr>
              <w:jc w:val="left"/>
            </w:pPr>
            <w:r w:rsidRPr="00F10391">
              <w:t>Baker R.</w:t>
            </w:r>
          </w:p>
        </w:tc>
        <w:tc>
          <w:tcPr>
            <w:tcW w:w="2078" w:type="dxa"/>
            <w:tcBorders>
              <w:top w:val="nil"/>
              <w:left w:val="nil"/>
              <w:bottom w:val="single" w:sz="4" w:space="0" w:color="auto"/>
              <w:right w:val="single" w:sz="4" w:space="0" w:color="auto"/>
            </w:tcBorders>
            <w:shd w:val="clear" w:color="auto" w:fill="auto"/>
            <w:vAlign w:val="center"/>
            <w:hideMark/>
          </w:tcPr>
          <w:p w14:paraId="5A905578" w14:textId="77777777" w:rsidR="00E403D6" w:rsidRPr="00F10391" w:rsidRDefault="00E403D6" w:rsidP="0063065F">
            <w:pPr>
              <w:jc w:val="left"/>
            </w:pPr>
            <w:r w:rsidRPr="00F10391">
              <w:t>Br J Gen Pract. 1992 Oct;42(363):415-8.</w:t>
            </w:r>
          </w:p>
        </w:tc>
        <w:tc>
          <w:tcPr>
            <w:tcW w:w="862" w:type="dxa"/>
            <w:tcBorders>
              <w:top w:val="nil"/>
              <w:left w:val="nil"/>
              <w:bottom w:val="single" w:sz="4" w:space="0" w:color="auto"/>
              <w:right w:val="single" w:sz="4" w:space="0" w:color="auto"/>
            </w:tcBorders>
            <w:shd w:val="clear" w:color="auto" w:fill="auto"/>
            <w:noWrap/>
            <w:vAlign w:val="center"/>
            <w:hideMark/>
          </w:tcPr>
          <w:p w14:paraId="6E2BC7E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0A053D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1BE1DA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8362E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75573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9E932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A80C47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8FD0B7F" w14:textId="77777777" w:rsidR="00E403D6" w:rsidRPr="00F10391" w:rsidRDefault="00E403D6">
            <w:r w:rsidRPr="00F10391">
              <w:t>Not found</w:t>
            </w:r>
          </w:p>
        </w:tc>
      </w:tr>
      <w:tr w:rsidR="00E403D6" w:rsidRPr="00F10391" w14:paraId="65BD959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EA18A5" w14:textId="77777777" w:rsidR="00E403D6" w:rsidRPr="00F10391" w:rsidRDefault="00E403D6" w:rsidP="0063065F">
            <w:pPr>
              <w:jc w:val="left"/>
            </w:pPr>
            <w:r w:rsidRPr="00F10391">
              <w:t>01/01/94</w:t>
            </w:r>
          </w:p>
        </w:tc>
        <w:tc>
          <w:tcPr>
            <w:tcW w:w="2720" w:type="dxa"/>
            <w:tcBorders>
              <w:top w:val="nil"/>
              <w:left w:val="nil"/>
              <w:bottom w:val="single" w:sz="4" w:space="0" w:color="auto"/>
              <w:right w:val="single" w:sz="4" w:space="0" w:color="auto"/>
            </w:tcBorders>
            <w:shd w:val="clear" w:color="auto" w:fill="auto"/>
            <w:vAlign w:val="center"/>
            <w:hideMark/>
          </w:tcPr>
          <w:p w14:paraId="7BC04376" w14:textId="77777777" w:rsidR="00E403D6" w:rsidRPr="00F10391" w:rsidRDefault="00E403D6" w:rsidP="0063065F">
            <w:pPr>
              <w:jc w:val="left"/>
            </w:pPr>
            <w:r w:rsidRPr="00F10391">
              <w:t>The Bioethics Of Human Fetal Tissue Research And Therapy: Moral Decision Making Of Professionals.</w:t>
            </w:r>
          </w:p>
        </w:tc>
        <w:tc>
          <w:tcPr>
            <w:tcW w:w="1985" w:type="dxa"/>
            <w:tcBorders>
              <w:top w:val="nil"/>
              <w:left w:val="nil"/>
              <w:bottom w:val="single" w:sz="4" w:space="0" w:color="auto"/>
              <w:right w:val="single" w:sz="4" w:space="0" w:color="auto"/>
            </w:tcBorders>
            <w:shd w:val="clear" w:color="auto" w:fill="auto"/>
            <w:vAlign w:val="center"/>
            <w:hideMark/>
          </w:tcPr>
          <w:p w14:paraId="19E8F7B0" w14:textId="77777777" w:rsidR="00E403D6" w:rsidRPr="00F10391" w:rsidRDefault="00E403D6" w:rsidP="0063065F">
            <w:pPr>
              <w:jc w:val="left"/>
            </w:pPr>
            <w:r w:rsidRPr="00F10391">
              <w:t>Cefalo Rc, Berghmans Rl, Hall Sp.</w:t>
            </w:r>
          </w:p>
        </w:tc>
        <w:tc>
          <w:tcPr>
            <w:tcW w:w="2078" w:type="dxa"/>
            <w:tcBorders>
              <w:top w:val="nil"/>
              <w:left w:val="nil"/>
              <w:bottom w:val="single" w:sz="4" w:space="0" w:color="auto"/>
              <w:right w:val="single" w:sz="4" w:space="0" w:color="auto"/>
            </w:tcBorders>
            <w:shd w:val="clear" w:color="auto" w:fill="auto"/>
            <w:vAlign w:val="center"/>
            <w:hideMark/>
          </w:tcPr>
          <w:p w14:paraId="1972CB1E" w14:textId="77777777" w:rsidR="00E403D6" w:rsidRPr="00F10391" w:rsidRDefault="00E403D6" w:rsidP="0063065F">
            <w:pPr>
              <w:jc w:val="left"/>
            </w:pPr>
            <w:r w:rsidRPr="00F10391">
              <w:t>Am J Obstet Gynecol. 1994 Jan;170(1 Pt 1):12-9.</w:t>
            </w:r>
          </w:p>
        </w:tc>
        <w:tc>
          <w:tcPr>
            <w:tcW w:w="862" w:type="dxa"/>
            <w:tcBorders>
              <w:top w:val="nil"/>
              <w:left w:val="nil"/>
              <w:bottom w:val="single" w:sz="4" w:space="0" w:color="auto"/>
              <w:right w:val="single" w:sz="4" w:space="0" w:color="auto"/>
            </w:tcBorders>
            <w:shd w:val="clear" w:color="auto" w:fill="auto"/>
            <w:noWrap/>
            <w:vAlign w:val="center"/>
            <w:hideMark/>
          </w:tcPr>
          <w:p w14:paraId="63E70FD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258ACE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EEE4AC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B6750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B3654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4049C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65C197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64A9186" w14:textId="77777777" w:rsidR="00E403D6" w:rsidRPr="00F10391" w:rsidRDefault="00E403D6">
            <w:r w:rsidRPr="00F10391">
              <w:t>Not found</w:t>
            </w:r>
          </w:p>
        </w:tc>
      </w:tr>
      <w:tr w:rsidR="00E403D6" w:rsidRPr="00F10391" w14:paraId="7B6B6FC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520F935" w14:textId="77777777" w:rsidR="00E403D6" w:rsidRPr="00F10391" w:rsidRDefault="00E403D6" w:rsidP="0063065F">
            <w:pPr>
              <w:jc w:val="left"/>
            </w:pPr>
            <w:r w:rsidRPr="00F10391">
              <w:t>01/12/94</w:t>
            </w:r>
          </w:p>
        </w:tc>
        <w:tc>
          <w:tcPr>
            <w:tcW w:w="2720" w:type="dxa"/>
            <w:tcBorders>
              <w:top w:val="nil"/>
              <w:left w:val="nil"/>
              <w:bottom w:val="single" w:sz="4" w:space="0" w:color="auto"/>
              <w:right w:val="single" w:sz="4" w:space="0" w:color="auto"/>
            </w:tcBorders>
            <w:shd w:val="clear" w:color="auto" w:fill="auto"/>
            <w:vAlign w:val="center"/>
            <w:hideMark/>
          </w:tcPr>
          <w:p w14:paraId="4D052BF0" w14:textId="77777777" w:rsidR="00E403D6" w:rsidRPr="00F10391" w:rsidRDefault="00E403D6" w:rsidP="0063065F">
            <w:pPr>
              <w:jc w:val="left"/>
            </w:pPr>
            <w:r w:rsidRPr="00F10391">
              <w:t>The Use Of Monte Carlo Simulation Techniques To Predict Population Blood Lead Levels.</w:t>
            </w:r>
          </w:p>
        </w:tc>
        <w:tc>
          <w:tcPr>
            <w:tcW w:w="1985" w:type="dxa"/>
            <w:tcBorders>
              <w:top w:val="nil"/>
              <w:left w:val="nil"/>
              <w:bottom w:val="single" w:sz="4" w:space="0" w:color="auto"/>
              <w:right w:val="single" w:sz="4" w:space="0" w:color="auto"/>
            </w:tcBorders>
            <w:shd w:val="clear" w:color="auto" w:fill="auto"/>
            <w:vAlign w:val="center"/>
            <w:hideMark/>
          </w:tcPr>
          <w:p w14:paraId="5A736D2E" w14:textId="77777777" w:rsidR="00E403D6" w:rsidRPr="00F10391" w:rsidRDefault="00E403D6" w:rsidP="0063065F">
            <w:pPr>
              <w:jc w:val="left"/>
            </w:pPr>
            <w:r w:rsidRPr="00F10391">
              <w:t>Cohen Jt.</w:t>
            </w:r>
          </w:p>
        </w:tc>
        <w:tc>
          <w:tcPr>
            <w:tcW w:w="2078" w:type="dxa"/>
            <w:tcBorders>
              <w:top w:val="nil"/>
              <w:left w:val="nil"/>
              <w:bottom w:val="single" w:sz="4" w:space="0" w:color="auto"/>
              <w:right w:val="single" w:sz="4" w:space="0" w:color="auto"/>
            </w:tcBorders>
            <w:shd w:val="clear" w:color="auto" w:fill="auto"/>
            <w:vAlign w:val="center"/>
            <w:hideMark/>
          </w:tcPr>
          <w:p w14:paraId="19305322" w14:textId="77777777" w:rsidR="00E403D6" w:rsidRPr="00F10391" w:rsidRDefault="00E403D6" w:rsidP="0063065F">
            <w:pPr>
              <w:jc w:val="left"/>
            </w:pPr>
            <w:r w:rsidRPr="00F10391">
              <w:t>Environ Geochem Health. 1994 Dec;16(3-4):197-215. Doi: 10.1007/Bf01747916.</w:t>
            </w:r>
          </w:p>
        </w:tc>
        <w:tc>
          <w:tcPr>
            <w:tcW w:w="862" w:type="dxa"/>
            <w:tcBorders>
              <w:top w:val="nil"/>
              <w:left w:val="nil"/>
              <w:bottom w:val="single" w:sz="4" w:space="0" w:color="auto"/>
              <w:right w:val="single" w:sz="4" w:space="0" w:color="auto"/>
            </w:tcBorders>
            <w:shd w:val="clear" w:color="auto" w:fill="auto"/>
            <w:noWrap/>
            <w:vAlign w:val="center"/>
            <w:hideMark/>
          </w:tcPr>
          <w:p w14:paraId="6DF1F58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664FC0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B259D8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D19A0D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B3CD6B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05E63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55D037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5A3337" w14:textId="77777777" w:rsidR="00E403D6" w:rsidRPr="00F10391" w:rsidRDefault="00E403D6">
            <w:r w:rsidRPr="00F10391">
              <w:t>Not found</w:t>
            </w:r>
          </w:p>
        </w:tc>
      </w:tr>
      <w:tr w:rsidR="00E403D6" w:rsidRPr="00F10391" w14:paraId="7EF6EAB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3AB812D"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45878692" w14:textId="77777777" w:rsidR="00E403D6" w:rsidRPr="00F10391" w:rsidRDefault="00E403D6" w:rsidP="0063065F">
            <w:pPr>
              <w:jc w:val="left"/>
            </w:pPr>
            <w:r w:rsidRPr="00F10391">
              <w:t>Clearing The Fog On The Tyne: Programme Budgeting In Newcastle And North Tyneside Health Authority.</w:t>
            </w:r>
          </w:p>
        </w:tc>
        <w:tc>
          <w:tcPr>
            <w:tcW w:w="1985" w:type="dxa"/>
            <w:tcBorders>
              <w:top w:val="nil"/>
              <w:left w:val="nil"/>
              <w:bottom w:val="single" w:sz="4" w:space="0" w:color="auto"/>
              <w:right w:val="single" w:sz="4" w:space="0" w:color="auto"/>
            </w:tcBorders>
            <w:shd w:val="clear" w:color="auto" w:fill="auto"/>
            <w:vAlign w:val="center"/>
            <w:hideMark/>
          </w:tcPr>
          <w:p w14:paraId="7B42661A" w14:textId="77777777" w:rsidR="00E403D6" w:rsidRPr="00F10391" w:rsidRDefault="00E403D6" w:rsidP="0063065F">
            <w:pPr>
              <w:jc w:val="left"/>
            </w:pPr>
            <w:r w:rsidRPr="00F10391">
              <w:t>Craig N, Parkin D, Gerard K.</w:t>
            </w:r>
          </w:p>
        </w:tc>
        <w:tc>
          <w:tcPr>
            <w:tcW w:w="2078" w:type="dxa"/>
            <w:tcBorders>
              <w:top w:val="nil"/>
              <w:left w:val="nil"/>
              <w:bottom w:val="single" w:sz="4" w:space="0" w:color="auto"/>
              <w:right w:val="single" w:sz="4" w:space="0" w:color="auto"/>
            </w:tcBorders>
            <w:shd w:val="clear" w:color="auto" w:fill="auto"/>
            <w:vAlign w:val="center"/>
            <w:hideMark/>
          </w:tcPr>
          <w:p w14:paraId="3D53F632" w14:textId="77777777" w:rsidR="00E403D6" w:rsidRPr="00F10391" w:rsidRDefault="00E403D6" w:rsidP="0063065F">
            <w:pPr>
              <w:jc w:val="left"/>
            </w:pPr>
            <w:r w:rsidRPr="00F10391">
              <w:t>Health Policy. 1995 Aug;33(2):107-25.</w:t>
            </w:r>
          </w:p>
        </w:tc>
        <w:tc>
          <w:tcPr>
            <w:tcW w:w="862" w:type="dxa"/>
            <w:tcBorders>
              <w:top w:val="nil"/>
              <w:left w:val="nil"/>
              <w:bottom w:val="single" w:sz="4" w:space="0" w:color="auto"/>
              <w:right w:val="single" w:sz="4" w:space="0" w:color="auto"/>
            </w:tcBorders>
            <w:shd w:val="clear" w:color="auto" w:fill="auto"/>
            <w:noWrap/>
            <w:vAlign w:val="center"/>
            <w:hideMark/>
          </w:tcPr>
          <w:p w14:paraId="5918B4A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3D7585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765BEA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4EEDF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00C27E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D627B9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62D1B9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B8741E0" w14:textId="77777777" w:rsidR="00E403D6" w:rsidRPr="00F10391" w:rsidRDefault="00E403D6">
            <w:r w:rsidRPr="00F10391">
              <w:t>Not found</w:t>
            </w:r>
          </w:p>
        </w:tc>
      </w:tr>
      <w:tr w:rsidR="00E403D6" w:rsidRPr="00F10391" w14:paraId="22C8CEB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1966A9B"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6284A222" w14:textId="77777777" w:rsidR="00E403D6" w:rsidRPr="00F10391" w:rsidRDefault="00E403D6" w:rsidP="0063065F">
            <w:pPr>
              <w:jc w:val="left"/>
            </w:pPr>
            <w:r w:rsidRPr="00F10391">
              <w:t>Public Health And Economics In Tandem: Programme Budgeting, Marginal Analysis And Priority Setting In Practice.</w:t>
            </w:r>
          </w:p>
        </w:tc>
        <w:tc>
          <w:tcPr>
            <w:tcW w:w="1985" w:type="dxa"/>
            <w:tcBorders>
              <w:top w:val="nil"/>
              <w:left w:val="nil"/>
              <w:bottom w:val="single" w:sz="4" w:space="0" w:color="auto"/>
              <w:right w:val="single" w:sz="4" w:space="0" w:color="auto"/>
            </w:tcBorders>
            <w:shd w:val="clear" w:color="auto" w:fill="auto"/>
            <w:vAlign w:val="center"/>
            <w:hideMark/>
          </w:tcPr>
          <w:p w14:paraId="154CECCA" w14:textId="77777777" w:rsidR="00E403D6" w:rsidRPr="00F10391" w:rsidRDefault="00E403D6" w:rsidP="0063065F">
            <w:pPr>
              <w:jc w:val="left"/>
            </w:pPr>
            <w:r w:rsidRPr="00F10391">
              <w:t>Madden L, Hussey R, Mooney G, Church E.</w:t>
            </w:r>
          </w:p>
        </w:tc>
        <w:tc>
          <w:tcPr>
            <w:tcW w:w="2078" w:type="dxa"/>
            <w:tcBorders>
              <w:top w:val="nil"/>
              <w:left w:val="nil"/>
              <w:bottom w:val="single" w:sz="4" w:space="0" w:color="auto"/>
              <w:right w:val="single" w:sz="4" w:space="0" w:color="auto"/>
            </w:tcBorders>
            <w:shd w:val="clear" w:color="auto" w:fill="auto"/>
            <w:vAlign w:val="center"/>
            <w:hideMark/>
          </w:tcPr>
          <w:p w14:paraId="4324AD37" w14:textId="77777777" w:rsidR="00E403D6" w:rsidRPr="00F10391" w:rsidRDefault="00E403D6" w:rsidP="0063065F">
            <w:pPr>
              <w:jc w:val="left"/>
            </w:pPr>
            <w:r w:rsidRPr="00F10391">
              <w:t>Health Policy. 1995 Aug;33(2):161-8.</w:t>
            </w:r>
          </w:p>
        </w:tc>
        <w:tc>
          <w:tcPr>
            <w:tcW w:w="862" w:type="dxa"/>
            <w:tcBorders>
              <w:top w:val="nil"/>
              <w:left w:val="nil"/>
              <w:bottom w:val="single" w:sz="4" w:space="0" w:color="auto"/>
              <w:right w:val="single" w:sz="4" w:space="0" w:color="auto"/>
            </w:tcBorders>
            <w:shd w:val="clear" w:color="auto" w:fill="auto"/>
            <w:noWrap/>
            <w:vAlign w:val="center"/>
            <w:hideMark/>
          </w:tcPr>
          <w:p w14:paraId="7115FAC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342C8C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41CAF4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B7D8A9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3B95F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F59C1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B7128D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F39ADAE" w14:textId="77777777" w:rsidR="00E403D6" w:rsidRPr="00F10391" w:rsidRDefault="00E403D6">
            <w:r w:rsidRPr="00F10391">
              <w:t>Included</w:t>
            </w:r>
          </w:p>
        </w:tc>
      </w:tr>
      <w:tr w:rsidR="00E403D6" w:rsidRPr="00F10391" w14:paraId="717DFF3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CB02365"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5C4AA165" w14:textId="77777777" w:rsidR="00E403D6" w:rsidRPr="00F10391" w:rsidRDefault="00E403D6" w:rsidP="0063065F">
            <w:pPr>
              <w:jc w:val="left"/>
            </w:pPr>
            <w:r w:rsidRPr="00F10391">
              <w:t>A Survivor's Guide To Programme Budgeting.</w:t>
            </w:r>
          </w:p>
        </w:tc>
        <w:tc>
          <w:tcPr>
            <w:tcW w:w="1985" w:type="dxa"/>
            <w:tcBorders>
              <w:top w:val="nil"/>
              <w:left w:val="nil"/>
              <w:bottom w:val="single" w:sz="4" w:space="0" w:color="auto"/>
              <w:right w:val="single" w:sz="4" w:space="0" w:color="auto"/>
            </w:tcBorders>
            <w:shd w:val="clear" w:color="auto" w:fill="auto"/>
            <w:vAlign w:val="center"/>
            <w:hideMark/>
          </w:tcPr>
          <w:p w14:paraId="361E9960" w14:textId="77777777" w:rsidR="00E403D6" w:rsidRPr="00F10391" w:rsidRDefault="00E403D6" w:rsidP="0063065F">
            <w:pPr>
              <w:jc w:val="left"/>
            </w:pPr>
            <w:r w:rsidRPr="00F10391">
              <w:t>Brambleby P.</w:t>
            </w:r>
          </w:p>
        </w:tc>
        <w:tc>
          <w:tcPr>
            <w:tcW w:w="2078" w:type="dxa"/>
            <w:tcBorders>
              <w:top w:val="nil"/>
              <w:left w:val="nil"/>
              <w:bottom w:val="single" w:sz="4" w:space="0" w:color="auto"/>
              <w:right w:val="single" w:sz="4" w:space="0" w:color="auto"/>
            </w:tcBorders>
            <w:shd w:val="clear" w:color="auto" w:fill="auto"/>
            <w:vAlign w:val="center"/>
            <w:hideMark/>
          </w:tcPr>
          <w:p w14:paraId="4EEED11D" w14:textId="77777777" w:rsidR="00E403D6" w:rsidRPr="00F10391" w:rsidRDefault="00E403D6" w:rsidP="0063065F">
            <w:pPr>
              <w:jc w:val="left"/>
            </w:pPr>
            <w:r w:rsidRPr="00F10391">
              <w:t>Health Policy. 1995 Aug;33(2):127-45.</w:t>
            </w:r>
          </w:p>
        </w:tc>
        <w:tc>
          <w:tcPr>
            <w:tcW w:w="862" w:type="dxa"/>
            <w:tcBorders>
              <w:top w:val="nil"/>
              <w:left w:val="nil"/>
              <w:bottom w:val="single" w:sz="4" w:space="0" w:color="auto"/>
              <w:right w:val="single" w:sz="4" w:space="0" w:color="auto"/>
            </w:tcBorders>
            <w:shd w:val="clear" w:color="auto" w:fill="auto"/>
            <w:noWrap/>
            <w:vAlign w:val="center"/>
            <w:hideMark/>
          </w:tcPr>
          <w:p w14:paraId="3AD92C3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881016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820CA8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076B2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A6682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F731E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841730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1E6E221" w14:textId="77777777" w:rsidR="00E403D6" w:rsidRPr="00F10391" w:rsidRDefault="00E403D6">
            <w:r w:rsidRPr="00F10391">
              <w:t>Not found</w:t>
            </w:r>
          </w:p>
        </w:tc>
      </w:tr>
      <w:tr w:rsidR="00E403D6" w:rsidRPr="00F10391" w14:paraId="0A64D20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9B53BDA"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08C5BD57" w14:textId="77777777" w:rsidR="00E403D6" w:rsidRPr="00F10391" w:rsidRDefault="00E403D6" w:rsidP="0063065F">
            <w:pPr>
              <w:jc w:val="left"/>
            </w:pPr>
            <w:r w:rsidRPr="00F10391">
              <w:t>Messages From Mid Glamorgan: A Multi-Programme Experiment With Marginal Analysis.</w:t>
            </w:r>
          </w:p>
        </w:tc>
        <w:tc>
          <w:tcPr>
            <w:tcW w:w="1985" w:type="dxa"/>
            <w:tcBorders>
              <w:top w:val="nil"/>
              <w:left w:val="nil"/>
              <w:bottom w:val="single" w:sz="4" w:space="0" w:color="auto"/>
              <w:right w:val="single" w:sz="4" w:space="0" w:color="auto"/>
            </w:tcBorders>
            <w:shd w:val="clear" w:color="auto" w:fill="auto"/>
            <w:vAlign w:val="center"/>
            <w:hideMark/>
          </w:tcPr>
          <w:p w14:paraId="24FD6D5A" w14:textId="77777777" w:rsidR="00E403D6" w:rsidRPr="00F10391" w:rsidRDefault="00E403D6" w:rsidP="0063065F">
            <w:pPr>
              <w:jc w:val="left"/>
            </w:pPr>
            <w:r w:rsidRPr="00F10391">
              <w:t>Cohen Dr.</w:t>
            </w:r>
          </w:p>
        </w:tc>
        <w:tc>
          <w:tcPr>
            <w:tcW w:w="2078" w:type="dxa"/>
            <w:tcBorders>
              <w:top w:val="nil"/>
              <w:left w:val="nil"/>
              <w:bottom w:val="single" w:sz="4" w:space="0" w:color="auto"/>
              <w:right w:val="single" w:sz="4" w:space="0" w:color="auto"/>
            </w:tcBorders>
            <w:shd w:val="clear" w:color="auto" w:fill="auto"/>
            <w:vAlign w:val="center"/>
            <w:hideMark/>
          </w:tcPr>
          <w:p w14:paraId="2958D8C2" w14:textId="77777777" w:rsidR="00E403D6" w:rsidRPr="00F10391" w:rsidRDefault="00E403D6" w:rsidP="0063065F">
            <w:pPr>
              <w:jc w:val="left"/>
            </w:pPr>
            <w:r w:rsidRPr="00F10391">
              <w:t>Health Policy. 1995 Aug;33(2):147-55.</w:t>
            </w:r>
          </w:p>
        </w:tc>
        <w:tc>
          <w:tcPr>
            <w:tcW w:w="862" w:type="dxa"/>
            <w:tcBorders>
              <w:top w:val="nil"/>
              <w:left w:val="nil"/>
              <w:bottom w:val="single" w:sz="4" w:space="0" w:color="auto"/>
              <w:right w:val="single" w:sz="4" w:space="0" w:color="auto"/>
            </w:tcBorders>
            <w:shd w:val="clear" w:color="auto" w:fill="auto"/>
            <w:noWrap/>
            <w:vAlign w:val="center"/>
            <w:hideMark/>
          </w:tcPr>
          <w:p w14:paraId="508053C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61A05A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F58B3A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F03C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348DF4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DAA8DA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309C20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8651F0B" w14:textId="77777777" w:rsidR="00E403D6" w:rsidRPr="00F10391" w:rsidRDefault="00E403D6">
            <w:r w:rsidRPr="00F10391">
              <w:t>Not found</w:t>
            </w:r>
          </w:p>
        </w:tc>
      </w:tr>
      <w:tr w:rsidR="00E403D6" w:rsidRPr="00F10391" w14:paraId="7BB5F1D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8DAE329"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60497CB3" w14:textId="77777777" w:rsidR="00E403D6" w:rsidRPr="00F10391" w:rsidRDefault="00E403D6" w:rsidP="0063065F">
            <w:pPr>
              <w:jc w:val="left"/>
            </w:pPr>
            <w:r w:rsidRPr="00F10391">
              <w:t>Economics, Public Health And Health Care Purchasing: Reinventing The Wheel?</w:t>
            </w:r>
          </w:p>
        </w:tc>
        <w:tc>
          <w:tcPr>
            <w:tcW w:w="1985" w:type="dxa"/>
            <w:tcBorders>
              <w:top w:val="nil"/>
              <w:left w:val="nil"/>
              <w:bottom w:val="single" w:sz="4" w:space="0" w:color="auto"/>
              <w:right w:val="single" w:sz="4" w:space="0" w:color="auto"/>
            </w:tcBorders>
            <w:shd w:val="clear" w:color="auto" w:fill="auto"/>
            <w:vAlign w:val="center"/>
            <w:hideMark/>
          </w:tcPr>
          <w:p w14:paraId="7E41D2F0" w14:textId="77777777" w:rsidR="00E403D6" w:rsidRPr="00F10391" w:rsidRDefault="00E403D6" w:rsidP="0063065F">
            <w:pPr>
              <w:jc w:val="left"/>
            </w:pPr>
            <w:r w:rsidRPr="00F10391">
              <w:t>Donaldson C.</w:t>
            </w:r>
          </w:p>
        </w:tc>
        <w:tc>
          <w:tcPr>
            <w:tcW w:w="2078" w:type="dxa"/>
            <w:tcBorders>
              <w:top w:val="nil"/>
              <w:left w:val="nil"/>
              <w:bottom w:val="single" w:sz="4" w:space="0" w:color="auto"/>
              <w:right w:val="single" w:sz="4" w:space="0" w:color="auto"/>
            </w:tcBorders>
            <w:shd w:val="clear" w:color="auto" w:fill="auto"/>
            <w:vAlign w:val="center"/>
            <w:hideMark/>
          </w:tcPr>
          <w:p w14:paraId="3E464151" w14:textId="77777777" w:rsidR="00E403D6" w:rsidRPr="00F10391" w:rsidRDefault="00E403D6" w:rsidP="0063065F">
            <w:pPr>
              <w:jc w:val="left"/>
            </w:pPr>
            <w:r w:rsidRPr="00F10391">
              <w:t>Health Policy. 1995 Aug;33(2):79-90.</w:t>
            </w:r>
          </w:p>
        </w:tc>
        <w:tc>
          <w:tcPr>
            <w:tcW w:w="862" w:type="dxa"/>
            <w:tcBorders>
              <w:top w:val="nil"/>
              <w:left w:val="nil"/>
              <w:bottom w:val="single" w:sz="4" w:space="0" w:color="auto"/>
              <w:right w:val="single" w:sz="4" w:space="0" w:color="auto"/>
            </w:tcBorders>
            <w:shd w:val="clear" w:color="auto" w:fill="auto"/>
            <w:noWrap/>
            <w:vAlign w:val="center"/>
            <w:hideMark/>
          </w:tcPr>
          <w:p w14:paraId="28448B4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8A00E3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F4F262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A76B6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3F5A6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47C70B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4FE19D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332242" w14:textId="77777777" w:rsidR="00E403D6" w:rsidRPr="00F10391" w:rsidRDefault="00E403D6">
            <w:r w:rsidRPr="00F10391">
              <w:t>Included</w:t>
            </w:r>
          </w:p>
        </w:tc>
      </w:tr>
      <w:tr w:rsidR="00E403D6" w:rsidRPr="00F10391" w14:paraId="56B77A9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E0B202B"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5BDDD67B" w14:textId="77777777" w:rsidR="00E403D6" w:rsidRPr="00F10391" w:rsidRDefault="00E403D6" w:rsidP="0063065F">
            <w:pPr>
              <w:jc w:val="left"/>
            </w:pPr>
            <w:r w:rsidRPr="00F10391">
              <w:t>Programme Budgeting And Marginal Analysis: Application Within Programmes To Assist Purchasing In Greater Glasgow Health Board.</w:t>
            </w:r>
          </w:p>
        </w:tc>
        <w:tc>
          <w:tcPr>
            <w:tcW w:w="1985" w:type="dxa"/>
            <w:tcBorders>
              <w:top w:val="nil"/>
              <w:left w:val="nil"/>
              <w:bottom w:val="single" w:sz="4" w:space="0" w:color="auto"/>
              <w:right w:val="single" w:sz="4" w:space="0" w:color="auto"/>
            </w:tcBorders>
            <w:shd w:val="clear" w:color="auto" w:fill="auto"/>
            <w:vAlign w:val="center"/>
            <w:hideMark/>
          </w:tcPr>
          <w:p w14:paraId="687A03C0" w14:textId="77777777" w:rsidR="00E403D6" w:rsidRPr="00F10391" w:rsidRDefault="00E403D6" w:rsidP="0063065F">
            <w:pPr>
              <w:jc w:val="left"/>
            </w:pPr>
            <w:r w:rsidRPr="00F10391">
              <w:t>Twaddle S, Walker A.</w:t>
            </w:r>
          </w:p>
        </w:tc>
        <w:tc>
          <w:tcPr>
            <w:tcW w:w="2078" w:type="dxa"/>
            <w:tcBorders>
              <w:top w:val="nil"/>
              <w:left w:val="nil"/>
              <w:bottom w:val="single" w:sz="4" w:space="0" w:color="auto"/>
              <w:right w:val="single" w:sz="4" w:space="0" w:color="auto"/>
            </w:tcBorders>
            <w:shd w:val="clear" w:color="auto" w:fill="auto"/>
            <w:vAlign w:val="center"/>
            <w:hideMark/>
          </w:tcPr>
          <w:p w14:paraId="2BEEB923" w14:textId="77777777" w:rsidR="00E403D6" w:rsidRPr="00F10391" w:rsidRDefault="00E403D6" w:rsidP="0063065F">
            <w:pPr>
              <w:jc w:val="left"/>
            </w:pPr>
            <w:r w:rsidRPr="00F10391">
              <w:t>Health Policy. 1995 Aug;33(2):91-105.</w:t>
            </w:r>
          </w:p>
        </w:tc>
        <w:tc>
          <w:tcPr>
            <w:tcW w:w="862" w:type="dxa"/>
            <w:tcBorders>
              <w:top w:val="nil"/>
              <w:left w:val="nil"/>
              <w:bottom w:val="single" w:sz="4" w:space="0" w:color="auto"/>
              <w:right w:val="single" w:sz="4" w:space="0" w:color="auto"/>
            </w:tcBorders>
            <w:shd w:val="clear" w:color="auto" w:fill="auto"/>
            <w:noWrap/>
            <w:vAlign w:val="center"/>
            <w:hideMark/>
          </w:tcPr>
          <w:p w14:paraId="00414C2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41274B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3146B7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16AC9E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D0ACC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817D4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AAEDF1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1B20D5C" w14:textId="77777777" w:rsidR="00E403D6" w:rsidRPr="00F10391" w:rsidRDefault="00E403D6">
            <w:r w:rsidRPr="00F10391">
              <w:t>Included</w:t>
            </w:r>
          </w:p>
        </w:tc>
      </w:tr>
      <w:tr w:rsidR="00E403D6" w:rsidRPr="00F10391" w14:paraId="4003984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7E773A2" w14:textId="77777777" w:rsidR="00E403D6" w:rsidRPr="00F10391" w:rsidRDefault="00E403D6" w:rsidP="0063065F">
            <w:pPr>
              <w:jc w:val="left"/>
            </w:pPr>
            <w:r w:rsidRPr="00F10391">
              <w:t>07/07/95</w:t>
            </w:r>
          </w:p>
        </w:tc>
        <w:tc>
          <w:tcPr>
            <w:tcW w:w="2720" w:type="dxa"/>
            <w:tcBorders>
              <w:top w:val="nil"/>
              <w:left w:val="nil"/>
              <w:bottom w:val="single" w:sz="4" w:space="0" w:color="auto"/>
              <w:right w:val="single" w:sz="4" w:space="0" w:color="auto"/>
            </w:tcBorders>
            <w:shd w:val="clear" w:color="auto" w:fill="auto"/>
            <w:vAlign w:val="center"/>
            <w:hideMark/>
          </w:tcPr>
          <w:p w14:paraId="654BFA32" w14:textId="77777777" w:rsidR="00E403D6" w:rsidRPr="00F10391" w:rsidRDefault="00E403D6" w:rsidP="0063065F">
            <w:pPr>
              <w:jc w:val="left"/>
            </w:pPr>
            <w:r w:rsidRPr="00F10391">
              <w:t>Pbma (Programme Budgeting Marginal Analysis)--Its Role In The Future Purchasing Arrangements For Health Care Services.</w:t>
            </w:r>
          </w:p>
        </w:tc>
        <w:tc>
          <w:tcPr>
            <w:tcW w:w="1985" w:type="dxa"/>
            <w:tcBorders>
              <w:top w:val="nil"/>
              <w:left w:val="nil"/>
              <w:bottom w:val="single" w:sz="4" w:space="0" w:color="auto"/>
              <w:right w:val="single" w:sz="4" w:space="0" w:color="auto"/>
            </w:tcBorders>
            <w:shd w:val="clear" w:color="auto" w:fill="auto"/>
            <w:vAlign w:val="center"/>
            <w:hideMark/>
          </w:tcPr>
          <w:p w14:paraId="2ECA4308" w14:textId="77777777" w:rsidR="00E403D6" w:rsidRPr="00F10391" w:rsidRDefault="00E403D6" w:rsidP="0063065F">
            <w:pPr>
              <w:jc w:val="left"/>
            </w:pPr>
            <w:r w:rsidRPr="00F10391">
              <w:t>Wilson H, Scott S.</w:t>
            </w:r>
          </w:p>
        </w:tc>
        <w:tc>
          <w:tcPr>
            <w:tcW w:w="2078" w:type="dxa"/>
            <w:tcBorders>
              <w:top w:val="nil"/>
              <w:left w:val="nil"/>
              <w:bottom w:val="single" w:sz="4" w:space="0" w:color="auto"/>
              <w:right w:val="single" w:sz="4" w:space="0" w:color="auto"/>
            </w:tcBorders>
            <w:shd w:val="clear" w:color="auto" w:fill="auto"/>
            <w:vAlign w:val="center"/>
            <w:hideMark/>
          </w:tcPr>
          <w:p w14:paraId="207A4ED8" w14:textId="77777777" w:rsidR="00E403D6" w:rsidRPr="00F10391" w:rsidRDefault="00E403D6" w:rsidP="0063065F">
            <w:pPr>
              <w:jc w:val="left"/>
            </w:pPr>
            <w:r w:rsidRPr="00F10391">
              <w:t>Health Policy. 1995 Aug;33(2):157-60.</w:t>
            </w:r>
          </w:p>
        </w:tc>
        <w:tc>
          <w:tcPr>
            <w:tcW w:w="862" w:type="dxa"/>
            <w:tcBorders>
              <w:top w:val="nil"/>
              <w:left w:val="nil"/>
              <w:bottom w:val="single" w:sz="4" w:space="0" w:color="auto"/>
              <w:right w:val="single" w:sz="4" w:space="0" w:color="auto"/>
            </w:tcBorders>
            <w:shd w:val="clear" w:color="auto" w:fill="auto"/>
            <w:noWrap/>
            <w:vAlign w:val="center"/>
            <w:hideMark/>
          </w:tcPr>
          <w:p w14:paraId="0F2F6C2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954795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8BFFDC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76DEA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349A5E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B6F8AC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12CD78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05535F3" w14:textId="77777777" w:rsidR="00E403D6" w:rsidRPr="00F10391" w:rsidRDefault="00E403D6">
            <w:r w:rsidRPr="00F10391">
              <w:t>Included</w:t>
            </w:r>
          </w:p>
        </w:tc>
      </w:tr>
      <w:tr w:rsidR="00E403D6" w:rsidRPr="00F10391" w14:paraId="5772FD7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F68076" w14:textId="77777777" w:rsidR="00E403D6" w:rsidRPr="00F10391" w:rsidRDefault="00E403D6" w:rsidP="0063065F">
            <w:pPr>
              <w:jc w:val="left"/>
            </w:pPr>
            <w:r w:rsidRPr="00F10391">
              <w:t>01/08/95</w:t>
            </w:r>
          </w:p>
        </w:tc>
        <w:tc>
          <w:tcPr>
            <w:tcW w:w="2720" w:type="dxa"/>
            <w:tcBorders>
              <w:top w:val="nil"/>
              <w:left w:val="nil"/>
              <w:bottom w:val="single" w:sz="4" w:space="0" w:color="auto"/>
              <w:right w:val="single" w:sz="4" w:space="0" w:color="auto"/>
            </w:tcBorders>
            <w:shd w:val="clear" w:color="auto" w:fill="auto"/>
            <w:vAlign w:val="center"/>
            <w:hideMark/>
          </w:tcPr>
          <w:p w14:paraId="5FAB1B70" w14:textId="77777777" w:rsidR="00E403D6" w:rsidRPr="00F10391" w:rsidRDefault="00E403D6" w:rsidP="0063065F">
            <w:pPr>
              <w:jc w:val="left"/>
            </w:pPr>
            <w:r w:rsidRPr="00F10391">
              <w:t>Clearing The Fog On The Tyne - Program Budgeting In Newcastle-And-North-Tyneside-Health-Authority</w:t>
            </w:r>
          </w:p>
        </w:tc>
        <w:tc>
          <w:tcPr>
            <w:tcW w:w="1985" w:type="dxa"/>
            <w:tcBorders>
              <w:top w:val="nil"/>
              <w:left w:val="nil"/>
              <w:bottom w:val="single" w:sz="4" w:space="0" w:color="auto"/>
              <w:right w:val="single" w:sz="4" w:space="0" w:color="auto"/>
            </w:tcBorders>
            <w:shd w:val="clear" w:color="auto" w:fill="auto"/>
            <w:vAlign w:val="center"/>
            <w:hideMark/>
          </w:tcPr>
          <w:p w14:paraId="42487918" w14:textId="77777777" w:rsidR="00E403D6" w:rsidRPr="005D7324" w:rsidRDefault="00E403D6" w:rsidP="0063065F">
            <w:pPr>
              <w:jc w:val="left"/>
            </w:pPr>
            <w:r w:rsidRPr="005D7324">
              <w:t>Craig, N; Parkin, D; Gerard, K</w:t>
            </w:r>
          </w:p>
        </w:tc>
        <w:tc>
          <w:tcPr>
            <w:tcW w:w="2078" w:type="dxa"/>
            <w:tcBorders>
              <w:top w:val="nil"/>
              <w:left w:val="nil"/>
              <w:bottom w:val="single" w:sz="4" w:space="0" w:color="auto"/>
              <w:right w:val="single" w:sz="4" w:space="0" w:color="auto"/>
            </w:tcBorders>
            <w:shd w:val="clear" w:color="auto" w:fill="auto"/>
            <w:vAlign w:val="center"/>
            <w:hideMark/>
          </w:tcPr>
          <w:p w14:paraId="715A6CA6" w14:textId="77777777" w:rsidR="00E403D6" w:rsidRPr="00F10391" w:rsidRDefault="00E403D6" w:rsidP="0063065F">
            <w:pPr>
              <w:jc w:val="left"/>
            </w:pPr>
            <w:r w:rsidRPr="00F10391">
              <w:t>Health Policy. 1995;33(2):107-125</w:t>
            </w:r>
          </w:p>
        </w:tc>
        <w:tc>
          <w:tcPr>
            <w:tcW w:w="862" w:type="dxa"/>
            <w:tcBorders>
              <w:top w:val="nil"/>
              <w:left w:val="nil"/>
              <w:bottom w:val="single" w:sz="4" w:space="0" w:color="auto"/>
              <w:right w:val="single" w:sz="4" w:space="0" w:color="auto"/>
            </w:tcBorders>
            <w:shd w:val="clear" w:color="auto" w:fill="auto"/>
            <w:noWrap/>
            <w:vAlign w:val="center"/>
            <w:hideMark/>
          </w:tcPr>
          <w:p w14:paraId="350721D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DA98FDD"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1D0106E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B736C7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614FE2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E67E23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25EE22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D15C6A8" w14:textId="77777777" w:rsidR="00E403D6" w:rsidRPr="00F10391" w:rsidRDefault="00E403D6">
            <w:r w:rsidRPr="00F10391">
              <w:t>Not found</w:t>
            </w:r>
          </w:p>
        </w:tc>
      </w:tr>
      <w:tr w:rsidR="00E403D6" w:rsidRPr="00F10391" w14:paraId="2DFF576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17371CF" w14:textId="77777777" w:rsidR="00E403D6" w:rsidRPr="00F10391" w:rsidRDefault="00E403D6" w:rsidP="0063065F">
            <w:pPr>
              <w:jc w:val="left"/>
            </w:pPr>
            <w:r w:rsidRPr="00F10391">
              <w:t>01/08/95</w:t>
            </w:r>
          </w:p>
        </w:tc>
        <w:tc>
          <w:tcPr>
            <w:tcW w:w="2720" w:type="dxa"/>
            <w:tcBorders>
              <w:top w:val="nil"/>
              <w:left w:val="nil"/>
              <w:bottom w:val="single" w:sz="4" w:space="0" w:color="auto"/>
              <w:right w:val="single" w:sz="4" w:space="0" w:color="auto"/>
            </w:tcBorders>
            <w:shd w:val="clear" w:color="auto" w:fill="auto"/>
            <w:vAlign w:val="center"/>
            <w:hideMark/>
          </w:tcPr>
          <w:p w14:paraId="74E20463" w14:textId="77777777" w:rsidR="00E403D6" w:rsidRPr="00F10391" w:rsidRDefault="00E403D6" w:rsidP="0063065F">
            <w:pPr>
              <w:jc w:val="left"/>
            </w:pPr>
            <w:r w:rsidRPr="00F10391">
              <w:t>Economics, Public-Health And Health-Care Purchasing - Reinventing The Wheel</w:t>
            </w:r>
          </w:p>
        </w:tc>
        <w:tc>
          <w:tcPr>
            <w:tcW w:w="1985" w:type="dxa"/>
            <w:tcBorders>
              <w:top w:val="nil"/>
              <w:left w:val="nil"/>
              <w:bottom w:val="single" w:sz="4" w:space="0" w:color="auto"/>
              <w:right w:val="single" w:sz="4" w:space="0" w:color="auto"/>
            </w:tcBorders>
            <w:shd w:val="clear" w:color="auto" w:fill="auto"/>
            <w:vAlign w:val="center"/>
            <w:hideMark/>
          </w:tcPr>
          <w:p w14:paraId="1DCF4347" w14:textId="77777777" w:rsidR="00E403D6" w:rsidRPr="00F10391" w:rsidRDefault="00E403D6" w:rsidP="0063065F">
            <w:pPr>
              <w:jc w:val="left"/>
            </w:pPr>
            <w:r w:rsidRPr="00F10391">
              <w:t>Donaldson, C</w:t>
            </w:r>
          </w:p>
        </w:tc>
        <w:tc>
          <w:tcPr>
            <w:tcW w:w="2078" w:type="dxa"/>
            <w:tcBorders>
              <w:top w:val="nil"/>
              <w:left w:val="nil"/>
              <w:bottom w:val="single" w:sz="4" w:space="0" w:color="auto"/>
              <w:right w:val="single" w:sz="4" w:space="0" w:color="auto"/>
            </w:tcBorders>
            <w:shd w:val="clear" w:color="auto" w:fill="auto"/>
            <w:vAlign w:val="center"/>
            <w:hideMark/>
          </w:tcPr>
          <w:p w14:paraId="3354B144" w14:textId="77777777" w:rsidR="00E403D6" w:rsidRPr="00F10391" w:rsidRDefault="00E403D6" w:rsidP="0063065F">
            <w:pPr>
              <w:jc w:val="left"/>
            </w:pPr>
            <w:r w:rsidRPr="00F10391">
              <w:t>Health Policy. 1995;33(2):79-90</w:t>
            </w:r>
          </w:p>
        </w:tc>
        <w:tc>
          <w:tcPr>
            <w:tcW w:w="862" w:type="dxa"/>
            <w:tcBorders>
              <w:top w:val="nil"/>
              <w:left w:val="nil"/>
              <w:bottom w:val="single" w:sz="4" w:space="0" w:color="auto"/>
              <w:right w:val="single" w:sz="4" w:space="0" w:color="auto"/>
            </w:tcBorders>
            <w:shd w:val="clear" w:color="auto" w:fill="auto"/>
            <w:noWrap/>
            <w:vAlign w:val="center"/>
            <w:hideMark/>
          </w:tcPr>
          <w:p w14:paraId="53215990"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175DDAD"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1C6130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6D5FEC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A9C6B2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DC7232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B9CC8F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8D77DBB" w14:textId="77777777" w:rsidR="00E403D6" w:rsidRPr="00F10391" w:rsidRDefault="00E403D6">
            <w:r w:rsidRPr="00F10391">
              <w:t>Excluded</w:t>
            </w:r>
          </w:p>
        </w:tc>
      </w:tr>
      <w:tr w:rsidR="00E403D6" w:rsidRPr="00F10391" w14:paraId="219A59A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7C82C62" w14:textId="77777777" w:rsidR="00E403D6" w:rsidRPr="00F10391" w:rsidRDefault="00E403D6" w:rsidP="0063065F">
            <w:pPr>
              <w:jc w:val="left"/>
            </w:pPr>
            <w:r w:rsidRPr="00F10391">
              <w:t>01/08/95</w:t>
            </w:r>
          </w:p>
        </w:tc>
        <w:tc>
          <w:tcPr>
            <w:tcW w:w="2720" w:type="dxa"/>
            <w:tcBorders>
              <w:top w:val="nil"/>
              <w:left w:val="nil"/>
              <w:bottom w:val="single" w:sz="4" w:space="0" w:color="auto"/>
              <w:right w:val="single" w:sz="4" w:space="0" w:color="auto"/>
            </w:tcBorders>
            <w:shd w:val="clear" w:color="auto" w:fill="auto"/>
            <w:vAlign w:val="center"/>
            <w:hideMark/>
          </w:tcPr>
          <w:p w14:paraId="155B8704" w14:textId="77777777" w:rsidR="00E403D6" w:rsidRPr="00F10391" w:rsidRDefault="00E403D6" w:rsidP="0063065F">
            <w:pPr>
              <w:jc w:val="left"/>
            </w:pPr>
            <w:r w:rsidRPr="00F10391">
              <w:t>Public-Health And Economics In Tandem - Program Budgeting, Marginal Analysis And Priority Setting In Practice</w:t>
            </w:r>
          </w:p>
        </w:tc>
        <w:tc>
          <w:tcPr>
            <w:tcW w:w="1985" w:type="dxa"/>
            <w:tcBorders>
              <w:top w:val="nil"/>
              <w:left w:val="nil"/>
              <w:bottom w:val="single" w:sz="4" w:space="0" w:color="auto"/>
              <w:right w:val="single" w:sz="4" w:space="0" w:color="auto"/>
            </w:tcBorders>
            <w:shd w:val="clear" w:color="auto" w:fill="auto"/>
            <w:vAlign w:val="center"/>
            <w:hideMark/>
          </w:tcPr>
          <w:p w14:paraId="73576F01" w14:textId="77777777" w:rsidR="00E403D6" w:rsidRPr="00F10391" w:rsidRDefault="00E403D6" w:rsidP="0063065F">
            <w:pPr>
              <w:jc w:val="left"/>
            </w:pPr>
            <w:r w:rsidRPr="00F10391">
              <w:t>Madden, L; Hussey, R; Mooney, G; Church, E</w:t>
            </w:r>
          </w:p>
        </w:tc>
        <w:tc>
          <w:tcPr>
            <w:tcW w:w="2078" w:type="dxa"/>
            <w:tcBorders>
              <w:top w:val="nil"/>
              <w:left w:val="nil"/>
              <w:bottom w:val="single" w:sz="4" w:space="0" w:color="auto"/>
              <w:right w:val="single" w:sz="4" w:space="0" w:color="auto"/>
            </w:tcBorders>
            <w:shd w:val="clear" w:color="auto" w:fill="auto"/>
            <w:vAlign w:val="center"/>
            <w:hideMark/>
          </w:tcPr>
          <w:p w14:paraId="7C4A6F4C" w14:textId="77777777" w:rsidR="00E403D6" w:rsidRPr="00F10391" w:rsidRDefault="00E403D6" w:rsidP="0063065F">
            <w:pPr>
              <w:jc w:val="left"/>
            </w:pPr>
            <w:r w:rsidRPr="00F10391">
              <w:t>Health Policy. 1995;33(2):161-168</w:t>
            </w:r>
          </w:p>
        </w:tc>
        <w:tc>
          <w:tcPr>
            <w:tcW w:w="862" w:type="dxa"/>
            <w:tcBorders>
              <w:top w:val="nil"/>
              <w:left w:val="nil"/>
              <w:bottom w:val="single" w:sz="4" w:space="0" w:color="auto"/>
              <w:right w:val="single" w:sz="4" w:space="0" w:color="auto"/>
            </w:tcBorders>
            <w:shd w:val="clear" w:color="auto" w:fill="auto"/>
            <w:noWrap/>
            <w:vAlign w:val="center"/>
            <w:hideMark/>
          </w:tcPr>
          <w:p w14:paraId="4E9CB33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C942184"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09D6AB4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B76ADF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2FCECB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C13133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2D4BE7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69B5F0D" w14:textId="77777777" w:rsidR="00E403D6" w:rsidRPr="00F10391" w:rsidRDefault="00E403D6">
            <w:r w:rsidRPr="00F10391">
              <w:t>Excluded</w:t>
            </w:r>
          </w:p>
        </w:tc>
      </w:tr>
      <w:tr w:rsidR="00E403D6" w:rsidRPr="00F10391" w14:paraId="7A9F370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96F2787" w14:textId="77777777" w:rsidR="00E403D6" w:rsidRPr="00F10391" w:rsidRDefault="00E403D6" w:rsidP="0063065F">
            <w:pPr>
              <w:jc w:val="left"/>
            </w:pPr>
            <w:r w:rsidRPr="00F10391">
              <w:t>01/08/95</w:t>
            </w:r>
          </w:p>
        </w:tc>
        <w:tc>
          <w:tcPr>
            <w:tcW w:w="2720" w:type="dxa"/>
            <w:tcBorders>
              <w:top w:val="nil"/>
              <w:left w:val="nil"/>
              <w:bottom w:val="single" w:sz="4" w:space="0" w:color="auto"/>
              <w:right w:val="single" w:sz="4" w:space="0" w:color="auto"/>
            </w:tcBorders>
            <w:shd w:val="clear" w:color="auto" w:fill="auto"/>
            <w:vAlign w:val="center"/>
            <w:hideMark/>
          </w:tcPr>
          <w:p w14:paraId="784C2C2C" w14:textId="77777777" w:rsidR="00E403D6" w:rsidRPr="00F10391" w:rsidRDefault="00E403D6" w:rsidP="0063065F">
            <w:pPr>
              <w:jc w:val="left"/>
            </w:pPr>
            <w:r w:rsidRPr="00F10391">
              <w:t>Program Budgeting And Marginal Analysis - Application Within Programs To Assist Purchasing In Greater Glasgow Health Board</w:t>
            </w:r>
          </w:p>
        </w:tc>
        <w:tc>
          <w:tcPr>
            <w:tcW w:w="1985" w:type="dxa"/>
            <w:tcBorders>
              <w:top w:val="nil"/>
              <w:left w:val="nil"/>
              <w:bottom w:val="single" w:sz="4" w:space="0" w:color="auto"/>
              <w:right w:val="single" w:sz="4" w:space="0" w:color="auto"/>
            </w:tcBorders>
            <w:shd w:val="clear" w:color="auto" w:fill="auto"/>
            <w:vAlign w:val="center"/>
            <w:hideMark/>
          </w:tcPr>
          <w:p w14:paraId="1D4794CA" w14:textId="77777777" w:rsidR="00E403D6" w:rsidRPr="00F10391" w:rsidRDefault="00E403D6" w:rsidP="0063065F">
            <w:pPr>
              <w:jc w:val="left"/>
            </w:pPr>
            <w:r w:rsidRPr="00F10391">
              <w:t>Twaddle, S; Walker, A</w:t>
            </w:r>
          </w:p>
        </w:tc>
        <w:tc>
          <w:tcPr>
            <w:tcW w:w="2078" w:type="dxa"/>
            <w:tcBorders>
              <w:top w:val="nil"/>
              <w:left w:val="nil"/>
              <w:bottom w:val="single" w:sz="4" w:space="0" w:color="auto"/>
              <w:right w:val="single" w:sz="4" w:space="0" w:color="auto"/>
            </w:tcBorders>
            <w:shd w:val="clear" w:color="auto" w:fill="auto"/>
            <w:vAlign w:val="center"/>
            <w:hideMark/>
          </w:tcPr>
          <w:p w14:paraId="5E23C626" w14:textId="77777777" w:rsidR="00E403D6" w:rsidRPr="00F10391" w:rsidRDefault="00E403D6" w:rsidP="0063065F">
            <w:pPr>
              <w:jc w:val="left"/>
            </w:pPr>
            <w:r w:rsidRPr="00F10391">
              <w:t>Health Policy. 1995;33(2):91-105</w:t>
            </w:r>
          </w:p>
        </w:tc>
        <w:tc>
          <w:tcPr>
            <w:tcW w:w="862" w:type="dxa"/>
            <w:tcBorders>
              <w:top w:val="nil"/>
              <w:left w:val="nil"/>
              <w:bottom w:val="single" w:sz="4" w:space="0" w:color="auto"/>
              <w:right w:val="single" w:sz="4" w:space="0" w:color="auto"/>
            </w:tcBorders>
            <w:shd w:val="clear" w:color="auto" w:fill="auto"/>
            <w:noWrap/>
            <w:vAlign w:val="center"/>
            <w:hideMark/>
          </w:tcPr>
          <w:p w14:paraId="1D75858F"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0918C0D"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2AB6A50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BE6541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E33C51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31C4CE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FBE51E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35979B6" w14:textId="77777777" w:rsidR="00E403D6" w:rsidRPr="00F10391" w:rsidRDefault="00E403D6">
            <w:r w:rsidRPr="00F10391">
              <w:t>Not found</w:t>
            </w:r>
          </w:p>
        </w:tc>
      </w:tr>
      <w:tr w:rsidR="00E403D6" w:rsidRPr="00F10391" w14:paraId="5CC61D5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90FB1D5" w14:textId="77777777" w:rsidR="00E403D6" w:rsidRPr="00F10391" w:rsidRDefault="00E403D6" w:rsidP="0063065F">
            <w:pPr>
              <w:jc w:val="left"/>
            </w:pPr>
            <w:r w:rsidRPr="00F10391">
              <w:t>01/08/95</w:t>
            </w:r>
          </w:p>
        </w:tc>
        <w:tc>
          <w:tcPr>
            <w:tcW w:w="2720" w:type="dxa"/>
            <w:tcBorders>
              <w:top w:val="nil"/>
              <w:left w:val="nil"/>
              <w:bottom w:val="single" w:sz="4" w:space="0" w:color="auto"/>
              <w:right w:val="single" w:sz="4" w:space="0" w:color="auto"/>
            </w:tcBorders>
            <w:shd w:val="clear" w:color="auto" w:fill="auto"/>
            <w:vAlign w:val="center"/>
            <w:hideMark/>
          </w:tcPr>
          <w:p w14:paraId="7A26168F" w14:textId="77777777" w:rsidR="00E403D6" w:rsidRPr="00F10391" w:rsidRDefault="00E403D6" w:rsidP="0063065F">
            <w:pPr>
              <w:jc w:val="left"/>
            </w:pPr>
            <w:r w:rsidRPr="00F10391">
              <w:t>Pbma - Its Role In The Future Purchasing Arrangements For Health-Care Services</w:t>
            </w:r>
          </w:p>
        </w:tc>
        <w:tc>
          <w:tcPr>
            <w:tcW w:w="1985" w:type="dxa"/>
            <w:tcBorders>
              <w:top w:val="nil"/>
              <w:left w:val="nil"/>
              <w:bottom w:val="single" w:sz="4" w:space="0" w:color="auto"/>
              <w:right w:val="single" w:sz="4" w:space="0" w:color="auto"/>
            </w:tcBorders>
            <w:shd w:val="clear" w:color="auto" w:fill="auto"/>
            <w:vAlign w:val="center"/>
            <w:hideMark/>
          </w:tcPr>
          <w:p w14:paraId="223C7884" w14:textId="77777777" w:rsidR="00E403D6" w:rsidRPr="00F10391" w:rsidRDefault="00E403D6" w:rsidP="0063065F">
            <w:pPr>
              <w:jc w:val="left"/>
            </w:pPr>
            <w:r w:rsidRPr="00F10391">
              <w:t>Wilson, H; Scott, S</w:t>
            </w:r>
          </w:p>
        </w:tc>
        <w:tc>
          <w:tcPr>
            <w:tcW w:w="2078" w:type="dxa"/>
            <w:tcBorders>
              <w:top w:val="nil"/>
              <w:left w:val="nil"/>
              <w:bottom w:val="single" w:sz="4" w:space="0" w:color="auto"/>
              <w:right w:val="single" w:sz="4" w:space="0" w:color="auto"/>
            </w:tcBorders>
            <w:shd w:val="clear" w:color="auto" w:fill="auto"/>
            <w:vAlign w:val="center"/>
            <w:hideMark/>
          </w:tcPr>
          <w:p w14:paraId="04E83081" w14:textId="77777777" w:rsidR="00E403D6" w:rsidRPr="00F10391" w:rsidRDefault="00E403D6" w:rsidP="0063065F">
            <w:pPr>
              <w:jc w:val="left"/>
            </w:pPr>
            <w:r w:rsidRPr="00F10391">
              <w:t>Health Policy. 1995;33(2):157-160</w:t>
            </w:r>
          </w:p>
        </w:tc>
        <w:tc>
          <w:tcPr>
            <w:tcW w:w="862" w:type="dxa"/>
            <w:tcBorders>
              <w:top w:val="nil"/>
              <w:left w:val="nil"/>
              <w:bottom w:val="single" w:sz="4" w:space="0" w:color="auto"/>
              <w:right w:val="single" w:sz="4" w:space="0" w:color="auto"/>
            </w:tcBorders>
            <w:shd w:val="clear" w:color="auto" w:fill="auto"/>
            <w:noWrap/>
            <w:vAlign w:val="center"/>
            <w:hideMark/>
          </w:tcPr>
          <w:p w14:paraId="5A99827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E2E81D1"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9371B6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223D8A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43C218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1DF89E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7BAE49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7E08E76" w14:textId="77777777" w:rsidR="00E403D6" w:rsidRPr="00F10391" w:rsidRDefault="00E403D6">
            <w:r w:rsidRPr="00F10391">
              <w:t>Excluded</w:t>
            </w:r>
          </w:p>
        </w:tc>
      </w:tr>
      <w:tr w:rsidR="00E403D6" w:rsidRPr="00F10391" w14:paraId="10EA85B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76119C1" w14:textId="77777777" w:rsidR="00E403D6" w:rsidRPr="00F10391" w:rsidRDefault="00E403D6" w:rsidP="0063065F">
            <w:pPr>
              <w:jc w:val="left"/>
            </w:pPr>
            <w:r w:rsidRPr="00F10391">
              <w:t>01/11/95</w:t>
            </w:r>
          </w:p>
        </w:tc>
        <w:tc>
          <w:tcPr>
            <w:tcW w:w="2720" w:type="dxa"/>
            <w:tcBorders>
              <w:top w:val="nil"/>
              <w:left w:val="nil"/>
              <w:bottom w:val="single" w:sz="4" w:space="0" w:color="auto"/>
              <w:right w:val="single" w:sz="4" w:space="0" w:color="auto"/>
            </w:tcBorders>
            <w:shd w:val="clear" w:color="auto" w:fill="auto"/>
            <w:vAlign w:val="center"/>
            <w:hideMark/>
          </w:tcPr>
          <w:p w14:paraId="2325D7F5" w14:textId="77777777" w:rsidR="00E403D6" w:rsidRPr="00F10391" w:rsidRDefault="00E403D6" w:rsidP="0063065F">
            <w:pPr>
              <w:jc w:val="left"/>
            </w:pPr>
            <w:r w:rsidRPr="00F10391">
              <w:t>Who Decides? Patients, Parents, Or Gatekeepers: Pediatric Decisions In The Craniofacial Setting.</w:t>
            </w:r>
          </w:p>
        </w:tc>
        <w:tc>
          <w:tcPr>
            <w:tcW w:w="1985" w:type="dxa"/>
            <w:tcBorders>
              <w:top w:val="nil"/>
              <w:left w:val="nil"/>
              <w:bottom w:val="single" w:sz="4" w:space="0" w:color="auto"/>
              <w:right w:val="single" w:sz="4" w:space="0" w:color="auto"/>
            </w:tcBorders>
            <w:shd w:val="clear" w:color="auto" w:fill="auto"/>
            <w:vAlign w:val="center"/>
            <w:hideMark/>
          </w:tcPr>
          <w:p w14:paraId="7DDA997B" w14:textId="77777777" w:rsidR="00E403D6" w:rsidRPr="00F10391" w:rsidRDefault="00E403D6" w:rsidP="0063065F">
            <w:pPr>
              <w:jc w:val="left"/>
            </w:pPr>
            <w:r w:rsidRPr="00F10391">
              <w:t>Mouradian We.</w:t>
            </w:r>
          </w:p>
        </w:tc>
        <w:tc>
          <w:tcPr>
            <w:tcW w:w="2078" w:type="dxa"/>
            <w:tcBorders>
              <w:top w:val="nil"/>
              <w:left w:val="nil"/>
              <w:bottom w:val="single" w:sz="4" w:space="0" w:color="auto"/>
              <w:right w:val="single" w:sz="4" w:space="0" w:color="auto"/>
            </w:tcBorders>
            <w:shd w:val="clear" w:color="auto" w:fill="auto"/>
            <w:vAlign w:val="center"/>
            <w:hideMark/>
          </w:tcPr>
          <w:p w14:paraId="463F0ED3" w14:textId="77777777" w:rsidR="00E403D6" w:rsidRPr="00F10391" w:rsidRDefault="00E403D6" w:rsidP="0063065F">
            <w:pPr>
              <w:jc w:val="left"/>
            </w:pPr>
            <w:r w:rsidRPr="00F10391">
              <w:t>Cleft Palate Craniofac J. 1995 Nov;32(6):510-4.</w:t>
            </w:r>
          </w:p>
        </w:tc>
        <w:tc>
          <w:tcPr>
            <w:tcW w:w="862" w:type="dxa"/>
            <w:tcBorders>
              <w:top w:val="nil"/>
              <w:left w:val="nil"/>
              <w:bottom w:val="single" w:sz="4" w:space="0" w:color="auto"/>
              <w:right w:val="single" w:sz="4" w:space="0" w:color="auto"/>
            </w:tcBorders>
            <w:shd w:val="clear" w:color="auto" w:fill="auto"/>
            <w:noWrap/>
            <w:vAlign w:val="center"/>
            <w:hideMark/>
          </w:tcPr>
          <w:p w14:paraId="7C289A5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CB5750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856CE8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53DF41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CA41D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E4DB2E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5D3EAF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DE97997" w14:textId="77777777" w:rsidR="00E403D6" w:rsidRPr="00F10391" w:rsidRDefault="00E403D6">
            <w:r w:rsidRPr="00F10391">
              <w:t>Not found</w:t>
            </w:r>
          </w:p>
        </w:tc>
      </w:tr>
      <w:tr w:rsidR="00E403D6" w:rsidRPr="00F10391" w14:paraId="300804D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18EB51" w14:textId="77777777" w:rsidR="00E403D6" w:rsidRPr="00F10391" w:rsidRDefault="00E403D6" w:rsidP="0063065F">
            <w:pPr>
              <w:jc w:val="left"/>
            </w:pPr>
            <w:r w:rsidRPr="00F10391">
              <w:t>04/09/96</w:t>
            </w:r>
          </w:p>
        </w:tc>
        <w:tc>
          <w:tcPr>
            <w:tcW w:w="2720" w:type="dxa"/>
            <w:tcBorders>
              <w:top w:val="nil"/>
              <w:left w:val="nil"/>
              <w:bottom w:val="single" w:sz="4" w:space="0" w:color="auto"/>
              <w:right w:val="single" w:sz="4" w:space="0" w:color="auto"/>
            </w:tcBorders>
            <w:shd w:val="clear" w:color="auto" w:fill="auto"/>
            <w:vAlign w:val="center"/>
            <w:hideMark/>
          </w:tcPr>
          <w:p w14:paraId="2708457D" w14:textId="77777777" w:rsidR="00E403D6" w:rsidRPr="00F10391" w:rsidRDefault="00E403D6" w:rsidP="0063065F">
            <w:pPr>
              <w:jc w:val="left"/>
            </w:pPr>
            <w:r w:rsidRPr="00F10391">
              <w:t>Economics, Public Health And Health Care Purchasing: The Tayside Experience Of Programme Budgeting And Marginal Analysis.</w:t>
            </w:r>
          </w:p>
        </w:tc>
        <w:tc>
          <w:tcPr>
            <w:tcW w:w="1985" w:type="dxa"/>
            <w:tcBorders>
              <w:top w:val="nil"/>
              <w:left w:val="nil"/>
              <w:bottom w:val="single" w:sz="4" w:space="0" w:color="auto"/>
              <w:right w:val="single" w:sz="4" w:space="0" w:color="auto"/>
            </w:tcBorders>
            <w:shd w:val="clear" w:color="auto" w:fill="auto"/>
            <w:vAlign w:val="center"/>
            <w:hideMark/>
          </w:tcPr>
          <w:p w14:paraId="035E95B2" w14:textId="77777777" w:rsidR="00E403D6" w:rsidRPr="005D7324" w:rsidRDefault="00E403D6" w:rsidP="0063065F">
            <w:pPr>
              <w:jc w:val="left"/>
            </w:pPr>
            <w:r w:rsidRPr="005D7324">
              <w:t>Ruta Da, Donaldson C, Gilray I.</w:t>
            </w:r>
          </w:p>
        </w:tc>
        <w:tc>
          <w:tcPr>
            <w:tcW w:w="2078" w:type="dxa"/>
            <w:tcBorders>
              <w:top w:val="nil"/>
              <w:left w:val="nil"/>
              <w:bottom w:val="single" w:sz="4" w:space="0" w:color="auto"/>
              <w:right w:val="single" w:sz="4" w:space="0" w:color="auto"/>
            </w:tcBorders>
            <w:shd w:val="clear" w:color="auto" w:fill="auto"/>
            <w:vAlign w:val="center"/>
            <w:hideMark/>
          </w:tcPr>
          <w:p w14:paraId="5EA17380" w14:textId="77777777" w:rsidR="00E403D6" w:rsidRPr="00F10391" w:rsidRDefault="00E403D6" w:rsidP="0063065F">
            <w:pPr>
              <w:jc w:val="left"/>
            </w:pPr>
            <w:r w:rsidRPr="00F10391">
              <w:t>J Health Serv Res Policy. 1996 Oct;1(4):185-93.</w:t>
            </w:r>
          </w:p>
        </w:tc>
        <w:tc>
          <w:tcPr>
            <w:tcW w:w="862" w:type="dxa"/>
            <w:tcBorders>
              <w:top w:val="nil"/>
              <w:left w:val="nil"/>
              <w:bottom w:val="single" w:sz="4" w:space="0" w:color="auto"/>
              <w:right w:val="single" w:sz="4" w:space="0" w:color="auto"/>
            </w:tcBorders>
            <w:shd w:val="clear" w:color="auto" w:fill="auto"/>
            <w:noWrap/>
            <w:vAlign w:val="center"/>
            <w:hideMark/>
          </w:tcPr>
          <w:p w14:paraId="72D8EB4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6C73E0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4A3DC7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4DFBC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3C1CC4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CC598D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85C8B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E723FD7" w14:textId="77777777" w:rsidR="00E403D6" w:rsidRPr="00F10391" w:rsidRDefault="00E403D6">
            <w:r w:rsidRPr="00F10391">
              <w:t>Excluded</w:t>
            </w:r>
          </w:p>
        </w:tc>
      </w:tr>
      <w:tr w:rsidR="00E403D6" w:rsidRPr="00F10391" w14:paraId="7C4EA53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EAE1E3F" w14:textId="77777777" w:rsidR="00E403D6" w:rsidRPr="00F10391" w:rsidRDefault="00E403D6" w:rsidP="0063065F">
            <w:pPr>
              <w:jc w:val="left"/>
            </w:pPr>
            <w:r w:rsidRPr="00F10391">
              <w:t>01/10/96</w:t>
            </w:r>
          </w:p>
        </w:tc>
        <w:tc>
          <w:tcPr>
            <w:tcW w:w="2720" w:type="dxa"/>
            <w:tcBorders>
              <w:top w:val="nil"/>
              <w:left w:val="nil"/>
              <w:bottom w:val="single" w:sz="4" w:space="0" w:color="auto"/>
              <w:right w:val="single" w:sz="4" w:space="0" w:color="auto"/>
            </w:tcBorders>
            <w:shd w:val="clear" w:color="auto" w:fill="auto"/>
            <w:vAlign w:val="center"/>
            <w:hideMark/>
          </w:tcPr>
          <w:p w14:paraId="38CB1993" w14:textId="77777777" w:rsidR="00E403D6" w:rsidRPr="00F10391" w:rsidRDefault="00E403D6" w:rsidP="0063065F">
            <w:pPr>
              <w:jc w:val="left"/>
            </w:pPr>
            <w:r w:rsidRPr="00F10391">
              <w:t>Economics, Public Health And Health Care Purchasing: The Tayside Experience Of Programme Budgeting And Marginal Analysis.</w:t>
            </w:r>
          </w:p>
        </w:tc>
        <w:tc>
          <w:tcPr>
            <w:tcW w:w="1985" w:type="dxa"/>
            <w:tcBorders>
              <w:top w:val="nil"/>
              <w:left w:val="nil"/>
              <w:bottom w:val="single" w:sz="4" w:space="0" w:color="auto"/>
              <w:right w:val="single" w:sz="4" w:space="0" w:color="auto"/>
            </w:tcBorders>
            <w:shd w:val="clear" w:color="auto" w:fill="auto"/>
            <w:vAlign w:val="center"/>
            <w:hideMark/>
          </w:tcPr>
          <w:p w14:paraId="62A0E934" w14:textId="77777777" w:rsidR="00E403D6" w:rsidRPr="00F10391" w:rsidRDefault="00E403D6" w:rsidP="0063065F">
            <w:pPr>
              <w:jc w:val="left"/>
            </w:pPr>
            <w:r w:rsidRPr="00F10391">
              <w:t>Ruta, D A; Donaldson, C; Gilray, I</w:t>
            </w:r>
          </w:p>
        </w:tc>
        <w:tc>
          <w:tcPr>
            <w:tcW w:w="2078" w:type="dxa"/>
            <w:tcBorders>
              <w:top w:val="nil"/>
              <w:left w:val="nil"/>
              <w:bottom w:val="single" w:sz="4" w:space="0" w:color="auto"/>
              <w:right w:val="single" w:sz="4" w:space="0" w:color="auto"/>
            </w:tcBorders>
            <w:shd w:val="clear" w:color="auto" w:fill="auto"/>
            <w:vAlign w:val="center"/>
            <w:hideMark/>
          </w:tcPr>
          <w:p w14:paraId="521F50B2" w14:textId="77777777" w:rsidR="00E403D6" w:rsidRPr="00F10391" w:rsidRDefault="00E403D6" w:rsidP="0063065F">
            <w:pPr>
              <w:jc w:val="left"/>
            </w:pPr>
            <w:r w:rsidRPr="00F10391">
              <w:t>Journal Of Health Services Research &amp; Policy. 1996;1(4):185-93</w:t>
            </w:r>
          </w:p>
        </w:tc>
        <w:tc>
          <w:tcPr>
            <w:tcW w:w="862" w:type="dxa"/>
            <w:tcBorders>
              <w:top w:val="nil"/>
              <w:left w:val="nil"/>
              <w:bottom w:val="single" w:sz="4" w:space="0" w:color="auto"/>
              <w:right w:val="single" w:sz="4" w:space="0" w:color="auto"/>
            </w:tcBorders>
            <w:shd w:val="clear" w:color="auto" w:fill="auto"/>
            <w:noWrap/>
            <w:vAlign w:val="center"/>
            <w:hideMark/>
          </w:tcPr>
          <w:p w14:paraId="1667B09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2EDF788"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1E3DE71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7D7FAA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3B8D96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579F9E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373C09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AB0663B" w14:textId="77777777" w:rsidR="00E403D6" w:rsidRPr="00F10391" w:rsidRDefault="00E403D6">
            <w:r w:rsidRPr="00F10391">
              <w:t>Excluded</w:t>
            </w:r>
          </w:p>
        </w:tc>
      </w:tr>
      <w:tr w:rsidR="00E403D6" w:rsidRPr="00F10391" w14:paraId="5C953B4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0245F1B" w14:textId="77777777" w:rsidR="00E403D6" w:rsidRPr="00F10391" w:rsidRDefault="00E403D6" w:rsidP="0063065F">
            <w:pPr>
              <w:jc w:val="left"/>
            </w:pPr>
            <w:r w:rsidRPr="00F10391">
              <w:t>07/08/98</w:t>
            </w:r>
          </w:p>
        </w:tc>
        <w:tc>
          <w:tcPr>
            <w:tcW w:w="2720" w:type="dxa"/>
            <w:tcBorders>
              <w:top w:val="nil"/>
              <w:left w:val="nil"/>
              <w:bottom w:val="single" w:sz="4" w:space="0" w:color="auto"/>
              <w:right w:val="single" w:sz="4" w:space="0" w:color="auto"/>
            </w:tcBorders>
            <w:shd w:val="clear" w:color="auto" w:fill="auto"/>
            <w:vAlign w:val="center"/>
            <w:hideMark/>
          </w:tcPr>
          <w:p w14:paraId="3E617709" w14:textId="77777777" w:rsidR="00E403D6" w:rsidRPr="00F10391" w:rsidRDefault="00E403D6" w:rsidP="0063065F">
            <w:pPr>
              <w:jc w:val="left"/>
            </w:pPr>
            <w:r w:rsidRPr="00F10391">
              <w:t>Evaluating Innovation In General Practice: A Pragmatic Framework Using Programme Budgeting And Marginal Analysis.</w:t>
            </w:r>
          </w:p>
        </w:tc>
        <w:tc>
          <w:tcPr>
            <w:tcW w:w="1985" w:type="dxa"/>
            <w:tcBorders>
              <w:top w:val="nil"/>
              <w:left w:val="nil"/>
              <w:bottom w:val="single" w:sz="4" w:space="0" w:color="auto"/>
              <w:right w:val="single" w:sz="4" w:space="0" w:color="auto"/>
            </w:tcBorders>
            <w:shd w:val="clear" w:color="auto" w:fill="auto"/>
            <w:vAlign w:val="center"/>
            <w:hideMark/>
          </w:tcPr>
          <w:p w14:paraId="3C206139" w14:textId="77777777" w:rsidR="00E403D6" w:rsidRPr="00F10391" w:rsidRDefault="00E403D6" w:rsidP="0063065F">
            <w:pPr>
              <w:jc w:val="left"/>
            </w:pPr>
            <w:r w:rsidRPr="00F10391">
              <w:t>Scott A, Currie N, Donaldson C.</w:t>
            </w:r>
          </w:p>
        </w:tc>
        <w:tc>
          <w:tcPr>
            <w:tcW w:w="2078" w:type="dxa"/>
            <w:tcBorders>
              <w:top w:val="nil"/>
              <w:left w:val="nil"/>
              <w:bottom w:val="single" w:sz="4" w:space="0" w:color="auto"/>
              <w:right w:val="single" w:sz="4" w:space="0" w:color="auto"/>
            </w:tcBorders>
            <w:shd w:val="clear" w:color="auto" w:fill="auto"/>
            <w:vAlign w:val="center"/>
            <w:hideMark/>
          </w:tcPr>
          <w:p w14:paraId="413E9017" w14:textId="77777777" w:rsidR="00E403D6" w:rsidRPr="00F10391" w:rsidRDefault="00E403D6" w:rsidP="0063065F">
            <w:pPr>
              <w:jc w:val="left"/>
            </w:pPr>
            <w:r w:rsidRPr="00F10391">
              <w:t>Fam Pract. 1998 Jun;15(3):216-22.</w:t>
            </w:r>
          </w:p>
        </w:tc>
        <w:tc>
          <w:tcPr>
            <w:tcW w:w="862" w:type="dxa"/>
            <w:tcBorders>
              <w:top w:val="nil"/>
              <w:left w:val="nil"/>
              <w:bottom w:val="single" w:sz="4" w:space="0" w:color="auto"/>
              <w:right w:val="single" w:sz="4" w:space="0" w:color="auto"/>
            </w:tcBorders>
            <w:shd w:val="clear" w:color="auto" w:fill="auto"/>
            <w:noWrap/>
            <w:vAlign w:val="center"/>
            <w:hideMark/>
          </w:tcPr>
          <w:p w14:paraId="182A87A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2A35F4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08AC41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691810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0F6E6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0BAAE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8A93EC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FDB5694" w14:textId="77777777" w:rsidR="00E403D6" w:rsidRPr="00F10391" w:rsidRDefault="00E403D6">
            <w:r w:rsidRPr="00F10391">
              <w:t>Included</w:t>
            </w:r>
          </w:p>
        </w:tc>
      </w:tr>
      <w:tr w:rsidR="00E403D6" w:rsidRPr="00F10391" w14:paraId="6065698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0F6ED3" w14:textId="77777777" w:rsidR="00E403D6" w:rsidRPr="00F10391" w:rsidRDefault="00E403D6" w:rsidP="0063065F">
            <w:pPr>
              <w:jc w:val="left"/>
            </w:pPr>
            <w:r w:rsidRPr="00F10391">
              <w:t>01/06/99</w:t>
            </w:r>
          </w:p>
        </w:tc>
        <w:tc>
          <w:tcPr>
            <w:tcW w:w="2720" w:type="dxa"/>
            <w:tcBorders>
              <w:top w:val="nil"/>
              <w:left w:val="nil"/>
              <w:bottom w:val="single" w:sz="4" w:space="0" w:color="auto"/>
              <w:right w:val="single" w:sz="4" w:space="0" w:color="auto"/>
            </w:tcBorders>
            <w:shd w:val="clear" w:color="auto" w:fill="auto"/>
            <w:vAlign w:val="center"/>
            <w:hideMark/>
          </w:tcPr>
          <w:p w14:paraId="3F1B8DA9" w14:textId="77777777" w:rsidR="00E403D6" w:rsidRPr="00F10391" w:rsidRDefault="00E403D6" w:rsidP="0063065F">
            <w:pPr>
              <w:jc w:val="left"/>
            </w:pPr>
            <w:r w:rsidRPr="00F10391">
              <w:t>The Dream Of Consensus: Finding Common Ground In A Bioethical Context</w:t>
            </w:r>
          </w:p>
        </w:tc>
        <w:tc>
          <w:tcPr>
            <w:tcW w:w="1985" w:type="dxa"/>
            <w:tcBorders>
              <w:top w:val="nil"/>
              <w:left w:val="nil"/>
              <w:bottom w:val="single" w:sz="4" w:space="0" w:color="auto"/>
              <w:right w:val="single" w:sz="4" w:space="0" w:color="auto"/>
            </w:tcBorders>
            <w:shd w:val="clear" w:color="auto" w:fill="auto"/>
            <w:vAlign w:val="center"/>
            <w:hideMark/>
          </w:tcPr>
          <w:p w14:paraId="1F1673A6" w14:textId="77777777" w:rsidR="00E403D6" w:rsidRPr="00F10391" w:rsidRDefault="00E403D6" w:rsidP="0063065F">
            <w:pPr>
              <w:jc w:val="left"/>
            </w:pPr>
            <w:r w:rsidRPr="00F10391">
              <w:t>Koch, T; Rowell, M</w:t>
            </w:r>
          </w:p>
        </w:tc>
        <w:tc>
          <w:tcPr>
            <w:tcW w:w="2078" w:type="dxa"/>
            <w:tcBorders>
              <w:top w:val="nil"/>
              <w:left w:val="nil"/>
              <w:bottom w:val="single" w:sz="4" w:space="0" w:color="auto"/>
              <w:right w:val="single" w:sz="4" w:space="0" w:color="auto"/>
            </w:tcBorders>
            <w:shd w:val="clear" w:color="auto" w:fill="auto"/>
            <w:vAlign w:val="center"/>
            <w:hideMark/>
          </w:tcPr>
          <w:p w14:paraId="3B5F6652" w14:textId="77777777" w:rsidR="00E403D6" w:rsidRPr="00F10391" w:rsidRDefault="00E403D6" w:rsidP="0063065F">
            <w:pPr>
              <w:jc w:val="left"/>
            </w:pPr>
            <w:r w:rsidRPr="00F10391">
              <w:t>Theoretical Medicine And Bioethics. 1999;20(3):261-273</w:t>
            </w:r>
          </w:p>
        </w:tc>
        <w:tc>
          <w:tcPr>
            <w:tcW w:w="862" w:type="dxa"/>
            <w:tcBorders>
              <w:top w:val="nil"/>
              <w:left w:val="nil"/>
              <w:bottom w:val="single" w:sz="4" w:space="0" w:color="auto"/>
              <w:right w:val="single" w:sz="4" w:space="0" w:color="auto"/>
            </w:tcBorders>
            <w:shd w:val="clear" w:color="auto" w:fill="auto"/>
            <w:noWrap/>
            <w:vAlign w:val="center"/>
            <w:hideMark/>
          </w:tcPr>
          <w:p w14:paraId="55E5286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34C2F1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B680B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7572C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C21FC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48FD9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9345DF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905D913" w14:textId="77777777" w:rsidR="00E403D6" w:rsidRPr="00F10391" w:rsidRDefault="00E403D6">
            <w:r w:rsidRPr="00F10391">
              <w:t>Included</w:t>
            </w:r>
          </w:p>
        </w:tc>
      </w:tr>
      <w:tr w:rsidR="00E403D6" w:rsidRPr="00F10391" w14:paraId="19D3B57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D8EE9D1" w14:textId="77777777" w:rsidR="00E403D6" w:rsidRPr="00F10391" w:rsidRDefault="00E403D6" w:rsidP="0063065F">
            <w:pPr>
              <w:jc w:val="left"/>
            </w:pPr>
            <w:r w:rsidRPr="00F10391">
              <w:t>04/09/99</w:t>
            </w:r>
          </w:p>
        </w:tc>
        <w:tc>
          <w:tcPr>
            <w:tcW w:w="2720" w:type="dxa"/>
            <w:tcBorders>
              <w:top w:val="nil"/>
              <w:left w:val="nil"/>
              <w:bottom w:val="single" w:sz="4" w:space="0" w:color="auto"/>
              <w:right w:val="single" w:sz="4" w:space="0" w:color="auto"/>
            </w:tcBorders>
            <w:shd w:val="clear" w:color="auto" w:fill="auto"/>
            <w:vAlign w:val="center"/>
            <w:hideMark/>
          </w:tcPr>
          <w:p w14:paraId="5EACB51D" w14:textId="77777777" w:rsidR="00E403D6" w:rsidRPr="00F10391" w:rsidRDefault="00E403D6" w:rsidP="0063065F">
            <w:pPr>
              <w:jc w:val="left"/>
            </w:pPr>
            <w:r w:rsidRPr="00F10391">
              <w:t>The Dream Of Consensus: Finding Common Ground In A Bioethical Context.</w:t>
            </w:r>
          </w:p>
        </w:tc>
        <w:tc>
          <w:tcPr>
            <w:tcW w:w="1985" w:type="dxa"/>
            <w:tcBorders>
              <w:top w:val="nil"/>
              <w:left w:val="nil"/>
              <w:bottom w:val="single" w:sz="4" w:space="0" w:color="auto"/>
              <w:right w:val="single" w:sz="4" w:space="0" w:color="auto"/>
            </w:tcBorders>
            <w:shd w:val="clear" w:color="auto" w:fill="auto"/>
            <w:vAlign w:val="center"/>
            <w:hideMark/>
          </w:tcPr>
          <w:p w14:paraId="22AD1099" w14:textId="77777777" w:rsidR="00E403D6" w:rsidRPr="00F10391" w:rsidRDefault="00E403D6" w:rsidP="0063065F">
            <w:pPr>
              <w:jc w:val="left"/>
            </w:pPr>
            <w:r w:rsidRPr="00F10391">
              <w:t>Koch T, Rowell M.</w:t>
            </w:r>
          </w:p>
        </w:tc>
        <w:tc>
          <w:tcPr>
            <w:tcW w:w="2078" w:type="dxa"/>
            <w:tcBorders>
              <w:top w:val="nil"/>
              <w:left w:val="nil"/>
              <w:bottom w:val="single" w:sz="4" w:space="0" w:color="auto"/>
              <w:right w:val="single" w:sz="4" w:space="0" w:color="auto"/>
            </w:tcBorders>
            <w:shd w:val="clear" w:color="auto" w:fill="auto"/>
            <w:vAlign w:val="center"/>
            <w:hideMark/>
          </w:tcPr>
          <w:p w14:paraId="6462891C" w14:textId="77777777" w:rsidR="00E403D6" w:rsidRPr="00F10391" w:rsidRDefault="00E403D6" w:rsidP="0063065F">
            <w:pPr>
              <w:jc w:val="left"/>
            </w:pPr>
            <w:r w:rsidRPr="00F10391">
              <w:t>Theor Med Bioeth. 1999 Jun;20(3):261-73.</w:t>
            </w:r>
          </w:p>
        </w:tc>
        <w:tc>
          <w:tcPr>
            <w:tcW w:w="862" w:type="dxa"/>
            <w:tcBorders>
              <w:top w:val="nil"/>
              <w:left w:val="nil"/>
              <w:bottom w:val="single" w:sz="4" w:space="0" w:color="auto"/>
              <w:right w:val="single" w:sz="4" w:space="0" w:color="auto"/>
            </w:tcBorders>
            <w:shd w:val="clear" w:color="auto" w:fill="auto"/>
            <w:noWrap/>
            <w:vAlign w:val="center"/>
            <w:hideMark/>
          </w:tcPr>
          <w:p w14:paraId="3332D49C"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0132B8E"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A7AB9F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13DB26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6F188D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B1C344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40EE8F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B0BAC09" w14:textId="77777777" w:rsidR="00E403D6" w:rsidRPr="00F10391" w:rsidRDefault="00E403D6">
            <w:r w:rsidRPr="00F10391">
              <w:t>Excluded</w:t>
            </w:r>
          </w:p>
        </w:tc>
      </w:tr>
      <w:tr w:rsidR="00E403D6" w:rsidRPr="00F10391" w14:paraId="6071476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9E5EBD9" w14:textId="77777777" w:rsidR="00E403D6" w:rsidRPr="00F10391" w:rsidRDefault="00E403D6" w:rsidP="0063065F">
            <w:pPr>
              <w:jc w:val="left"/>
            </w:pPr>
            <w:r w:rsidRPr="00F10391">
              <w:t>15/12/99</w:t>
            </w:r>
          </w:p>
        </w:tc>
        <w:tc>
          <w:tcPr>
            <w:tcW w:w="2720" w:type="dxa"/>
            <w:tcBorders>
              <w:top w:val="nil"/>
              <w:left w:val="nil"/>
              <w:bottom w:val="single" w:sz="4" w:space="0" w:color="auto"/>
              <w:right w:val="single" w:sz="4" w:space="0" w:color="auto"/>
            </w:tcBorders>
            <w:shd w:val="clear" w:color="auto" w:fill="auto"/>
            <w:vAlign w:val="center"/>
            <w:hideMark/>
          </w:tcPr>
          <w:p w14:paraId="3495DE91" w14:textId="77777777" w:rsidR="00E403D6" w:rsidRPr="00F10391" w:rsidRDefault="00E403D6" w:rsidP="0063065F">
            <w:pPr>
              <w:jc w:val="left"/>
            </w:pPr>
            <w:r w:rsidRPr="00F10391">
              <w:t>Multi-Criteria Decision Making - An Approach To Setting Priorities In Health Care</w:t>
            </w:r>
          </w:p>
        </w:tc>
        <w:tc>
          <w:tcPr>
            <w:tcW w:w="1985" w:type="dxa"/>
            <w:tcBorders>
              <w:top w:val="nil"/>
              <w:left w:val="nil"/>
              <w:bottom w:val="single" w:sz="4" w:space="0" w:color="auto"/>
              <w:right w:val="single" w:sz="4" w:space="0" w:color="auto"/>
            </w:tcBorders>
            <w:shd w:val="clear" w:color="auto" w:fill="auto"/>
            <w:vAlign w:val="center"/>
            <w:hideMark/>
          </w:tcPr>
          <w:p w14:paraId="74882861" w14:textId="77777777" w:rsidR="00E403D6" w:rsidRPr="005D7324" w:rsidRDefault="00E403D6" w:rsidP="0063065F">
            <w:pPr>
              <w:jc w:val="left"/>
            </w:pPr>
            <w:r w:rsidRPr="005D7324">
              <w:t>Nobre, FF; Trotta, LTF; Gomes, LFAM</w:t>
            </w:r>
          </w:p>
        </w:tc>
        <w:tc>
          <w:tcPr>
            <w:tcW w:w="2078" w:type="dxa"/>
            <w:tcBorders>
              <w:top w:val="nil"/>
              <w:left w:val="nil"/>
              <w:bottom w:val="single" w:sz="4" w:space="0" w:color="auto"/>
              <w:right w:val="single" w:sz="4" w:space="0" w:color="auto"/>
            </w:tcBorders>
            <w:shd w:val="clear" w:color="auto" w:fill="auto"/>
            <w:vAlign w:val="center"/>
            <w:hideMark/>
          </w:tcPr>
          <w:p w14:paraId="26820AEC" w14:textId="77777777" w:rsidR="00E403D6" w:rsidRPr="00F10391" w:rsidRDefault="00E403D6" w:rsidP="0063065F">
            <w:pPr>
              <w:jc w:val="left"/>
            </w:pPr>
            <w:r w:rsidRPr="00F10391">
              <w:t>Statistics In Medicine. 1999;18(23):3345-3354</w:t>
            </w:r>
          </w:p>
        </w:tc>
        <w:tc>
          <w:tcPr>
            <w:tcW w:w="862" w:type="dxa"/>
            <w:tcBorders>
              <w:top w:val="nil"/>
              <w:left w:val="nil"/>
              <w:bottom w:val="single" w:sz="4" w:space="0" w:color="auto"/>
              <w:right w:val="single" w:sz="4" w:space="0" w:color="auto"/>
            </w:tcBorders>
            <w:shd w:val="clear" w:color="auto" w:fill="auto"/>
            <w:noWrap/>
            <w:vAlign w:val="center"/>
            <w:hideMark/>
          </w:tcPr>
          <w:p w14:paraId="65E9D8F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735AF1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18B992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37FD1D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9A259C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5A3ED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529B68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C4BBBD2" w14:textId="77777777" w:rsidR="00E403D6" w:rsidRPr="00F10391" w:rsidRDefault="00E403D6">
            <w:r w:rsidRPr="00F10391">
              <w:t>Not found</w:t>
            </w:r>
          </w:p>
        </w:tc>
      </w:tr>
      <w:tr w:rsidR="00E403D6" w:rsidRPr="00F10391" w14:paraId="0D0BCC2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4CDD5CB" w14:textId="77777777" w:rsidR="00E403D6" w:rsidRPr="00F10391" w:rsidRDefault="00E403D6" w:rsidP="0063065F">
            <w:pPr>
              <w:jc w:val="left"/>
            </w:pPr>
            <w:r w:rsidRPr="00F10391">
              <w:t>22/12/99</w:t>
            </w:r>
          </w:p>
        </w:tc>
        <w:tc>
          <w:tcPr>
            <w:tcW w:w="2720" w:type="dxa"/>
            <w:tcBorders>
              <w:top w:val="nil"/>
              <w:left w:val="nil"/>
              <w:bottom w:val="single" w:sz="4" w:space="0" w:color="auto"/>
              <w:right w:val="single" w:sz="4" w:space="0" w:color="auto"/>
            </w:tcBorders>
            <w:shd w:val="clear" w:color="auto" w:fill="auto"/>
            <w:vAlign w:val="center"/>
            <w:hideMark/>
          </w:tcPr>
          <w:p w14:paraId="178FCB9A" w14:textId="77777777" w:rsidR="00E403D6" w:rsidRPr="00F10391" w:rsidRDefault="00E403D6" w:rsidP="0063065F">
            <w:pPr>
              <w:jc w:val="left"/>
            </w:pPr>
            <w:r w:rsidRPr="00F10391">
              <w:t>Multi-Criteria Decision Making--An Approach To Setting Priorities In Health Care.</w:t>
            </w:r>
          </w:p>
        </w:tc>
        <w:tc>
          <w:tcPr>
            <w:tcW w:w="1985" w:type="dxa"/>
            <w:tcBorders>
              <w:top w:val="nil"/>
              <w:left w:val="nil"/>
              <w:bottom w:val="single" w:sz="4" w:space="0" w:color="auto"/>
              <w:right w:val="single" w:sz="4" w:space="0" w:color="auto"/>
            </w:tcBorders>
            <w:shd w:val="clear" w:color="auto" w:fill="auto"/>
            <w:vAlign w:val="center"/>
            <w:hideMark/>
          </w:tcPr>
          <w:p w14:paraId="02829A5B" w14:textId="77777777" w:rsidR="00E403D6" w:rsidRPr="005D7324" w:rsidRDefault="00E403D6" w:rsidP="0063065F">
            <w:pPr>
              <w:jc w:val="left"/>
            </w:pPr>
            <w:r w:rsidRPr="005D7324">
              <w:t>Nobre FF, Trotta LT, Gomes LF.</w:t>
            </w:r>
          </w:p>
        </w:tc>
        <w:tc>
          <w:tcPr>
            <w:tcW w:w="2078" w:type="dxa"/>
            <w:tcBorders>
              <w:top w:val="nil"/>
              <w:left w:val="nil"/>
              <w:bottom w:val="single" w:sz="4" w:space="0" w:color="auto"/>
              <w:right w:val="single" w:sz="4" w:space="0" w:color="auto"/>
            </w:tcBorders>
            <w:shd w:val="clear" w:color="auto" w:fill="auto"/>
            <w:vAlign w:val="center"/>
            <w:hideMark/>
          </w:tcPr>
          <w:p w14:paraId="67684C81" w14:textId="77777777" w:rsidR="00E403D6" w:rsidRPr="00F10391" w:rsidRDefault="00E403D6" w:rsidP="0063065F">
            <w:pPr>
              <w:jc w:val="left"/>
            </w:pPr>
            <w:r w:rsidRPr="00F10391">
              <w:t>Stat Med. 1999 Dec 15;18(23):3345-54.</w:t>
            </w:r>
          </w:p>
        </w:tc>
        <w:tc>
          <w:tcPr>
            <w:tcW w:w="862" w:type="dxa"/>
            <w:tcBorders>
              <w:top w:val="nil"/>
              <w:left w:val="nil"/>
              <w:bottom w:val="single" w:sz="4" w:space="0" w:color="auto"/>
              <w:right w:val="single" w:sz="4" w:space="0" w:color="auto"/>
            </w:tcBorders>
            <w:shd w:val="clear" w:color="auto" w:fill="auto"/>
            <w:noWrap/>
            <w:vAlign w:val="center"/>
            <w:hideMark/>
          </w:tcPr>
          <w:p w14:paraId="274BDA9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40DA8A7"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B0BC15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D04388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5F9C02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94C7C1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64170D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792FD49" w14:textId="77777777" w:rsidR="00E403D6" w:rsidRPr="00F10391" w:rsidRDefault="00E403D6">
            <w:r w:rsidRPr="00F10391">
              <w:t>Not found</w:t>
            </w:r>
          </w:p>
        </w:tc>
      </w:tr>
      <w:tr w:rsidR="00E403D6" w:rsidRPr="00F10391" w14:paraId="2A005DA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8A4174A" w14:textId="77777777" w:rsidR="00E403D6" w:rsidRPr="00F10391" w:rsidRDefault="00E403D6" w:rsidP="0063065F">
            <w:pPr>
              <w:jc w:val="left"/>
            </w:pPr>
            <w:r w:rsidRPr="00F10391">
              <w:t>07/01/00</w:t>
            </w:r>
          </w:p>
        </w:tc>
        <w:tc>
          <w:tcPr>
            <w:tcW w:w="2720" w:type="dxa"/>
            <w:tcBorders>
              <w:top w:val="nil"/>
              <w:left w:val="nil"/>
              <w:bottom w:val="single" w:sz="4" w:space="0" w:color="auto"/>
              <w:right w:val="single" w:sz="4" w:space="0" w:color="auto"/>
            </w:tcBorders>
            <w:shd w:val="clear" w:color="auto" w:fill="auto"/>
            <w:vAlign w:val="center"/>
            <w:hideMark/>
          </w:tcPr>
          <w:p w14:paraId="6A1E35EA" w14:textId="77777777" w:rsidR="00E403D6" w:rsidRPr="00F10391" w:rsidRDefault="00E403D6" w:rsidP="0063065F">
            <w:pPr>
              <w:jc w:val="left"/>
            </w:pPr>
            <w:r w:rsidRPr="00F10391">
              <w:t>Supporting Decision Makers In Land Use Planning Around Chemical Sites. Case Study: Expansion Of An Oil Refinery</w:t>
            </w:r>
          </w:p>
        </w:tc>
        <w:tc>
          <w:tcPr>
            <w:tcW w:w="1985" w:type="dxa"/>
            <w:tcBorders>
              <w:top w:val="nil"/>
              <w:left w:val="nil"/>
              <w:bottom w:val="single" w:sz="4" w:space="0" w:color="auto"/>
              <w:right w:val="single" w:sz="4" w:space="0" w:color="auto"/>
            </w:tcBorders>
            <w:shd w:val="clear" w:color="auto" w:fill="auto"/>
            <w:vAlign w:val="center"/>
            <w:hideMark/>
          </w:tcPr>
          <w:p w14:paraId="24074F84" w14:textId="77777777" w:rsidR="00E403D6" w:rsidRPr="00F10391" w:rsidRDefault="00E403D6" w:rsidP="0063065F">
            <w:pPr>
              <w:jc w:val="left"/>
            </w:pPr>
            <w:r w:rsidRPr="00F10391">
              <w:t>Papazoglou, IA; Bonanos, GS; Nivolianitou, ZS; Duijm, NJ; Rasmussen, B</w:t>
            </w:r>
          </w:p>
        </w:tc>
        <w:tc>
          <w:tcPr>
            <w:tcW w:w="2078" w:type="dxa"/>
            <w:tcBorders>
              <w:top w:val="nil"/>
              <w:left w:val="nil"/>
              <w:bottom w:val="single" w:sz="4" w:space="0" w:color="auto"/>
              <w:right w:val="single" w:sz="4" w:space="0" w:color="auto"/>
            </w:tcBorders>
            <w:shd w:val="clear" w:color="auto" w:fill="auto"/>
            <w:vAlign w:val="center"/>
            <w:hideMark/>
          </w:tcPr>
          <w:p w14:paraId="478237F2" w14:textId="77777777" w:rsidR="00E403D6" w:rsidRPr="00F10391" w:rsidRDefault="00E403D6" w:rsidP="0063065F">
            <w:pPr>
              <w:jc w:val="left"/>
            </w:pPr>
            <w:r w:rsidRPr="00F10391">
              <w:t>Journal Of Hazardous Materials. 2000;71(40237):343-373</w:t>
            </w:r>
          </w:p>
        </w:tc>
        <w:tc>
          <w:tcPr>
            <w:tcW w:w="862" w:type="dxa"/>
            <w:tcBorders>
              <w:top w:val="nil"/>
              <w:left w:val="nil"/>
              <w:bottom w:val="single" w:sz="4" w:space="0" w:color="auto"/>
              <w:right w:val="single" w:sz="4" w:space="0" w:color="auto"/>
            </w:tcBorders>
            <w:shd w:val="clear" w:color="auto" w:fill="auto"/>
            <w:noWrap/>
            <w:vAlign w:val="center"/>
            <w:hideMark/>
          </w:tcPr>
          <w:p w14:paraId="69A9133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652BF5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F83DD7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D550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78EA1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3BA045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24596F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2BCA485" w14:textId="77777777" w:rsidR="00E403D6" w:rsidRPr="00F10391" w:rsidRDefault="00E403D6">
            <w:r w:rsidRPr="00F10391">
              <w:t>Excluded</w:t>
            </w:r>
          </w:p>
        </w:tc>
      </w:tr>
      <w:tr w:rsidR="00E403D6" w:rsidRPr="00F10391" w14:paraId="0981BEE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15B99D" w14:textId="77777777" w:rsidR="00E403D6" w:rsidRPr="00F10391" w:rsidRDefault="00E403D6" w:rsidP="0063065F">
            <w:pPr>
              <w:jc w:val="left"/>
            </w:pPr>
            <w:r w:rsidRPr="00F10391">
              <w:t>05/02/00</w:t>
            </w:r>
          </w:p>
        </w:tc>
        <w:tc>
          <w:tcPr>
            <w:tcW w:w="2720" w:type="dxa"/>
            <w:tcBorders>
              <w:top w:val="nil"/>
              <w:left w:val="nil"/>
              <w:bottom w:val="single" w:sz="4" w:space="0" w:color="auto"/>
              <w:right w:val="single" w:sz="4" w:space="0" w:color="auto"/>
            </w:tcBorders>
            <w:shd w:val="clear" w:color="auto" w:fill="auto"/>
            <w:vAlign w:val="center"/>
            <w:hideMark/>
          </w:tcPr>
          <w:p w14:paraId="3B7EB618" w14:textId="77777777" w:rsidR="00E403D6" w:rsidRPr="00F10391" w:rsidRDefault="00E403D6" w:rsidP="0063065F">
            <w:pPr>
              <w:jc w:val="left"/>
            </w:pPr>
            <w:r w:rsidRPr="00F10391">
              <w:t>Assessing The Impact Of Total Quality Management And Organizational Culture On Multiple Outcomes Of Care For Coronary Artery Bypass Graft Surgery Patients.</w:t>
            </w:r>
          </w:p>
        </w:tc>
        <w:tc>
          <w:tcPr>
            <w:tcW w:w="1985" w:type="dxa"/>
            <w:tcBorders>
              <w:top w:val="nil"/>
              <w:left w:val="nil"/>
              <w:bottom w:val="single" w:sz="4" w:space="0" w:color="auto"/>
              <w:right w:val="single" w:sz="4" w:space="0" w:color="auto"/>
            </w:tcBorders>
            <w:shd w:val="clear" w:color="auto" w:fill="auto"/>
            <w:vAlign w:val="center"/>
            <w:hideMark/>
          </w:tcPr>
          <w:p w14:paraId="071C8C84" w14:textId="77777777" w:rsidR="00E403D6" w:rsidRPr="00F10391" w:rsidRDefault="00E403D6" w:rsidP="0063065F">
            <w:pPr>
              <w:jc w:val="left"/>
            </w:pPr>
            <w:r w:rsidRPr="00F10391">
              <w:t>Shortell SM, Jones RH, Rademaker AW, Gillies RR, Dranove DS, Hughes EF, Budetti Pp, Reynolds Ks, Huang Cf.</w:t>
            </w:r>
          </w:p>
        </w:tc>
        <w:tc>
          <w:tcPr>
            <w:tcW w:w="2078" w:type="dxa"/>
            <w:tcBorders>
              <w:top w:val="nil"/>
              <w:left w:val="nil"/>
              <w:bottom w:val="single" w:sz="4" w:space="0" w:color="auto"/>
              <w:right w:val="single" w:sz="4" w:space="0" w:color="auto"/>
            </w:tcBorders>
            <w:shd w:val="clear" w:color="auto" w:fill="auto"/>
            <w:vAlign w:val="center"/>
            <w:hideMark/>
          </w:tcPr>
          <w:p w14:paraId="6D47569A" w14:textId="77777777" w:rsidR="00E403D6" w:rsidRPr="00F10391" w:rsidRDefault="00E403D6" w:rsidP="0063065F">
            <w:pPr>
              <w:jc w:val="left"/>
            </w:pPr>
            <w:r w:rsidRPr="00F10391">
              <w:t>Med Care. 2000 Feb;38(2):207-17.</w:t>
            </w:r>
          </w:p>
        </w:tc>
        <w:tc>
          <w:tcPr>
            <w:tcW w:w="862" w:type="dxa"/>
            <w:tcBorders>
              <w:top w:val="nil"/>
              <w:left w:val="nil"/>
              <w:bottom w:val="single" w:sz="4" w:space="0" w:color="auto"/>
              <w:right w:val="single" w:sz="4" w:space="0" w:color="auto"/>
            </w:tcBorders>
            <w:shd w:val="clear" w:color="auto" w:fill="auto"/>
            <w:noWrap/>
            <w:vAlign w:val="center"/>
            <w:hideMark/>
          </w:tcPr>
          <w:p w14:paraId="64D24A0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26FDB8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8454E6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DD1A7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E4DDDD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C435B7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F17C09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D441FB9" w14:textId="77777777" w:rsidR="00E403D6" w:rsidRPr="00F10391" w:rsidRDefault="00E403D6">
            <w:r w:rsidRPr="00F10391">
              <w:t>Not found</w:t>
            </w:r>
          </w:p>
        </w:tc>
      </w:tr>
      <w:tr w:rsidR="00E403D6" w:rsidRPr="00F10391" w14:paraId="3AAC408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18523FE" w14:textId="77777777" w:rsidR="00E403D6" w:rsidRPr="00F10391" w:rsidRDefault="00E403D6" w:rsidP="0063065F">
            <w:pPr>
              <w:jc w:val="left"/>
            </w:pPr>
            <w:r w:rsidRPr="00F10391">
              <w:t>29/02/00</w:t>
            </w:r>
          </w:p>
        </w:tc>
        <w:tc>
          <w:tcPr>
            <w:tcW w:w="2720" w:type="dxa"/>
            <w:tcBorders>
              <w:top w:val="nil"/>
              <w:left w:val="nil"/>
              <w:bottom w:val="single" w:sz="4" w:space="0" w:color="auto"/>
              <w:right w:val="single" w:sz="4" w:space="0" w:color="auto"/>
            </w:tcBorders>
            <w:shd w:val="clear" w:color="auto" w:fill="auto"/>
            <w:vAlign w:val="center"/>
            <w:hideMark/>
          </w:tcPr>
          <w:p w14:paraId="7BC2A814" w14:textId="77777777" w:rsidR="00E403D6" w:rsidRPr="00F10391" w:rsidRDefault="00E403D6" w:rsidP="0063065F">
            <w:pPr>
              <w:jc w:val="left"/>
            </w:pPr>
            <w:r w:rsidRPr="00F10391">
              <w:t>Supporting Decision Makers In Land Use Planning Around Chemical Sites. Case Study: Expansion Of An Oil Refinery.</w:t>
            </w:r>
          </w:p>
        </w:tc>
        <w:tc>
          <w:tcPr>
            <w:tcW w:w="1985" w:type="dxa"/>
            <w:tcBorders>
              <w:top w:val="nil"/>
              <w:left w:val="nil"/>
              <w:bottom w:val="single" w:sz="4" w:space="0" w:color="auto"/>
              <w:right w:val="single" w:sz="4" w:space="0" w:color="auto"/>
            </w:tcBorders>
            <w:shd w:val="clear" w:color="auto" w:fill="auto"/>
            <w:vAlign w:val="center"/>
            <w:hideMark/>
          </w:tcPr>
          <w:p w14:paraId="75B6FB2D" w14:textId="77777777" w:rsidR="00E403D6" w:rsidRPr="00F10391" w:rsidRDefault="00E403D6" w:rsidP="0063065F">
            <w:pPr>
              <w:jc w:val="left"/>
            </w:pPr>
            <w:r w:rsidRPr="00F10391">
              <w:t>Papazoglou IA, Bonanos GS, Nivolianitou ZS, Duijm NJ, Rasmussen B.</w:t>
            </w:r>
          </w:p>
        </w:tc>
        <w:tc>
          <w:tcPr>
            <w:tcW w:w="2078" w:type="dxa"/>
            <w:tcBorders>
              <w:top w:val="nil"/>
              <w:left w:val="nil"/>
              <w:bottom w:val="single" w:sz="4" w:space="0" w:color="auto"/>
              <w:right w:val="single" w:sz="4" w:space="0" w:color="auto"/>
            </w:tcBorders>
            <w:shd w:val="clear" w:color="auto" w:fill="auto"/>
            <w:vAlign w:val="center"/>
            <w:hideMark/>
          </w:tcPr>
          <w:p w14:paraId="07CEED8E" w14:textId="77777777" w:rsidR="00E403D6" w:rsidRPr="00F10391" w:rsidRDefault="00E403D6" w:rsidP="0063065F">
            <w:pPr>
              <w:jc w:val="left"/>
            </w:pPr>
            <w:r w:rsidRPr="00F10391">
              <w:t>J Hazard Mater. 2000 Jan 7;71(1-3):343-73.</w:t>
            </w:r>
          </w:p>
        </w:tc>
        <w:tc>
          <w:tcPr>
            <w:tcW w:w="862" w:type="dxa"/>
            <w:tcBorders>
              <w:top w:val="nil"/>
              <w:left w:val="nil"/>
              <w:bottom w:val="single" w:sz="4" w:space="0" w:color="auto"/>
              <w:right w:val="single" w:sz="4" w:space="0" w:color="auto"/>
            </w:tcBorders>
            <w:shd w:val="clear" w:color="auto" w:fill="auto"/>
            <w:noWrap/>
            <w:vAlign w:val="center"/>
            <w:hideMark/>
          </w:tcPr>
          <w:p w14:paraId="287C0BF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9E40974"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7C4B713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5444A0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7D843E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EB20E0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FCFCD0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1F838EA" w14:textId="77777777" w:rsidR="00E403D6" w:rsidRPr="00F10391" w:rsidRDefault="00E403D6">
            <w:r w:rsidRPr="00F10391">
              <w:t>Excluded</w:t>
            </w:r>
          </w:p>
        </w:tc>
      </w:tr>
      <w:tr w:rsidR="00E403D6" w:rsidRPr="00F10391" w14:paraId="4841EC9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D343482" w14:textId="77777777" w:rsidR="00E403D6" w:rsidRPr="00F10391" w:rsidRDefault="00E403D6" w:rsidP="0063065F">
            <w:pPr>
              <w:jc w:val="left"/>
            </w:pPr>
            <w:r w:rsidRPr="00F10391">
              <w:t>21/03/00</w:t>
            </w:r>
          </w:p>
        </w:tc>
        <w:tc>
          <w:tcPr>
            <w:tcW w:w="2720" w:type="dxa"/>
            <w:tcBorders>
              <w:top w:val="nil"/>
              <w:left w:val="nil"/>
              <w:bottom w:val="single" w:sz="4" w:space="0" w:color="auto"/>
              <w:right w:val="single" w:sz="4" w:space="0" w:color="auto"/>
            </w:tcBorders>
            <w:shd w:val="clear" w:color="auto" w:fill="auto"/>
            <w:vAlign w:val="center"/>
            <w:hideMark/>
          </w:tcPr>
          <w:p w14:paraId="56CF6BA4" w14:textId="77777777" w:rsidR="00E403D6" w:rsidRPr="00F10391" w:rsidRDefault="00E403D6" w:rsidP="0063065F">
            <w:pPr>
              <w:jc w:val="left"/>
            </w:pPr>
            <w:r w:rsidRPr="00F10391">
              <w:t>Physicians' Ethical Beliefs About Cost-Control Arrangements.</w:t>
            </w:r>
          </w:p>
        </w:tc>
        <w:tc>
          <w:tcPr>
            <w:tcW w:w="1985" w:type="dxa"/>
            <w:tcBorders>
              <w:top w:val="nil"/>
              <w:left w:val="nil"/>
              <w:bottom w:val="single" w:sz="4" w:space="0" w:color="auto"/>
              <w:right w:val="single" w:sz="4" w:space="0" w:color="auto"/>
            </w:tcBorders>
            <w:shd w:val="clear" w:color="auto" w:fill="auto"/>
            <w:vAlign w:val="center"/>
            <w:hideMark/>
          </w:tcPr>
          <w:p w14:paraId="6E615BB3" w14:textId="77777777" w:rsidR="00E403D6" w:rsidRPr="00F10391" w:rsidRDefault="00E403D6" w:rsidP="0063065F">
            <w:pPr>
              <w:jc w:val="left"/>
            </w:pPr>
            <w:r w:rsidRPr="00F10391">
              <w:t>Sulmasy Dp, Bloche Mg, Mitchell Jm, Hadley J.</w:t>
            </w:r>
          </w:p>
        </w:tc>
        <w:tc>
          <w:tcPr>
            <w:tcW w:w="2078" w:type="dxa"/>
            <w:tcBorders>
              <w:top w:val="nil"/>
              <w:left w:val="nil"/>
              <w:bottom w:val="single" w:sz="4" w:space="0" w:color="auto"/>
              <w:right w:val="single" w:sz="4" w:space="0" w:color="auto"/>
            </w:tcBorders>
            <w:shd w:val="clear" w:color="auto" w:fill="auto"/>
            <w:vAlign w:val="center"/>
            <w:hideMark/>
          </w:tcPr>
          <w:p w14:paraId="2807DC2A" w14:textId="77777777" w:rsidR="00E403D6" w:rsidRPr="00F10391" w:rsidRDefault="00E403D6" w:rsidP="0063065F">
            <w:pPr>
              <w:jc w:val="left"/>
            </w:pPr>
            <w:r w:rsidRPr="00F10391">
              <w:t>Arch Intern Med. 2000 Mar 13;160(5):649-57.</w:t>
            </w:r>
          </w:p>
        </w:tc>
        <w:tc>
          <w:tcPr>
            <w:tcW w:w="862" w:type="dxa"/>
            <w:tcBorders>
              <w:top w:val="nil"/>
              <w:left w:val="nil"/>
              <w:bottom w:val="single" w:sz="4" w:space="0" w:color="auto"/>
              <w:right w:val="single" w:sz="4" w:space="0" w:color="auto"/>
            </w:tcBorders>
            <w:shd w:val="clear" w:color="auto" w:fill="auto"/>
            <w:noWrap/>
            <w:vAlign w:val="center"/>
            <w:hideMark/>
          </w:tcPr>
          <w:p w14:paraId="5095EDB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2CDFAC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31B321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55E396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CC3CF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4AC95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819BAC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E1F77C0" w14:textId="77777777" w:rsidR="00E403D6" w:rsidRPr="00F10391" w:rsidRDefault="00E403D6">
            <w:r w:rsidRPr="00F10391">
              <w:t>Not found</w:t>
            </w:r>
          </w:p>
        </w:tc>
      </w:tr>
      <w:tr w:rsidR="00E403D6" w:rsidRPr="00F10391" w14:paraId="70B60E2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41D8591" w14:textId="77777777" w:rsidR="00E403D6" w:rsidRPr="00F10391" w:rsidRDefault="00E403D6" w:rsidP="0063065F">
            <w:pPr>
              <w:jc w:val="left"/>
            </w:pPr>
            <w:r w:rsidRPr="00F10391">
              <w:t>01/09/00</w:t>
            </w:r>
          </w:p>
        </w:tc>
        <w:tc>
          <w:tcPr>
            <w:tcW w:w="2720" w:type="dxa"/>
            <w:tcBorders>
              <w:top w:val="nil"/>
              <w:left w:val="nil"/>
              <w:bottom w:val="single" w:sz="4" w:space="0" w:color="auto"/>
              <w:right w:val="single" w:sz="4" w:space="0" w:color="auto"/>
            </w:tcBorders>
            <w:shd w:val="clear" w:color="auto" w:fill="auto"/>
            <w:vAlign w:val="center"/>
            <w:hideMark/>
          </w:tcPr>
          <w:p w14:paraId="1B99CE11" w14:textId="77777777" w:rsidR="00E403D6" w:rsidRPr="00F10391" w:rsidRDefault="00E403D6" w:rsidP="0063065F">
            <w:pPr>
              <w:jc w:val="left"/>
            </w:pPr>
            <w:r w:rsidRPr="00F10391">
              <w:t>Decision Of Water Supply Line Under Uncertainty</w:t>
            </w:r>
          </w:p>
        </w:tc>
        <w:tc>
          <w:tcPr>
            <w:tcW w:w="1985" w:type="dxa"/>
            <w:tcBorders>
              <w:top w:val="nil"/>
              <w:left w:val="nil"/>
              <w:bottom w:val="single" w:sz="4" w:space="0" w:color="auto"/>
              <w:right w:val="single" w:sz="4" w:space="0" w:color="auto"/>
            </w:tcBorders>
            <w:shd w:val="clear" w:color="auto" w:fill="auto"/>
            <w:vAlign w:val="center"/>
            <w:hideMark/>
          </w:tcPr>
          <w:p w14:paraId="7683131A" w14:textId="77777777" w:rsidR="00E403D6" w:rsidRPr="00F10391" w:rsidRDefault="00E403D6" w:rsidP="0063065F">
            <w:pPr>
              <w:jc w:val="left"/>
            </w:pPr>
            <w:r w:rsidRPr="00F10391">
              <w:t>Lee, Yw; Bogardi, I; Kim, Jh</w:t>
            </w:r>
          </w:p>
        </w:tc>
        <w:tc>
          <w:tcPr>
            <w:tcW w:w="2078" w:type="dxa"/>
            <w:tcBorders>
              <w:top w:val="nil"/>
              <w:left w:val="nil"/>
              <w:bottom w:val="single" w:sz="4" w:space="0" w:color="auto"/>
              <w:right w:val="single" w:sz="4" w:space="0" w:color="auto"/>
            </w:tcBorders>
            <w:shd w:val="clear" w:color="auto" w:fill="auto"/>
            <w:vAlign w:val="center"/>
            <w:hideMark/>
          </w:tcPr>
          <w:p w14:paraId="1D80BDBD" w14:textId="77777777" w:rsidR="00E403D6" w:rsidRPr="00F10391" w:rsidRDefault="00E403D6" w:rsidP="0063065F">
            <w:pPr>
              <w:jc w:val="left"/>
            </w:pPr>
            <w:r w:rsidRPr="00F10391">
              <w:t>Water Research. 2000;34(13):3371-3379</w:t>
            </w:r>
          </w:p>
        </w:tc>
        <w:tc>
          <w:tcPr>
            <w:tcW w:w="862" w:type="dxa"/>
            <w:tcBorders>
              <w:top w:val="nil"/>
              <w:left w:val="nil"/>
              <w:bottom w:val="single" w:sz="4" w:space="0" w:color="auto"/>
              <w:right w:val="single" w:sz="4" w:space="0" w:color="auto"/>
            </w:tcBorders>
            <w:shd w:val="clear" w:color="auto" w:fill="auto"/>
            <w:noWrap/>
            <w:vAlign w:val="center"/>
            <w:hideMark/>
          </w:tcPr>
          <w:p w14:paraId="6EFBC7B6"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C2978F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E1292A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990818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C6243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768E5D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E4747D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F9C0D47" w14:textId="77777777" w:rsidR="00E403D6" w:rsidRPr="00F10391" w:rsidRDefault="00E403D6">
            <w:r w:rsidRPr="00F10391">
              <w:t>Excluded</w:t>
            </w:r>
          </w:p>
        </w:tc>
      </w:tr>
      <w:tr w:rsidR="00E403D6" w:rsidRPr="00F10391" w14:paraId="0F2CF10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34A7C5D" w14:textId="77777777" w:rsidR="00E403D6" w:rsidRPr="00F10391" w:rsidRDefault="00E403D6" w:rsidP="0063065F">
            <w:pPr>
              <w:jc w:val="left"/>
            </w:pPr>
            <w:r w:rsidRPr="00F10391">
              <w:t>01/12/00</w:t>
            </w:r>
          </w:p>
        </w:tc>
        <w:tc>
          <w:tcPr>
            <w:tcW w:w="2720" w:type="dxa"/>
            <w:tcBorders>
              <w:top w:val="nil"/>
              <w:left w:val="nil"/>
              <w:bottom w:val="single" w:sz="4" w:space="0" w:color="auto"/>
              <w:right w:val="single" w:sz="4" w:space="0" w:color="auto"/>
            </w:tcBorders>
            <w:shd w:val="clear" w:color="auto" w:fill="auto"/>
            <w:vAlign w:val="center"/>
            <w:hideMark/>
          </w:tcPr>
          <w:p w14:paraId="2B91AF43" w14:textId="77777777" w:rsidR="00E403D6" w:rsidRPr="00F10391" w:rsidRDefault="00E403D6" w:rsidP="0063065F">
            <w:pPr>
              <w:jc w:val="left"/>
            </w:pPr>
            <w:r w:rsidRPr="00F10391">
              <w:t>Using Multicriteria Methods In Environmental Planning And Management</w:t>
            </w:r>
          </w:p>
        </w:tc>
        <w:tc>
          <w:tcPr>
            <w:tcW w:w="1985" w:type="dxa"/>
            <w:tcBorders>
              <w:top w:val="nil"/>
              <w:left w:val="nil"/>
              <w:bottom w:val="single" w:sz="4" w:space="0" w:color="auto"/>
              <w:right w:val="single" w:sz="4" w:space="0" w:color="auto"/>
            </w:tcBorders>
            <w:shd w:val="clear" w:color="auto" w:fill="auto"/>
            <w:vAlign w:val="center"/>
            <w:hideMark/>
          </w:tcPr>
          <w:p w14:paraId="0EFD6F04" w14:textId="77777777" w:rsidR="00E403D6" w:rsidRPr="00F10391" w:rsidRDefault="00E403D6" w:rsidP="0063065F">
            <w:pPr>
              <w:jc w:val="left"/>
            </w:pPr>
            <w:r w:rsidRPr="00F10391">
              <w:t>Lahdelma, R; Salminen, P; Hokkanen, J</w:t>
            </w:r>
          </w:p>
        </w:tc>
        <w:tc>
          <w:tcPr>
            <w:tcW w:w="2078" w:type="dxa"/>
            <w:tcBorders>
              <w:top w:val="nil"/>
              <w:left w:val="nil"/>
              <w:bottom w:val="single" w:sz="4" w:space="0" w:color="auto"/>
              <w:right w:val="single" w:sz="4" w:space="0" w:color="auto"/>
            </w:tcBorders>
            <w:shd w:val="clear" w:color="auto" w:fill="auto"/>
            <w:vAlign w:val="center"/>
            <w:hideMark/>
          </w:tcPr>
          <w:p w14:paraId="2B989F7B" w14:textId="77777777" w:rsidR="00E403D6" w:rsidRPr="00F10391" w:rsidRDefault="00E403D6" w:rsidP="0063065F">
            <w:pPr>
              <w:jc w:val="left"/>
            </w:pPr>
            <w:r w:rsidRPr="00F10391">
              <w:t>Environmental Management. 2000;26(6):595-605</w:t>
            </w:r>
          </w:p>
        </w:tc>
        <w:tc>
          <w:tcPr>
            <w:tcW w:w="862" w:type="dxa"/>
            <w:tcBorders>
              <w:top w:val="nil"/>
              <w:left w:val="nil"/>
              <w:bottom w:val="single" w:sz="4" w:space="0" w:color="auto"/>
              <w:right w:val="single" w:sz="4" w:space="0" w:color="auto"/>
            </w:tcBorders>
            <w:shd w:val="clear" w:color="auto" w:fill="auto"/>
            <w:noWrap/>
            <w:vAlign w:val="center"/>
            <w:hideMark/>
          </w:tcPr>
          <w:p w14:paraId="192AFFE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1A8596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27A6A0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4295C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793AE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BD5859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971B06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988C650" w14:textId="77777777" w:rsidR="00E403D6" w:rsidRPr="00F10391" w:rsidRDefault="00E403D6">
            <w:r w:rsidRPr="00F10391">
              <w:t>Excluded</w:t>
            </w:r>
          </w:p>
        </w:tc>
      </w:tr>
      <w:tr w:rsidR="00E403D6" w:rsidRPr="00F10391" w14:paraId="1D8DFE2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A27B76B" w14:textId="77777777" w:rsidR="00E403D6" w:rsidRPr="00F10391" w:rsidRDefault="00E403D6" w:rsidP="0063065F">
            <w:pPr>
              <w:jc w:val="left"/>
            </w:pPr>
            <w:r w:rsidRPr="00F10391">
              <w:t>05/12/00</w:t>
            </w:r>
          </w:p>
        </w:tc>
        <w:tc>
          <w:tcPr>
            <w:tcW w:w="2720" w:type="dxa"/>
            <w:tcBorders>
              <w:top w:val="nil"/>
              <w:left w:val="nil"/>
              <w:bottom w:val="single" w:sz="4" w:space="0" w:color="auto"/>
              <w:right w:val="single" w:sz="4" w:space="0" w:color="auto"/>
            </w:tcBorders>
            <w:shd w:val="clear" w:color="auto" w:fill="auto"/>
            <w:vAlign w:val="center"/>
            <w:hideMark/>
          </w:tcPr>
          <w:p w14:paraId="70B452D8" w14:textId="77777777" w:rsidR="00E403D6" w:rsidRPr="00F10391" w:rsidRDefault="00E403D6" w:rsidP="0063065F">
            <w:pPr>
              <w:jc w:val="left"/>
            </w:pPr>
            <w:r w:rsidRPr="00F10391">
              <w:t>Institutional Considerations In Priority Setting: Transactions Cost Perspective On Pbma.</w:t>
            </w:r>
          </w:p>
        </w:tc>
        <w:tc>
          <w:tcPr>
            <w:tcW w:w="1985" w:type="dxa"/>
            <w:tcBorders>
              <w:top w:val="nil"/>
              <w:left w:val="nil"/>
              <w:bottom w:val="single" w:sz="4" w:space="0" w:color="auto"/>
              <w:right w:val="single" w:sz="4" w:space="0" w:color="auto"/>
            </w:tcBorders>
            <w:shd w:val="clear" w:color="auto" w:fill="auto"/>
            <w:vAlign w:val="center"/>
            <w:hideMark/>
          </w:tcPr>
          <w:p w14:paraId="50DB138A" w14:textId="77777777" w:rsidR="00E403D6" w:rsidRPr="00F10391" w:rsidRDefault="00E403D6" w:rsidP="0063065F">
            <w:pPr>
              <w:jc w:val="left"/>
            </w:pPr>
            <w:r w:rsidRPr="00F10391">
              <w:t>Jan S.</w:t>
            </w:r>
          </w:p>
        </w:tc>
        <w:tc>
          <w:tcPr>
            <w:tcW w:w="2078" w:type="dxa"/>
            <w:tcBorders>
              <w:top w:val="nil"/>
              <w:left w:val="nil"/>
              <w:bottom w:val="single" w:sz="4" w:space="0" w:color="auto"/>
              <w:right w:val="single" w:sz="4" w:space="0" w:color="auto"/>
            </w:tcBorders>
            <w:shd w:val="clear" w:color="auto" w:fill="auto"/>
            <w:vAlign w:val="center"/>
            <w:hideMark/>
          </w:tcPr>
          <w:p w14:paraId="7F8984B3" w14:textId="77777777" w:rsidR="00E403D6" w:rsidRPr="00F10391" w:rsidRDefault="00E403D6" w:rsidP="0063065F">
            <w:pPr>
              <w:jc w:val="left"/>
            </w:pPr>
            <w:r w:rsidRPr="00F10391">
              <w:t>Health Econ. 2000 Oct;9(7):631-41.</w:t>
            </w:r>
          </w:p>
        </w:tc>
        <w:tc>
          <w:tcPr>
            <w:tcW w:w="862" w:type="dxa"/>
            <w:tcBorders>
              <w:top w:val="nil"/>
              <w:left w:val="nil"/>
              <w:bottom w:val="single" w:sz="4" w:space="0" w:color="auto"/>
              <w:right w:val="single" w:sz="4" w:space="0" w:color="auto"/>
            </w:tcBorders>
            <w:shd w:val="clear" w:color="auto" w:fill="auto"/>
            <w:noWrap/>
            <w:vAlign w:val="center"/>
            <w:hideMark/>
          </w:tcPr>
          <w:p w14:paraId="59B4B2A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43577A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23CC9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1020FF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72C586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B47DB5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EB7028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DE8F864" w14:textId="77777777" w:rsidR="00E403D6" w:rsidRPr="00F10391" w:rsidRDefault="00E403D6">
            <w:r w:rsidRPr="00F10391">
              <w:t>Included</w:t>
            </w:r>
          </w:p>
        </w:tc>
      </w:tr>
      <w:tr w:rsidR="00E403D6" w:rsidRPr="00F10391" w14:paraId="227D9E3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5AFDBF" w14:textId="77777777" w:rsidR="00E403D6" w:rsidRPr="00F10391" w:rsidRDefault="00E403D6" w:rsidP="0063065F">
            <w:pPr>
              <w:jc w:val="left"/>
            </w:pPr>
            <w:r w:rsidRPr="00F10391">
              <w:t>01/01/01</w:t>
            </w:r>
          </w:p>
        </w:tc>
        <w:tc>
          <w:tcPr>
            <w:tcW w:w="2720" w:type="dxa"/>
            <w:tcBorders>
              <w:top w:val="nil"/>
              <w:left w:val="nil"/>
              <w:bottom w:val="single" w:sz="4" w:space="0" w:color="auto"/>
              <w:right w:val="single" w:sz="4" w:space="0" w:color="auto"/>
            </w:tcBorders>
            <w:shd w:val="clear" w:color="auto" w:fill="auto"/>
            <w:vAlign w:val="center"/>
            <w:hideMark/>
          </w:tcPr>
          <w:p w14:paraId="1CC56659" w14:textId="77777777" w:rsidR="00E403D6" w:rsidRPr="00F10391" w:rsidRDefault="00E403D6" w:rsidP="0063065F">
            <w:pPr>
              <w:jc w:val="left"/>
            </w:pPr>
            <w:r w:rsidRPr="00F10391">
              <w:t>Maximising Health Gain Within Available Resources In The New Zealand Public Health System</w:t>
            </w:r>
          </w:p>
        </w:tc>
        <w:tc>
          <w:tcPr>
            <w:tcW w:w="1985" w:type="dxa"/>
            <w:tcBorders>
              <w:top w:val="nil"/>
              <w:left w:val="nil"/>
              <w:bottom w:val="single" w:sz="4" w:space="0" w:color="auto"/>
              <w:right w:val="single" w:sz="4" w:space="0" w:color="auto"/>
            </w:tcBorders>
            <w:shd w:val="clear" w:color="auto" w:fill="auto"/>
            <w:vAlign w:val="center"/>
            <w:hideMark/>
          </w:tcPr>
          <w:p w14:paraId="5BF435C7" w14:textId="77777777" w:rsidR="00E403D6" w:rsidRPr="00F10391" w:rsidRDefault="00E403D6" w:rsidP="0063065F">
            <w:pPr>
              <w:jc w:val="left"/>
            </w:pPr>
            <w:r w:rsidRPr="00F10391">
              <w:t>Bohmer, P; Pain, C; Watt, A; Abernethy, P; Sceats, J</w:t>
            </w:r>
          </w:p>
        </w:tc>
        <w:tc>
          <w:tcPr>
            <w:tcW w:w="2078" w:type="dxa"/>
            <w:tcBorders>
              <w:top w:val="nil"/>
              <w:left w:val="nil"/>
              <w:bottom w:val="single" w:sz="4" w:space="0" w:color="auto"/>
              <w:right w:val="single" w:sz="4" w:space="0" w:color="auto"/>
            </w:tcBorders>
            <w:shd w:val="clear" w:color="auto" w:fill="auto"/>
            <w:vAlign w:val="center"/>
            <w:hideMark/>
          </w:tcPr>
          <w:p w14:paraId="42BFFE24" w14:textId="77777777" w:rsidR="00E403D6" w:rsidRPr="00F10391" w:rsidRDefault="00E403D6" w:rsidP="0063065F">
            <w:pPr>
              <w:jc w:val="left"/>
            </w:pPr>
            <w:r w:rsidRPr="00F10391">
              <w:t>Health Policy. 2001;55(1):37-50</w:t>
            </w:r>
          </w:p>
        </w:tc>
        <w:tc>
          <w:tcPr>
            <w:tcW w:w="862" w:type="dxa"/>
            <w:tcBorders>
              <w:top w:val="nil"/>
              <w:left w:val="nil"/>
              <w:bottom w:val="single" w:sz="4" w:space="0" w:color="auto"/>
              <w:right w:val="single" w:sz="4" w:space="0" w:color="auto"/>
            </w:tcBorders>
            <w:shd w:val="clear" w:color="auto" w:fill="auto"/>
            <w:noWrap/>
            <w:vAlign w:val="center"/>
            <w:hideMark/>
          </w:tcPr>
          <w:p w14:paraId="5A8585A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F65BBC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CE08B4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4C8E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F8C93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4D33A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FC274B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2055AEB" w14:textId="77777777" w:rsidR="00E403D6" w:rsidRPr="00F10391" w:rsidRDefault="00E403D6">
            <w:r w:rsidRPr="00F10391">
              <w:t>Included</w:t>
            </w:r>
          </w:p>
        </w:tc>
      </w:tr>
      <w:tr w:rsidR="00E403D6" w:rsidRPr="00F10391" w14:paraId="03CB2B7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82AC02E" w14:textId="77777777" w:rsidR="00E403D6" w:rsidRPr="00F10391" w:rsidRDefault="00E403D6" w:rsidP="0063065F">
            <w:pPr>
              <w:jc w:val="left"/>
            </w:pPr>
            <w:r w:rsidRPr="00F10391">
              <w:t>03/01/01</w:t>
            </w:r>
          </w:p>
        </w:tc>
        <w:tc>
          <w:tcPr>
            <w:tcW w:w="2720" w:type="dxa"/>
            <w:tcBorders>
              <w:top w:val="nil"/>
              <w:left w:val="nil"/>
              <w:bottom w:val="single" w:sz="4" w:space="0" w:color="auto"/>
              <w:right w:val="single" w:sz="4" w:space="0" w:color="auto"/>
            </w:tcBorders>
            <w:shd w:val="clear" w:color="auto" w:fill="auto"/>
            <w:vAlign w:val="center"/>
            <w:hideMark/>
          </w:tcPr>
          <w:p w14:paraId="2B1B714A" w14:textId="77777777" w:rsidR="00E403D6" w:rsidRPr="00F10391" w:rsidRDefault="00E403D6" w:rsidP="0063065F">
            <w:pPr>
              <w:jc w:val="left"/>
            </w:pPr>
            <w:r w:rsidRPr="00F10391">
              <w:t>Bayesian Methods In Health Technology Assessment: A Review.</w:t>
            </w:r>
          </w:p>
        </w:tc>
        <w:tc>
          <w:tcPr>
            <w:tcW w:w="1985" w:type="dxa"/>
            <w:tcBorders>
              <w:top w:val="nil"/>
              <w:left w:val="nil"/>
              <w:bottom w:val="single" w:sz="4" w:space="0" w:color="auto"/>
              <w:right w:val="single" w:sz="4" w:space="0" w:color="auto"/>
            </w:tcBorders>
            <w:shd w:val="clear" w:color="auto" w:fill="auto"/>
            <w:vAlign w:val="center"/>
            <w:hideMark/>
          </w:tcPr>
          <w:p w14:paraId="56D5EFC9" w14:textId="77777777" w:rsidR="00E403D6" w:rsidRPr="005D7324" w:rsidRDefault="00E403D6" w:rsidP="0063065F">
            <w:pPr>
              <w:jc w:val="left"/>
            </w:pPr>
            <w:r w:rsidRPr="005D7324">
              <w:t>Spiegelhalter Dj, Myles Jp, Jones Dr, Abrams Kr.</w:t>
            </w:r>
          </w:p>
        </w:tc>
        <w:tc>
          <w:tcPr>
            <w:tcW w:w="2078" w:type="dxa"/>
            <w:tcBorders>
              <w:top w:val="nil"/>
              <w:left w:val="nil"/>
              <w:bottom w:val="single" w:sz="4" w:space="0" w:color="auto"/>
              <w:right w:val="single" w:sz="4" w:space="0" w:color="auto"/>
            </w:tcBorders>
            <w:shd w:val="clear" w:color="auto" w:fill="auto"/>
            <w:vAlign w:val="center"/>
            <w:hideMark/>
          </w:tcPr>
          <w:p w14:paraId="685CCBEE" w14:textId="77777777" w:rsidR="00E403D6" w:rsidRPr="00F10391" w:rsidRDefault="00E403D6" w:rsidP="0063065F">
            <w:pPr>
              <w:jc w:val="left"/>
            </w:pPr>
            <w:r w:rsidRPr="00F10391">
              <w:t>Health Technol Assess. 2000;4(38):1-130. Review.</w:t>
            </w:r>
          </w:p>
        </w:tc>
        <w:tc>
          <w:tcPr>
            <w:tcW w:w="862" w:type="dxa"/>
            <w:tcBorders>
              <w:top w:val="nil"/>
              <w:left w:val="nil"/>
              <w:bottom w:val="single" w:sz="4" w:space="0" w:color="auto"/>
              <w:right w:val="single" w:sz="4" w:space="0" w:color="auto"/>
            </w:tcBorders>
            <w:shd w:val="clear" w:color="auto" w:fill="auto"/>
            <w:noWrap/>
            <w:vAlign w:val="center"/>
            <w:hideMark/>
          </w:tcPr>
          <w:p w14:paraId="4B08687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C9C728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8E1671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3D18A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4E88295"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76E670E2"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0185776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8417FA7" w14:textId="77777777" w:rsidR="00E403D6" w:rsidRPr="00F10391" w:rsidRDefault="00E403D6">
            <w:r w:rsidRPr="00F10391">
              <w:t>Not found</w:t>
            </w:r>
          </w:p>
        </w:tc>
      </w:tr>
      <w:tr w:rsidR="00E403D6" w:rsidRPr="00F10391" w14:paraId="29BAF1C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44E8A82" w14:textId="77777777" w:rsidR="00E403D6" w:rsidRPr="00F10391" w:rsidRDefault="00E403D6" w:rsidP="0063065F">
            <w:pPr>
              <w:jc w:val="left"/>
            </w:pPr>
            <w:r w:rsidRPr="00F10391">
              <w:t>04/01/01</w:t>
            </w:r>
          </w:p>
        </w:tc>
        <w:tc>
          <w:tcPr>
            <w:tcW w:w="2720" w:type="dxa"/>
            <w:tcBorders>
              <w:top w:val="nil"/>
              <w:left w:val="nil"/>
              <w:bottom w:val="single" w:sz="4" w:space="0" w:color="auto"/>
              <w:right w:val="single" w:sz="4" w:space="0" w:color="auto"/>
            </w:tcBorders>
            <w:shd w:val="clear" w:color="auto" w:fill="auto"/>
            <w:vAlign w:val="center"/>
            <w:hideMark/>
          </w:tcPr>
          <w:p w14:paraId="74246BC0" w14:textId="77777777" w:rsidR="00E403D6" w:rsidRPr="00F10391" w:rsidRDefault="00E403D6" w:rsidP="0063065F">
            <w:pPr>
              <w:jc w:val="left"/>
            </w:pPr>
            <w:r w:rsidRPr="00F10391">
              <w:t>Maximising Health Gain Within Available Resources In The New Zealand Public Health System.</w:t>
            </w:r>
          </w:p>
        </w:tc>
        <w:tc>
          <w:tcPr>
            <w:tcW w:w="1985" w:type="dxa"/>
            <w:tcBorders>
              <w:top w:val="nil"/>
              <w:left w:val="nil"/>
              <w:bottom w:val="single" w:sz="4" w:space="0" w:color="auto"/>
              <w:right w:val="single" w:sz="4" w:space="0" w:color="auto"/>
            </w:tcBorders>
            <w:shd w:val="clear" w:color="auto" w:fill="auto"/>
            <w:vAlign w:val="center"/>
            <w:hideMark/>
          </w:tcPr>
          <w:p w14:paraId="34468C60" w14:textId="77777777" w:rsidR="00E403D6" w:rsidRPr="00F10391" w:rsidRDefault="00E403D6" w:rsidP="0063065F">
            <w:pPr>
              <w:jc w:val="left"/>
            </w:pPr>
            <w:r w:rsidRPr="00F10391">
              <w:t>Bohmer P, Pain C, Watt A, Abernethy P, Sceats J.</w:t>
            </w:r>
          </w:p>
        </w:tc>
        <w:tc>
          <w:tcPr>
            <w:tcW w:w="2078" w:type="dxa"/>
            <w:tcBorders>
              <w:top w:val="nil"/>
              <w:left w:val="nil"/>
              <w:bottom w:val="single" w:sz="4" w:space="0" w:color="auto"/>
              <w:right w:val="single" w:sz="4" w:space="0" w:color="auto"/>
            </w:tcBorders>
            <w:shd w:val="clear" w:color="auto" w:fill="auto"/>
            <w:vAlign w:val="center"/>
            <w:hideMark/>
          </w:tcPr>
          <w:p w14:paraId="118420CF" w14:textId="77777777" w:rsidR="00E403D6" w:rsidRPr="00F10391" w:rsidRDefault="00E403D6" w:rsidP="0063065F">
            <w:pPr>
              <w:jc w:val="left"/>
            </w:pPr>
            <w:r w:rsidRPr="00F10391">
              <w:t>Health Policy. 2001 Jan;55(1):37-50.</w:t>
            </w:r>
          </w:p>
        </w:tc>
        <w:tc>
          <w:tcPr>
            <w:tcW w:w="862" w:type="dxa"/>
            <w:tcBorders>
              <w:top w:val="nil"/>
              <w:left w:val="nil"/>
              <w:bottom w:val="single" w:sz="4" w:space="0" w:color="auto"/>
              <w:right w:val="single" w:sz="4" w:space="0" w:color="auto"/>
            </w:tcBorders>
            <w:shd w:val="clear" w:color="auto" w:fill="auto"/>
            <w:noWrap/>
            <w:vAlign w:val="center"/>
            <w:hideMark/>
          </w:tcPr>
          <w:p w14:paraId="14EB683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608BBC0" w14:textId="77777777" w:rsidR="00E403D6" w:rsidRPr="00F10391" w:rsidRDefault="00E403D6">
            <w:r w:rsidRPr="00F10391">
              <w:t>1</w:t>
            </w:r>
          </w:p>
        </w:tc>
        <w:tc>
          <w:tcPr>
            <w:tcW w:w="848" w:type="dxa"/>
            <w:tcBorders>
              <w:top w:val="nil"/>
              <w:left w:val="nil"/>
              <w:bottom w:val="single" w:sz="4" w:space="0" w:color="auto"/>
              <w:right w:val="single" w:sz="4" w:space="0" w:color="auto"/>
            </w:tcBorders>
            <w:shd w:val="clear" w:color="auto" w:fill="auto"/>
            <w:noWrap/>
            <w:vAlign w:val="center"/>
            <w:hideMark/>
          </w:tcPr>
          <w:p w14:paraId="3817851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958F8F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553745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DA232F3"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628960D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B557D76" w14:textId="77777777" w:rsidR="00E403D6" w:rsidRPr="00F10391" w:rsidRDefault="00E403D6">
            <w:r w:rsidRPr="00F10391">
              <w:t>Excluded</w:t>
            </w:r>
          </w:p>
        </w:tc>
      </w:tr>
      <w:tr w:rsidR="00E403D6" w:rsidRPr="00F10391" w14:paraId="78E5551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3DA5E4D" w14:textId="77777777" w:rsidR="00E403D6" w:rsidRPr="00F10391" w:rsidRDefault="00E403D6" w:rsidP="0063065F">
            <w:pPr>
              <w:jc w:val="left"/>
            </w:pPr>
            <w:r w:rsidRPr="00F10391">
              <w:t>01/03/01</w:t>
            </w:r>
          </w:p>
        </w:tc>
        <w:tc>
          <w:tcPr>
            <w:tcW w:w="2720" w:type="dxa"/>
            <w:tcBorders>
              <w:top w:val="nil"/>
              <w:left w:val="nil"/>
              <w:bottom w:val="single" w:sz="4" w:space="0" w:color="auto"/>
              <w:right w:val="single" w:sz="4" w:space="0" w:color="auto"/>
            </w:tcBorders>
            <w:shd w:val="clear" w:color="auto" w:fill="auto"/>
            <w:vAlign w:val="center"/>
            <w:hideMark/>
          </w:tcPr>
          <w:p w14:paraId="6B605EE0" w14:textId="77777777" w:rsidR="00E403D6" w:rsidRPr="00F10391" w:rsidRDefault="00E403D6" w:rsidP="0063065F">
            <w:pPr>
              <w:jc w:val="left"/>
            </w:pPr>
            <w:r w:rsidRPr="00F10391">
              <w:t>Using Programme Budgeting And Marginal Analysis To Assist Population Based Strategic Planning For Coronary Heart Disease</w:t>
            </w:r>
          </w:p>
        </w:tc>
        <w:tc>
          <w:tcPr>
            <w:tcW w:w="1985" w:type="dxa"/>
            <w:tcBorders>
              <w:top w:val="nil"/>
              <w:left w:val="nil"/>
              <w:bottom w:val="single" w:sz="4" w:space="0" w:color="auto"/>
              <w:right w:val="single" w:sz="4" w:space="0" w:color="auto"/>
            </w:tcBorders>
            <w:shd w:val="clear" w:color="auto" w:fill="auto"/>
            <w:vAlign w:val="center"/>
            <w:hideMark/>
          </w:tcPr>
          <w:p w14:paraId="6B24AC56" w14:textId="77777777" w:rsidR="00E403D6" w:rsidRPr="00F10391" w:rsidRDefault="00E403D6" w:rsidP="0063065F">
            <w:pPr>
              <w:jc w:val="left"/>
            </w:pPr>
            <w:r w:rsidRPr="00F10391">
              <w:t>Haas, M; Viney, R; Kristensen, E; Pain, C; Foulds, K</w:t>
            </w:r>
          </w:p>
        </w:tc>
        <w:tc>
          <w:tcPr>
            <w:tcW w:w="2078" w:type="dxa"/>
            <w:tcBorders>
              <w:top w:val="nil"/>
              <w:left w:val="nil"/>
              <w:bottom w:val="single" w:sz="4" w:space="0" w:color="auto"/>
              <w:right w:val="single" w:sz="4" w:space="0" w:color="auto"/>
            </w:tcBorders>
            <w:shd w:val="clear" w:color="auto" w:fill="auto"/>
            <w:vAlign w:val="center"/>
            <w:hideMark/>
          </w:tcPr>
          <w:p w14:paraId="78F44DE8" w14:textId="77777777" w:rsidR="00E403D6" w:rsidRPr="00F10391" w:rsidRDefault="00E403D6" w:rsidP="0063065F">
            <w:pPr>
              <w:jc w:val="left"/>
            </w:pPr>
            <w:r w:rsidRPr="00F10391">
              <w:t>Health Policy. 2001;55(3):173-186</w:t>
            </w:r>
          </w:p>
        </w:tc>
        <w:tc>
          <w:tcPr>
            <w:tcW w:w="862" w:type="dxa"/>
            <w:tcBorders>
              <w:top w:val="nil"/>
              <w:left w:val="nil"/>
              <w:bottom w:val="single" w:sz="4" w:space="0" w:color="auto"/>
              <w:right w:val="single" w:sz="4" w:space="0" w:color="auto"/>
            </w:tcBorders>
            <w:shd w:val="clear" w:color="auto" w:fill="auto"/>
            <w:noWrap/>
            <w:vAlign w:val="center"/>
            <w:hideMark/>
          </w:tcPr>
          <w:p w14:paraId="4F5DC86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BDEBCE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02232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0AF68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A0090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8670A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19CE2A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AAF0F29" w14:textId="77777777" w:rsidR="00E403D6" w:rsidRPr="00F10391" w:rsidRDefault="00E403D6">
            <w:r w:rsidRPr="00F10391">
              <w:t>Included</w:t>
            </w:r>
          </w:p>
        </w:tc>
      </w:tr>
      <w:tr w:rsidR="00E403D6" w:rsidRPr="00F10391" w14:paraId="0F15249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FEFC60" w14:textId="77777777" w:rsidR="00E403D6" w:rsidRPr="00F10391" w:rsidRDefault="00E403D6" w:rsidP="0063065F">
            <w:pPr>
              <w:jc w:val="left"/>
            </w:pPr>
            <w:r w:rsidRPr="00F10391">
              <w:t>01/05/01</w:t>
            </w:r>
          </w:p>
        </w:tc>
        <w:tc>
          <w:tcPr>
            <w:tcW w:w="2720" w:type="dxa"/>
            <w:tcBorders>
              <w:top w:val="nil"/>
              <w:left w:val="nil"/>
              <w:bottom w:val="single" w:sz="4" w:space="0" w:color="auto"/>
              <w:right w:val="single" w:sz="4" w:space="0" w:color="auto"/>
            </w:tcBorders>
            <w:shd w:val="clear" w:color="auto" w:fill="auto"/>
            <w:vAlign w:val="center"/>
            <w:hideMark/>
          </w:tcPr>
          <w:p w14:paraId="2124A341" w14:textId="77777777" w:rsidR="00E403D6" w:rsidRPr="00F10391" w:rsidRDefault="00E403D6" w:rsidP="0063065F">
            <w:pPr>
              <w:jc w:val="left"/>
            </w:pPr>
            <w:r w:rsidRPr="00F10391">
              <w:t>Evidence Based Primary Care? A Multi-Tier, Multiple Stakeholder Perspective From Chile.</w:t>
            </w:r>
          </w:p>
        </w:tc>
        <w:tc>
          <w:tcPr>
            <w:tcW w:w="1985" w:type="dxa"/>
            <w:tcBorders>
              <w:top w:val="nil"/>
              <w:left w:val="nil"/>
              <w:bottom w:val="single" w:sz="4" w:space="0" w:color="auto"/>
              <w:right w:val="single" w:sz="4" w:space="0" w:color="auto"/>
            </w:tcBorders>
            <w:shd w:val="clear" w:color="auto" w:fill="auto"/>
            <w:vAlign w:val="center"/>
            <w:hideMark/>
          </w:tcPr>
          <w:p w14:paraId="1597A6D1" w14:textId="77777777" w:rsidR="00E403D6" w:rsidRPr="00F10391" w:rsidRDefault="00E403D6" w:rsidP="0063065F">
            <w:pPr>
              <w:jc w:val="left"/>
            </w:pPr>
            <w:r w:rsidRPr="00F10391">
              <w:t>Bedregal P, Ferlie E.</w:t>
            </w:r>
          </w:p>
        </w:tc>
        <w:tc>
          <w:tcPr>
            <w:tcW w:w="2078" w:type="dxa"/>
            <w:tcBorders>
              <w:top w:val="nil"/>
              <w:left w:val="nil"/>
              <w:bottom w:val="single" w:sz="4" w:space="0" w:color="auto"/>
              <w:right w:val="single" w:sz="4" w:space="0" w:color="auto"/>
            </w:tcBorders>
            <w:shd w:val="clear" w:color="auto" w:fill="auto"/>
            <w:vAlign w:val="center"/>
            <w:hideMark/>
          </w:tcPr>
          <w:p w14:paraId="75E76E39" w14:textId="77777777" w:rsidR="00E403D6" w:rsidRPr="00F10391" w:rsidRDefault="00E403D6" w:rsidP="0063065F">
            <w:pPr>
              <w:jc w:val="left"/>
            </w:pPr>
            <w:r w:rsidRPr="00F10391">
              <w:t>Int J Health Plann Manage. 2001 Jan-Mar;16(1):47-60.</w:t>
            </w:r>
          </w:p>
        </w:tc>
        <w:tc>
          <w:tcPr>
            <w:tcW w:w="862" w:type="dxa"/>
            <w:tcBorders>
              <w:top w:val="nil"/>
              <w:left w:val="nil"/>
              <w:bottom w:val="single" w:sz="4" w:space="0" w:color="auto"/>
              <w:right w:val="single" w:sz="4" w:space="0" w:color="auto"/>
            </w:tcBorders>
            <w:shd w:val="clear" w:color="auto" w:fill="auto"/>
            <w:noWrap/>
            <w:vAlign w:val="center"/>
            <w:hideMark/>
          </w:tcPr>
          <w:p w14:paraId="4A7C79C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459289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777D3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0B04E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C75FDD"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2AB5949B"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1312B75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00FF41F" w14:textId="77777777" w:rsidR="00E403D6" w:rsidRPr="00F10391" w:rsidRDefault="00E403D6">
            <w:r w:rsidRPr="00F10391">
              <w:t>Not found</w:t>
            </w:r>
          </w:p>
        </w:tc>
      </w:tr>
      <w:tr w:rsidR="00E403D6" w:rsidRPr="00F10391" w14:paraId="2576C2E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929EB88" w14:textId="77777777" w:rsidR="00E403D6" w:rsidRPr="00F10391" w:rsidRDefault="00E403D6" w:rsidP="0063065F">
            <w:pPr>
              <w:jc w:val="left"/>
            </w:pPr>
            <w:r w:rsidRPr="00F10391">
              <w:t>17/07/01</w:t>
            </w:r>
          </w:p>
        </w:tc>
        <w:tc>
          <w:tcPr>
            <w:tcW w:w="2720" w:type="dxa"/>
            <w:tcBorders>
              <w:top w:val="nil"/>
              <w:left w:val="nil"/>
              <w:bottom w:val="single" w:sz="4" w:space="0" w:color="auto"/>
              <w:right w:val="single" w:sz="4" w:space="0" w:color="auto"/>
            </w:tcBorders>
            <w:shd w:val="clear" w:color="auto" w:fill="auto"/>
            <w:vAlign w:val="center"/>
            <w:hideMark/>
          </w:tcPr>
          <w:p w14:paraId="183D941B" w14:textId="77777777" w:rsidR="00E403D6" w:rsidRPr="00F10391" w:rsidRDefault="00E403D6" w:rsidP="0063065F">
            <w:pPr>
              <w:jc w:val="left"/>
            </w:pPr>
            <w:r w:rsidRPr="00F10391">
              <w:t>Path Analysis And Multi-Criteria Decision Making: An Approach For Multivariate Model Selection And Analysis In Health.</w:t>
            </w:r>
          </w:p>
        </w:tc>
        <w:tc>
          <w:tcPr>
            <w:tcW w:w="1985" w:type="dxa"/>
            <w:tcBorders>
              <w:top w:val="nil"/>
              <w:left w:val="nil"/>
              <w:bottom w:val="single" w:sz="4" w:space="0" w:color="auto"/>
              <w:right w:val="single" w:sz="4" w:space="0" w:color="auto"/>
            </w:tcBorders>
            <w:shd w:val="clear" w:color="auto" w:fill="auto"/>
            <w:vAlign w:val="center"/>
            <w:hideMark/>
          </w:tcPr>
          <w:p w14:paraId="0D677F2B" w14:textId="77777777" w:rsidR="00E403D6" w:rsidRPr="005D7324" w:rsidRDefault="00E403D6" w:rsidP="0063065F">
            <w:pPr>
              <w:jc w:val="left"/>
            </w:pPr>
            <w:r w:rsidRPr="005D7324">
              <w:t>Vasconcelos Ag, Almeida Rm, Nobre Ff.</w:t>
            </w:r>
          </w:p>
        </w:tc>
        <w:tc>
          <w:tcPr>
            <w:tcW w:w="2078" w:type="dxa"/>
            <w:tcBorders>
              <w:top w:val="nil"/>
              <w:left w:val="nil"/>
              <w:bottom w:val="single" w:sz="4" w:space="0" w:color="auto"/>
              <w:right w:val="single" w:sz="4" w:space="0" w:color="auto"/>
            </w:tcBorders>
            <w:shd w:val="clear" w:color="auto" w:fill="auto"/>
            <w:vAlign w:val="center"/>
            <w:hideMark/>
          </w:tcPr>
          <w:p w14:paraId="5686404E" w14:textId="77777777" w:rsidR="00E403D6" w:rsidRPr="00F10391" w:rsidRDefault="00E403D6" w:rsidP="0063065F">
            <w:pPr>
              <w:jc w:val="left"/>
            </w:pPr>
            <w:r w:rsidRPr="00F10391">
              <w:t>Ann Epidemiol. 2001 Aug;11(6):377-84.</w:t>
            </w:r>
          </w:p>
        </w:tc>
        <w:tc>
          <w:tcPr>
            <w:tcW w:w="862" w:type="dxa"/>
            <w:tcBorders>
              <w:top w:val="nil"/>
              <w:left w:val="nil"/>
              <w:bottom w:val="single" w:sz="4" w:space="0" w:color="auto"/>
              <w:right w:val="single" w:sz="4" w:space="0" w:color="auto"/>
            </w:tcBorders>
            <w:shd w:val="clear" w:color="auto" w:fill="auto"/>
            <w:noWrap/>
            <w:vAlign w:val="center"/>
            <w:hideMark/>
          </w:tcPr>
          <w:p w14:paraId="775DC63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38998D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0BA971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429B9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3584BC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5FA2D4"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78F6715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167C82A" w14:textId="77777777" w:rsidR="00E403D6" w:rsidRPr="00F10391" w:rsidRDefault="00E403D6">
            <w:r w:rsidRPr="00F10391">
              <w:t>Not found</w:t>
            </w:r>
          </w:p>
        </w:tc>
      </w:tr>
      <w:tr w:rsidR="00E403D6" w:rsidRPr="00F10391" w14:paraId="1740A6E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8201B57" w14:textId="77777777" w:rsidR="00E403D6" w:rsidRPr="00F10391" w:rsidRDefault="00E403D6" w:rsidP="0063065F">
            <w:pPr>
              <w:jc w:val="left"/>
            </w:pPr>
            <w:r w:rsidRPr="00F10391">
              <w:t>01/03/02</w:t>
            </w:r>
          </w:p>
        </w:tc>
        <w:tc>
          <w:tcPr>
            <w:tcW w:w="2720" w:type="dxa"/>
            <w:tcBorders>
              <w:top w:val="nil"/>
              <w:left w:val="nil"/>
              <w:bottom w:val="single" w:sz="4" w:space="0" w:color="auto"/>
              <w:right w:val="single" w:sz="4" w:space="0" w:color="auto"/>
            </w:tcBorders>
            <w:shd w:val="clear" w:color="auto" w:fill="auto"/>
            <w:vAlign w:val="center"/>
            <w:hideMark/>
          </w:tcPr>
          <w:p w14:paraId="62C5C95F" w14:textId="77777777" w:rsidR="00E403D6" w:rsidRPr="00F10391" w:rsidRDefault="00E403D6" w:rsidP="0063065F">
            <w:pPr>
              <w:jc w:val="left"/>
            </w:pPr>
            <w:r w:rsidRPr="00F10391">
              <w:t>Assessment Of Technologies For Disposing Explosive Waste</w:t>
            </w:r>
          </w:p>
        </w:tc>
        <w:tc>
          <w:tcPr>
            <w:tcW w:w="1985" w:type="dxa"/>
            <w:tcBorders>
              <w:top w:val="nil"/>
              <w:left w:val="nil"/>
              <w:bottom w:val="single" w:sz="4" w:space="0" w:color="auto"/>
              <w:right w:val="single" w:sz="4" w:space="0" w:color="auto"/>
            </w:tcBorders>
            <w:shd w:val="clear" w:color="auto" w:fill="auto"/>
            <w:vAlign w:val="center"/>
            <w:hideMark/>
          </w:tcPr>
          <w:p w14:paraId="58CB2983" w14:textId="77777777" w:rsidR="00E403D6" w:rsidRPr="005D7324" w:rsidRDefault="00E403D6" w:rsidP="0063065F">
            <w:pPr>
              <w:jc w:val="left"/>
            </w:pPr>
            <w:r w:rsidRPr="005D7324">
              <w:t>Duijm, Nijs Jan; Markert, Frank</w:t>
            </w:r>
          </w:p>
        </w:tc>
        <w:tc>
          <w:tcPr>
            <w:tcW w:w="2078" w:type="dxa"/>
            <w:tcBorders>
              <w:top w:val="nil"/>
              <w:left w:val="nil"/>
              <w:bottom w:val="single" w:sz="4" w:space="0" w:color="auto"/>
              <w:right w:val="single" w:sz="4" w:space="0" w:color="auto"/>
            </w:tcBorders>
            <w:shd w:val="clear" w:color="auto" w:fill="auto"/>
            <w:vAlign w:val="center"/>
            <w:hideMark/>
          </w:tcPr>
          <w:p w14:paraId="050464EE" w14:textId="77777777" w:rsidR="00E403D6" w:rsidRPr="00F10391" w:rsidRDefault="00E403D6" w:rsidP="0063065F">
            <w:pPr>
              <w:jc w:val="left"/>
            </w:pPr>
            <w:r w:rsidRPr="00F10391">
              <w:t>Journal Of Hazardous Materials. 2002;90(2):137-153</w:t>
            </w:r>
          </w:p>
        </w:tc>
        <w:tc>
          <w:tcPr>
            <w:tcW w:w="862" w:type="dxa"/>
            <w:tcBorders>
              <w:top w:val="nil"/>
              <w:left w:val="nil"/>
              <w:bottom w:val="single" w:sz="4" w:space="0" w:color="auto"/>
              <w:right w:val="single" w:sz="4" w:space="0" w:color="auto"/>
            </w:tcBorders>
            <w:shd w:val="clear" w:color="auto" w:fill="auto"/>
            <w:noWrap/>
            <w:vAlign w:val="center"/>
            <w:hideMark/>
          </w:tcPr>
          <w:p w14:paraId="14A0A5E0"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2084AAE" w14:textId="77777777" w:rsidR="00E403D6" w:rsidRPr="00F10391" w:rsidRDefault="00E403D6">
            <w:r w:rsidRPr="00F10391">
              <w:t>1</w:t>
            </w:r>
          </w:p>
        </w:tc>
        <w:tc>
          <w:tcPr>
            <w:tcW w:w="848" w:type="dxa"/>
            <w:tcBorders>
              <w:top w:val="nil"/>
              <w:left w:val="nil"/>
              <w:bottom w:val="single" w:sz="4" w:space="0" w:color="auto"/>
              <w:right w:val="single" w:sz="4" w:space="0" w:color="auto"/>
            </w:tcBorders>
            <w:shd w:val="clear" w:color="auto" w:fill="auto"/>
            <w:noWrap/>
            <w:vAlign w:val="center"/>
            <w:hideMark/>
          </w:tcPr>
          <w:p w14:paraId="4325D9E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E25C4A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9F5B13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19CDC41"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09BA8FD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52C1579" w14:textId="77777777" w:rsidR="00E403D6" w:rsidRPr="00F10391" w:rsidRDefault="00E403D6">
            <w:r w:rsidRPr="00F10391">
              <w:t>Excluded</w:t>
            </w:r>
          </w:p>
        </w:tc>
      </w:tr>
      <w:tr w:rsidR="00E403D6" w:rsidRPr="00F10391" w14:paraId="0D5572A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6501E53" w14:textId="77777777" w:rsidR="00E403D6" w:rsidRPr="00F10391" w:rsidRDefault="00E403D6" w:rsidP="0063065F">
            <w:pPr>
              <w:jc w:val="left"/>
            </w:pPr>
            <w:r w:rsidRPr="00F10391">
              <w:t>01/03/02</w:t>
            </w:r>
          </w:p>
        </w:tc>
        <w:tc>
          <w:tcPr>
            <w:tcW w:w="2720" w:type="dxa"/>
            <w:tcBorders>
              <w:top w:val="nil"/>
              <w:left w:val="nil"/>
              <w:bottom w:val="single" w:sz="4" w:space="0" w:color="auto"/>
              <w:right w:val="single" w:sz="4" w:space="0" w:color="auto"/>
            </w:tcBorders>
            <w:shd w:val="clear" w:color="auto" w:fill="auto"/>
            <w:vAlign w:val="center"/>
            <w:hideMark/>
          </w:tcPr>
          <w:p w14:paraId="6AA81C48" w14:textId="77777777" w:rsidR="00E403D6" w:rsidRPr="00F10391" w:rsidRDefault="00E403D6" w:rsidP="0063065F">
            <w:pPr>
              <w:jc w:val="left"/>
            </w:pPr>
            <w:r w:rsidRPr="00F10391">
              <w:t>Assessment Of Technologies For Disposing Explosive Waste</w:t>
            </w:r>
          </w:p>
        </w:tc>
        <w:tc>
          <w:tcPr>
            <w:tcW w:w="1985" w:type="dxa"/>
            <w:tcBorders>
              <w:top w:val="nil"/>
              <w:left w:val="nil"/>
              <w:bottom w:val="single" w:sz="4" w:space="0" w:color="auto"/>
              <w:right w:val="single" w:sz="4" w:space="0" w:color="auto"/>
            </w:tcBorders>
            <w:shd w:val="clear" w:color="auto" w:fill="auto"/>
            <w:vAlign w:val="center"/>
            <w:hideMark/>
          </w:tcPr>
          <w:p w14:paraId="4E51F6F5" w14:textId="77777777" w:rsidR="00E403D6" w:rsidRPr="00F10391" w:rsidRDefault="00E403D6" w:rsidP="0063065F">
            <w:pPr>
              <w:jc w:val="left"/>
            </w:pPr>
            <w:r w:rsidRPr="00F10391">
              <w:t>Duijm, Nj; Markert, F</w:t>
            </w:r>
          </w:p>
        </w:tc>
        <w:tc>
          <w:tcPr>
            <w:tcW w:w="2078" w:type="dxa"/>
            <w:tcBorders>
              <w:top w:val="nil"/>
              <w:left w:val="nil"/>
              <w:bottom w:val="single" w:sz="4" w:space="0" w:color="auto"/>
              <w:right w:val="single" w:sz="4" w:space="0" w:color="auto"/>
            </w:tcBorders>
            <w:shd w:val="clear" w:color="auto" w:fill="auto"/>
            <w:vAlign w:val="center"/>
            <w:hideMark/>
          </w:tcPr>
          <w:p w14:paraId="397BF80F" w14:textId="77777777" w:rsidR="00E403D6" w:rsidRPr="00F10391" w:rsidRDefault="00E403D6" w:rsidP="0063065F">
            <w:pPr>
              <w:jc w:val="left"/>
            </w:pPr>
            <w:r w:rsidRPr="00F10391">
              <w:t>Journal Of Hazardous Materials. 2002;90(2):137-153</w:t>
            </w:r>
          </w:p>
        </w:tc>
        <w:tc>
          <w:tcPr>
            <w:tcW w:w="862" w:type="dxa"/>
            <w:tcBorders>
              <w:top w:val="nil"/>
              <w:left w:val="nil"/>
              <w:bottom w:val="single" w:sz="4" w:space="0" w:color="auto"/>
              <w:right w:val="single" w:sz="4" w:space="0" w:color="auto"/>
            </w:tcBorders>
            <w:shd w:val="clear" w:color="auto" w:fill="auto"/>
            <w:noWrap/>
            <w:vAlign w:val="center"/>
            <w:hideMark/>
          </w:tcPr>
          <w:p w14:paraId="63E8363B"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E756D0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9E42EC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E2AF6E"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1070D87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42D2E56"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645782A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3CA368" w14:textId="77777777" w:rsidR="00E403D6" w:rsidRPr="00F10391" w:rsidRDefault="00E403D6">
            <w:r w:rsidRPr="00F10391">
              <w:t>Excluded</w:t>
            </w:r>
          </w:p>
        </w:tc>
      </w:tr>
      <w:tr w:rsidR="00E403D6" w:rsidRPr="00F10391" w14:paraId="3E5A23F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21B0D30" w14:textId="77777777" w:rsidR="00E403D6" w:rsidRPr="00F10391" w:rsidRDefault="00E403D6" w:rsidP="0063065F">
            <w:pPr>
              <w:jc w:val="left"/>
            </w:pPr>
            <w:r w:rsidRPr="00F10391">
              <w:t>02/04/02</w:t>
            </w:r>
          </w:p>
        </w:tc>
        <w:tc>
          <w:tcPr>
            <w:tcW w:w="2720" w:type="dxa"/>
            <w:tcBorders>
              <w:top w:val="nil"/>
              <w:left w:val="nil"/>
              <w:bottom w:val="single" w:sz="4" w:space="0" w:color="auto"/>
              <w:right w:val="single" w:sz="4" w:space="0" w:color="auto"/>
            </w:tcBorders>
            <w:shd w:val="clear" w:color="auto" w:fill="auto"/>
            <w:vAlign w:val="center"/>
            <w:hideMark/>
          </w:tcPr>
          <w:p w14:paraId="02D5B299" w14:textId="77777777" w:rsidR="00E403D6" w:rsidRPr="00F10391" w:rsidRDefault="00E403D6" w:rsidP="0063065F">
            <w:pPr>
              <w:jc w:val="left"/>
            </w:pPr>
            <w:r w:rsidRPr="00F10391">
              <w:t>Protecting The Public Interest: Issues In Contracting Managed Behavioral Health Care.</w:t>
            </w:r>
          </w:p>
        </w:tc>
        <w:tc>
          <w:tcPr>
            <w:tcW w:w="1985" w:type="dxa"/>
            <w:tcBorders>
              <w:top w:val="nil"/>
              <w:left w:val="nil"/>
              <w:bottom w:val="single" w:sz="4" w:space="0" w:color="auto"/>
              <w:right w:val="single" w:sz="4" w:space="0" w:color="auto"/>
            </w:tcBorders>
            <w:shd w:val="clear" w:color="auto" w:fill="auto"/>
            <w:vAlign w:val="center"/>
            <w:hideMark/>
          </w:tcPr>
          <w:p w14:paraId="5B3147FC" w14:textId="77777777" w:rsidR="00E403D6" w:rsidRPr="00F10391" w:rsidRDefault="00E403D6" w:rsidP="0063065F">
            <w:pPr>
              <w:jc w:val="left"/>
            </w:pPr>
            <w:r w:rsidRPr="00F10391">
              <w:t>Robinson J, Clay T.</w:t>
            </w:r>
          </w:p>
        </w:tc>
        <w:tc>
          <w:tcPr>
            <w:tcW w:w="2078" w:type="dxa"/>
            <w:tcBorders>
              <w:top w:val="nil"/>
              <w:left w:val="nil"/>
              <w:bottom w:val="single" w:sz="4" w:space="0" w:color="auto"/>
              <w:right w:val="single" w:sz="4" w:space="0" w:color="auto"/>
            </w:tcBorders>
            <w:shd w:val="clear" w:color="auto" w:fill="auto"/>
            <w:vAlign w:val="center"/>
            <w:hideMark/>
          </w:tcPr>
          <w:p w14:paraId="0CA3756E" w14:textId="77777777" w:rsidR="00E403D6" w:rsidRPr="00F10391" w:rsidRDefault="00E403D6" w:rsidP="0063065F">
            <w:pPr>
              <w:jc w:val="left"/>
            </w:pPr>
            <w:r w:rsidRPr="00F10391">
              <w:t>J Health Hum Serv Adm. 2000 Winter;23(3):306-23.</w:t>
            </w:r>
          </w:p>
        </w:tc>
        <w:tc>
          <w:tcPr>
            <w:tcW w:w="862" w:type="dxa"/>
            <w:tcBorders>
              <w:top w:val="nil"/>
              <w:left w:val="nil"/>
              <w:bottom w:val="single" w:sz="4" w:space="0" w:color="auto"/>
              <w:right w:val="single" w:sz="4" w:space="0" w:color="auto"/>
            </w:tcBorders>
            <w:shd w:val="clear" w:color="auto" w:fill="auto"/>
            <w:noWrap/>
            <w:vAlign w:val="center"/>
            <w:hideMark/>
          </w:tcPr>
          <w:p w14:paraId="75DCB02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E5E0AE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8D41D6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78ACB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86E071"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4D5D2179"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08D9F14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C0B08B7" w14:textId="77777777" w:rsidR="00E403D6" w:rsidRPr="00F10391" w:rsidRDefault="00E403D6">
            <w:r w:rsidRPr="00F10391">
              <w:t>Not found</w:t>
            </w:r>
          </w:p>
        </w:tc>
      </w:tr>
      <w:tr w:rsidR="00E403D6" w:rsidRPr="00F10391" w14:paraId="01A3E9D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323234F" w14:textId="77777777" w:rsidR="00E403D6" w:rsidRPr="00F10391" w:rsidRDefault="00E403D6" w:rsidP="0063065F">
            <w:pPr>
              <w:jc w:val="left"/>
            </w:pPr>
            <w:r w:rsidRPr="00F10391">
              <w:t>20/06/02</w:t>
            </w:r>
          </w:p>
        </w:tc>
        <w:tc>
          <w:tcPr>
            <w:tcW w:w="2720" w:type="dxa"/>
            <w:tcBorders>
              <w:top w:val="nil"/>
              <w:left w:val="nil"/>
              <w:bottom w:val="single" w:sz="4" w:space="0" w:color="auto"/>
              <w:right w:val="single" w:sz="4" w:space="0" w:color="auto"/>
            </w:tcBorders>
            <w:shd w:val="clear" w:color="auto" w:fill="auto"/>
            <w:vAlign w:val="center"/>
            <w:hideMark/>
          </w:tcPr>
          <w:p w14:paraId="160E6059" w14:textId="77777777" w:rsidR="00E403D6" w:rsidRPr="00F10391" w:rsidRDefault="00E403D6" w:rsidP="0063065F">
            <w:pPr>
              <w:jc w:val="left"/>
            </w:pPr>
            <w:r w:rsidRPr="00F10391">
              <w:t>Rural Bioethical Issues Of The Elderly: How Do They Differ From Urban Ones?</w:t>
            </w:r>
          </w:p>
        </w:tc>
        <w:tc>
          <w:tcPr>
            <w:tcW w:w="1985" w:type="dxa"/>
            <w:tcBorders>
              <w:top w:val="nil"/>
              <w:left w:val="nil"/>
              <w:bottom w:val="single" w:sz="4" w:space="0" w:color="auto"/>
              <w:right w:val="single" w:sz="4" w:space="0" w:color="auto"/>
            </w:tcBorders>
            <w:shd w:val="clear" w:color="auto" w:fill="auto"/>
            <w:vAlign w:val="center"/>
            <w:hideMark/>
          </w:tcPr>
          <w:p w14:paraId="4092F738" w14:textId="77777777" w:rsidR="00E403D6" w:rsidRPr="00F10391" w:rsidRDefault="00E403D6" w:rsidP="0063065F">
            <w:pPr>
              <w:jc w:val="left"/>
            </w:pPr>
            <w:r w:rsidRPr="00F10391">
              <w:t>Glover Jj.</w:t>
            </w:r>
          </w:p>
        </w:tc>
        <w:tc>
          <w:tcPr>
            <w:tcW w:w="2078" w:type="dxa"/>
            <w:tcBorders>
              <w:top w:val="nil"/>
              <w:left w:val="nil"/>
              <w:bottom w:val="single" w:sz="4" w:space="0" w:color="auto"/>
              <w:right w:val="single" w:sz="4" w:space="0" w:color="auto"/>
            </w:tcBorders>
            <w:shd w:val="clear" w:color="auto" w:fill="auto"/>
            <w:vAlign w:val="center"/>
            <w:hideMark/>
          </w:tcPr>
          <w:p w14:paraId="612304B8" w14:textId="77777777" w:rsidR="00E403D6" w:rsidRPr="00F10391" w:rsidRDefault="00E403D6" w:rsidP="0063065F">
            <w:pPr>
              <w:jc w:val="left"/>
            </w:pPr>
            <w:r w:rsidRPr="00F10391">
              <w:t>J Rural Health. 2001 Fall;17(4):332-5.</w:t>
            </w:r>
          </w:p>
        </w:tc>
        <w:tc>
          <w:tcPr>
            <w:tcW w:w="862" w:type="dxa"/>
            <w:tcBorders>
              <w:top w:val="nil"/>
              <w:left w:val="nil"/>
              <w:bottom w:val="single" w:sz="4" w:space="0" w:color="auto"/>
              <w:right w:val="single" w:sz="4" w:space="0" w:color="auto"/>
            </w:tcBorders>
            <w:shd w:val="clear" w:color="auto" w:fill="auto"/>
            <w:noWrap/>
            <w:vAlign w:val="center"/>
            <w:hideMark/>
          </w:tcPr>
          <w:p w14:paraId="1778FDD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7AE98F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02E10B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24535E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431691B"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069A25A0" w14:textId="77777777" w:rsidR="00E403D6" w:rsidRPr="00F10391" w:rsidRDefault="00E403D6">
            <w:r w:rsidRPr="00F10391">
              <w:t>1</w:t>
            </w:r>
          </w:p>
        </w:tc>
        <w:tc>
          <w:tcPr>
            <w:tcW w:w="972" w:type="dxa"/>
            <w:tcBorders>
              <w:top w:val="nil"/>
              <w:left w:val="nil"/>
              <w:bottom w:val="single" w:sz="4" w:space="0" w:color="auto"/>
              <w:right w:val="single" w:sz="4" w:space="0" w:color="auto"/>
            </w:tcBorders>
            <w:shd w:val="clear" w:color="auto" w:fill="auto"/>
            <w:noWrap/>
            <w:vAlign w:val="center"/>
            <w:hideMark/>
          </w:tcPr>
          <w:p w14:paraId="62A2256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1825FDA" w14:textId="77777777" w:rsidR="00E403D6" w:rsidRPr="00F10391" w:rsidRDefault="00E403D6">
            <w:r w:rsidRPr="00F10391">
              <w:t>Not found</w:t>
            </w:r>
          </w:p>
        </w:tc>
      </w:tr>
      <w:tr w:rsidR="00E403D6" w:rsidRPr="00F10391" w14:paraId="027086B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84EA711" w14:textId="77777777" w:rsidR="00E403D6" w:rsidRPr="00F10391" w:rsidRDefault="00E403D6" w:rsidP="0063065F">
            <w:pPr>
              <w:jc w:val="left"/>
            </w:pPr>
            <w:r w:rsidRPr="00F10391">
              <w:t>12/11/02</w:t>
            </w:r>
          </w:p>
        </w:tc>
        <w:tc>
          <w:tcPr>
            <w:tcW w:w="2720" w:type="dxa"/>
            <w:tcBorders>
              <w:top w:val="nil"/>
              <w:left w:val="nil"/>
              <w:bottom w:val="single" w:sz="4" w:space="0" w:color="auto"/>
              <w:right w:val="single" w:sz="4" w:space="0" w:color="auto"/>
            </w:tcBorders>
            <w:shd w:val="clear" w:color="auto" w:fill="auto"/>
            <w:vAlign w:val="center"/>
            <w:hideMark/>
          </w:tcPr>
          <w:p w14:paraId="4C6BDA80" w14:textId="77777777" w:rsidR="00E403D6" w:rsidRPr="00F10391" w:rsidRDefault="00E403D6" w:rsidP="0063065F">
            <w:pPr>
              <w:jc w:val="left"/>
            </w:pPr>
            <w:r w:rsidRPr="00F10391">
              <w:t>Health Policy-Makers' Perceptions Of Their Use Of Evidence: A Systematic Review.</w:t>
            </w:r>
          </w:p>
        </w:tc>
        <w:tc>
          <w:tcPr>
            <w:tcW w:w="1985" w:type="dxa"/>
            <w:tcBorders>
              <w:top w:val="nil"/>
              <w:left w:val="nil"/>
              <w:bottom w:val="single" w:sz="4" w:space="0" w:color="auto"/>
              <w:right w:val="single" w:sz="4" w:space="0" w:color="auto"/>
            </w:tcBorders>
            <w:shd w:val="clear" w:color="auto" w:fill="auto"/>
            <w:vAlign w:val="center"/>
            <w:hideMark/>
          </w:tcPr>
          <w:p w14:paraId="60AA4F37" w14:textId="77777777" w:rsidR="00E403D6" w:rsidRPr="00F10391" w:rsidRDefault="00E403D6" w:rsidP="0063065F">
            <w:pPr>
              <w:jc w:val="left"/>
            </w:pPr>
            <w:r w:rsidRPr="00F10391">
              <w:t>Innvaer S, Vist G, Trommald M, Oxman A.</w:t>
            </w:r>
          </w:p>
        </w:tc>
        <w:tc>
          <w:tcPr>
            <w:tcW w:w="2078" w:type="dxa"/>
            <w:tcBorders>
              <w:top w:val="nil"/>
              <w:left w:val="nil"/>
              <w:bottom w:val="single" w:sz="4" w:space="0" w:color="auto"/>
              <w:right w:val="single" w:sz="4" w:space="0" w:color="auto"/>
            </w:tcBorders>
            <w:shd w:val="clear" w:color="auto" w:fill="auto"/>
            <w:vAlign w:val="center"/>
            <w:hideMark/>
          </w:tcPr>
          <w:p w14:paraId="00ADD53D" w14:textId="77777777" w:rsidR="00E403D6" w:rsidRPr="00F10391" w:rsidRDefault="00E403D6" w:rsidP="0063065F">
            <w:pPr>
              <w:jc w:val="left"/>
            </w:pPr>
            <w:r w:rsidRPr="00F10391">
              <w:t>J Health Serv Res Policy. 2002 Oct;7(4):239-44. Review.</w:t>
            </w:r>
          </w:p>
        </w:tc>
        <w:tc>
          <w:tcPr>
            <w:tcW w:w="862" w:type="dxa"/>
            <w:tcBorders>
              <w:top w:val="nil"/>
              <w:left w:val="nil"/>
              <w:bottom w:val="single" w:sz="4" w:space="0" w:color="auto"/>
              <w:right w:val="single" w:sz="4" w:space="0" w:color="auto"/>
            </w:tcBorders>
            <w:shd w:val="clear" w:color="auto" w:fill="auto"/>
            <w:noWrap/>
            <w:vAlign w:val="center"/>
            <w:hideMark/>
          </w:tcPr>
          <w:p w14:paraId="27DA39F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9EF548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D8BD96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1F8EB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B2138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CA3620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2F5884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079F9CA" w14:textId="77777777" w:rsidR="00E403D6" w:rsidRPr="00F10391" w:rsidRDefault="00E403D6">
            <w:r w:rsidRPr="00F10391">
              <w:t>Not found</w:t>
            </w:r>
          </w:p>
        </w:tc>
      </w:tr>
      <w:tr w:rsidR="00E403D6" w:rsidRPr="00F10391" w14:paraId="721F06E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1EDCEA9" w14:textId="77777777" w:rsidR="00E403D6" w:rsidRPr="00F10391" w:rsidRDefault="00E403D6" w:rsidP="0063065F">
            <w:pPr>
              <w:jc w:val="left"/>
            </w:pPr>
            <w:r w:rsidRPr="00F10391">
              <w:t>15/05/03</w:t>
            </w:r>
          </w:p>
        </w:tc>
        <w:tc>
          <w:tcPr>
            <w:tcW w:w="2720" w:type="dxa"/>
            <w:tcBorders>
              <w:top w:val="nil"/>
              <w:left w:val="nil"/>
              <w:bottom w:val="single" w:sz="4" w:space="0" w:color="auto"/>
              <w:right w:val="single" w:sz="4" w:space="0" w:color="auto"/>
            </w:tcBorders>
            <w:shd w:val="clear" w:color="auto" w:fill="auto"/>
            <w:vAlign w:val="center"/>
            <w:hideMark/>
          </w:tcPr>
          <w:p w14:paraId="0B1E069C" w14:textId="77777777" w:rsidR="00E403D6" w:rsidRPr="00F10391" w:rsidRDefault="00E403D6" w:rsidP="0063065F">
            <w:pPr>
              <w:jc w:val="left"/>
            </w:pPr>
            <w:r w:rsidRPr="00F10391">
              <w:t>Important Variable Selection Techniques With Multiple Solutions For Medical Information Applications.</w:t>
            </w:r>
          </w:p>
        </w:tc>
        <w:tc>
          <w:tcPr>
            <w:tcW w:w="1985" w:type="dxa"/>
            <w:tcBorders>
              <w:top w:val="nil"/>
              <w:left w:val="nil"/>
              <w:bottom w:val="single" w:sz="4" w:space="0" w:color="auto"/>
              <w:right w:val="single" w:sz="4" w:space="0" w:color="auto"/>
            </w:tcBorders>
            <w:shd w:val="clear" w:color="auto" w:fill="auto"/>
            <w:vAlign w:val="center"/>
            <w:hideMark/>
          </w:tcPr>
          <w:p w14:paraId="19F057A8" w14:textId="77777777" w:rsidR="00E403D6" w:rsidRPr="005D7324" w:rsidRDefault="00E403D6" w:rsidP="0063065F">
            <w:pPr>
              <w:jc w:val="left"/>
            </w:pPr>
            <w:r w:rsidRPr="005D7324">
              <w:t>Lee In, Lee Sc, Embrechts M.</w:t>
            </w:r>
          </w:p>
        </w:tc>
        <w:tc>
          <w:tcPr>
            <w:tcW w:w="2078" w:type="dxa"/>
            <w:tcBorders>
              <w:top w:val="nil"/>
              <w:left w:val="nil"/>
              <w:bottom w:val="single" w:sz="4" w:space="0" w:color="auto"/>
              <w:right w:val="single" w:sz="4" w:space="0" w:color="auto"/>
            </w:tcBorders>
            <w:shd w:val="clear" w:color="auto" w:fill="auto"/>
            <w:vAlign w:val="center"/>
            <w:hideMark/>
          </w:tcPr>
          <w:p w14:paraId="345F785C" w14:textId="77777777" w:rsidR="00E403D6" w:rsidRPr="00F10391" w:rsidRDefault="00E403D6" w:rsidP="0063065F">
            <w:pPr>
              <w:jc w:val="left"/>
            </w:pPr>
            <w:r w:rsidRPr="00F10391">
              <w:t>Med Inform Internet Med. 2002 Dec;27(4):253-66.</w:t>
            </w:r>
          </w:p>
        </w:tc>
        <w:tc>
          <w:tcPr>
            <w:tcW w:w="862" w:type="dxa"/>
            <w:tcBorders>
              <w:top w:val="nil"/>
              <w:left w:val="nil"/>
              <w:bottom w:val="single" w:sz="4" w:space="0" w:color="auto"/>
              <w:right w:val="single" w:sz="4" w:space="0" w:color="auto"/>
            </w:tcBorders>
            <w:shd w:val="clear" w:color="auto" w:fill="auto"/>
            <w:noWrap/>
            <w:vAlign w:val="center"/>
            <w:hideMark/>
          </w:tcPr>
          <w:p w14:paraId="4D99415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B6C208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E290C9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D61C5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09CA4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EA2317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F500E4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D416DD3" w14:textId="77777777" w:rsidR="00E403D6" w:rsidRPr="00F10391" w:rsidRDefault="00E403D6">
            <w:r w:rsidRPr="00F10391">
              <w:t>Not found</w:t>
            </w:r>
          </w:p>
        </w:tc>
      </w:tr>
      <w:tr w:rsidR="00E403D6" w:rsidRPr="00F10391" w14:paraId="7B6F6B6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B5992AF" w14:textId="77777777" w:rsidR="00E403D6" w:rsidRPr="00F10391" w:rsidRDefault="00E403D6" w:rsidP="0063065F">
            <w:pPr>
              <w:jc w:val="left"/>
            </w:pPr>
            <w:r w:rsidRPr="00F10391">
              <w:t>01/06/03</w:t>
            </w:r>
          </w:p>
        </w:tc>
        <w:tc>
          <w:tcPr>
            <w:tcW w:w="2720" w:type="dxa"/>
            <w:tcBorders>
              <w:top w:val="nil"/>
              <w:left w:val="nil"/>
              <w:bottom w:val="single" w:sz="4" w:space="0" w:color="auto"/>
              <w:right w:val="single" w:sz="4" w:space="0" w:color="auto"/>
            </w:tcBorders>
            <w:shd w:val="clear" w:color="auto" w:fill="auto"/>
            <w:vAlign w:val="center"/>
            <w:hideMark/>
          </w:tcPr>
          <w:p w14:paraId="265CFC4C" w14:textId="77777777" w:rsidR="00E403D6" w:rsidRPr="00F10391" w:rsidRDefault="00E403D6" w:rsidP="0063065F">
            <w:pPr>
              <w:jc w:val="left"/>
            </w:pPr>
            <w:r w:rsidRPr="00F10391">
              <w:t>Setting Priorities And Allocating Resources In Health Regions: Lessons From A Project Evaluating Program Budgeting And Marginal Analysis (Pbma)</w:t>
            </w:r>
          </w:p>
        </w:tc>
        <w:tc>
          <w:tcPr>
            <w:tcW w:w="1985" w:type="dxa"/>
            <w:tcBorders>
              <w:top w:val="nil"/>
              <w:left w:val="nil"/>
              <w:bottom w:val="single" w:sz="4" w:space="0" w:color="auto"/>
              <w:right w:val="single" w:sz="4" w:space="0" w:color="auto"/>
            </w:tcBorders>
            <w:shd w:val="clear" w:color="auto" w:fill="auto"/>
            <w:vAlign w:val="center"/>
            <w:hideMark/>
          </w:tcPr>
          <w:p w14:paraId="5847B657" w14:textId="77777777" w:rsidR="00E403D6" w:rsidRPr="00F10391" w:rsidRDefault="00E403D6" w:rsidP="0063065F">
            <w:pPr>
              <w:jc w:val="left"/>
            </w:pPr>
            <w:r w:rsidRPr="00F10391">
              <w:t>Mitton, Cr; Donaldson, C</w:t>
            </w:r>
          </w:p>
        </w:tc>
        <w:tc>
          <w:tcPr>
            <w:tcW w:w="2078" w:type="dxa"/>
            <w:tcBorders>
              <w:top w:val="nil"/>
              <w:left w:val="nil"/>
              <w:bottom w:val="single" w:sz="4" w:space="0" w:color="auto"/>
              <w:right w:val="single" w:sz="4" w:space="0" w:color="auto"/>
            </w:tcBorders>
            <w:shd w:val="clear" w:color="auto" w:fill="auto"/>
            <w:vAlign w:val="center"/>
            <w:hideMark/>
          </w:tcPr>
          <w:p w14:paraId="522B136D" w14:textId="77777777" w:rsidR="00E403D6" w:rsidRPr="00F10391" w:rsidRDefault="00E403D6" w:rsidP="0063065F">
            <w:pPr>
              <w:jc w:val="left"/>
            </w:pPr>
            <w:r w:rsidRPr="00F10391">
              <w:t>Health Policy. 2003;64(3):335-348</w:t>
            </w:r>
          </w:p>
        </w:tc>
        <w:tc>
          <w:tcPr>
            <w:tcW w:w="862" w:type="dxa"/>
            <w:tcBorders>
              <w:top w:val="nil"/>
              <w:left w:val="nil"/>
              <w:bottom w:val="single" w:sz="4" w:space="0" w:color="auto"/>
              <w:right w:val="single" w:sz="4" w:space="0" w:color="auto"/>
            </w:tcBorders>
            <w:shd w:val="clear" w:color="auto" w:fill="auto"/>
            <w:noWrap/>
            <w:vAlign w:val="center"/>
            <w:hideMark/>
          </w:tcPr>
          <w:p w14:paraId="5995250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9BB1F2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AA6837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0F435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96BD1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EE0F17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69B974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A084C9A" w14:textId="77777777" w:rsidR="00E403D6" w:rsidRPr="00F10391" w:rsidRDefault="00E403D6">
            <w:r w:rsidRPr="00F10391">
              <w:t>Included</w:t>
            </w:r>
          </w:p>
        </w:tc>
      </w:tr>
      <w:tr w:rsidR="00E403D6" w:rsidRPr="00F10391" w14:paraId="6018526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C798A11" w14:textId="77777777" w:rsidR="00E403D6" w:rsidRPr="00F10391" w:rsidRDefault="00E403D6" w:rsidP="0063065F">
            <w:pPr>
              <w:jc w:val="left"/>
            </w:pPr>
            <w:r w:rsidRPr="00F10391">
              <w:t>01/06/03</w:t>
            </w:r>
          </w:p>
        </w:tc>
        <w:tc>
          <w:tcPr>
            <w:tcW w:w="2720" w:type="dxa"/>
            <w:tcBorders>
              <w:top w:val="nil"/>
              <w:left w:val="nil"/>
              <w:bottom w:val="single" w:sz="4" w:space="0" w:color="auto"/>
              <w:right w:val="single" w:sz="4" w:space="0" w:color="auto"/>
            </w:tcBorders>
            <w:shd w:val="clear" w:color="auto" w:fill="auto"/>
            <w:vAlign w:val="center"/>
            <w:hideMark/>
          </w:tcPr>
          <w:p w14:paraId="5DB29B0C" w14:textId="77777777" w:rsidR="00E403D6" w:rsidRPr="00F10391" w:rsidRDefault="00E403D6" w:rsidP="0063065F">
            <w:pPr>
              <w:jc w:val="left"/>
            </w:pPr>
            <w:r w:rsidRPr="00F10391">
              <w:t>On Some Aspects Of Data Integration Techniques With Environmental Applications</w:t>
            </w:r>
          </w:p>
        </w:tc>
        <w:tc>
          <w:tcPr>
            <w:tcW w:w="1985" w:type="dxa"/>
            <w:tcBorders>
              <w:top w:val="nil"/>
              <w:left w:val="nil"/>
              <w:bottom w:val="single" w:sz="4" w:space="0" w:color="auto"/>
              <w:right w:val="single" w:sz="4" w:space="0" w:color="auto"/>
            </w:tcBorders>
            <w:shd w:val="clear" w:color="auto" w:fill="auto"/>
            <w:vAlign w:val="center"/>
            <w:hideMark/>
          </w:tcPr>
          <w:p w14:paraId="27F2F25A" w14:textId="77777777" w:rsidR="00E403D6" w:rsidRPr="00F10391" w:rsidRDefault="00E403D6" w:rsidP="0063065F">
            <w:pPr>
              <w:jc w:val="left"/>
            </w:pPr>
            <w:r w:rsidRPr="00F10391">
              <w:t>Sinha, Bk; Shah, Kr</w:t>
            </w:r>
          </w:p>
        </w:tc>
        <w:tc>
          <w:tcPr>
            <w:tcW w:w="2078" w:type="dxa"/>
            <w:tcBorders>
              <w:top w:val="nil"/>
              <w:left w:val="nil"/>
              <w:bottom w:val="single" w:sz="4" w:space="0" w:color="auto"/>
              <w:right w:val="single" w:sz="4" w:space="0" w:color="auto"/>
            </w:tcBorders>
            <w:shd w:val="clear" w:color="auto" w:fill="auto"/>
            <w:vAlign w:val="center"/>
            <w:hideMark/>
          </w:tcPr>
          <w:p w14:paraId="2E483C1D" w14:textId="77777777" w:rsidR="00E403D6" w:rsidRPr="00F10391" w:rsidRDefault="00E403D6" w:rsidP="0063065F">
            <w:pPr>
              <w:jc w:val="left"/>
            </w:pPr>
            <w:r w:rsidRPr="00F10391">
              <w:t>Environmetrics. 2003;14(4):409-416</w:t>
            </w:r>
          </w:p>
        </w:tc>
        <w:tc>
          <w:tcPr>
            <w:tcW w:w="862" w:type="dxa"/>
            <w:tcBorders>
              <w:top w:val="nil"/>
              <w:left w:val="nil"/>
              <w:bottom w:val="single" w:sz="4" w:space="0" w:color="auto"/>
              <w:right w:val="single" w:sz="4" w:space="0" w:color="auto"/>
            </w:tcBorders>
            <w:shd w:val="clear" w:color="auto" w:fill="auto"/>
            <w:noWrap/>
            <w:vAlign w:val="center"/>
            <w:hideMark/>
          </w:tcPr>
          <w:p w14:paraId="2437011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D30F5E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A560A5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D67AD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C33C43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FBC66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DF7356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FC7D3E1" w14:textId="77777777" w:rsidR="00E403D6" w:rsidRPr="00F10391" w:rsidRDefault="00E403D6">
            <w:r w:rsidRPr="00F10391">
              <w:t>Excluded</w:t>
            </w:r>
          </w:p>
        </w:tc>
      </w:tr>
      <w:tr w:rsidR="00E403D6" w:rsidRPr="00F10391" w14:paraId="48A8B13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01F0AD3" w14:textId="77777777" w:rsidR="00E403D6" w:rsidRPr="00F10391" w:rsidRDefault="00E403D6" w:rsidP="0063065F">
            <w:pPr>
              <w:jc w:val="left"/>
            </w:pPr>
            <w:r w:rsidRPr="00F10391">
              <w:t>01/09/03</w:t>
            </w:r>
          </w:p>
        </w:tc>
        <w:tc>
          <w:tcPr>
            <w:tcW w:w="2720" w:type="dxa"/>
            <w:tcBorders>
              <w:top w:val="nil"/>
              <w:left w:val="nil"/>
              <w:bottom w:val="single" w:sz="4" w:space="0" w:color="auto"/>
              <w:right w:val="single" w:sz="4" w:space="0" w:color="auto"/>
            </w:tcBorders>
            <w:shd w:val="clear" w:color="auto" w:fill="auto"/>
            <w:vAlign w:val="center"/>
            <w:hideMark/>
          </w:tcPr>
          <w:p w14:paraId="61EEF15B" w14:textId="77777777" w:rsidR="00E403D6" w:rsidRPr="00F10391" w:rsidRDefault="00E403D6" w:rsidP="0063065F">
            <w:pPr>
              <w:jc w:val="left"/>
            </w:pPr>
            <w:r w:rsidRPr="00F10391">
              <w:t>Resource Allocation In Health Care: Health Economics And Beyond</w:t>
            </w:r>
          </w:p>
        </w:tc>
        <w:tc>
          <w:tcPr>
            <w:tcW w:w="1985" w:type="dxa"/>
            <w:tcBorders>
              <w:top w:val="nil"/>
              <w:left w:val="nil"/>
              <w:bottom w:val="single" w:sz="4" w:space="0" w:color="auto"/>
              <w:right w:val="single" w:sz="4" w:space="0" w:color="auto"/>
            </w:tcBorders>
            <w:shd w:val="clear" w:color="auto" w:fill="auto"/>
            <w:vAlign w:val="center"/>
            <w:hideMark/>
          </w:tcPr>
          <w:p w14:paraId="26AE0C72" w14:textId="77777777" w:rsidR="00E403D6" w:rsidRPr="00F10391" w:rsidRDefault="00E403D6" w:rsidP="0063065F">
            <w:pPr>
              <w:jc w:val="left"/>
            </w:pPr>
            <w:r w:rsidRPr="00F10391">
              <w:t>Mitton, C; Donaldson, C</w:t>
            </w:r>
          </w:p>
        </w:tc>
        <w:tc>
          <w:tcPr>
            <w:tcW w:w="2078" w:type="dxa"/>
            <w:tcBorders>
              <w:top w:val="nil"/>
              <w:left w:val="nil"/>
              <w:bottom w:val="single" w:sz="4" w:space="0" w:color="auto"/>
              <w:right w:val="single" w:sz="4" w:space="0" w:color="auto"/>
            </w:tcBorders>
            <w:shd w:val="clear" w:color="auto" w:fill="auto"/>
            <w:vAlign w:val="center"/>
            <w:hideMark/>
          </w:tcPr>
          <w:p w14:paraId="7E2049D3" w14:textId="77777777" w:rsidR="00E403D6" w:rsidRPr="00F10391" w:rsidRDefault="00E403D6" w:rsidP="0063065F">
            <w:pPr>
              <w:jc w:val="left"/>
            </w:pPr>
            <w:r w:rsidRPr="00F10391">
              <w:t>Health Care Analysis. 2003;11(3):245-257</w:t>
            </w:r>
          </w:p>
        </w:tc>
        <w:tc>
          <w:tcPr>
            <w:tcW w:w="862" w:type="dxa"/>
            <w:tcBorders>
              <w:top w:val="nil"/>
              <w:left w:val="nil"/>
              <w:bottom w:val="single" w:sz="4" w:space="0" w:color="auto"/>
              <w:right w:val="single" w:sz="4" w:space="0" w:color="auto"/>
            </w:tcBorders>
            <w:shd w:val="clear" w:color="auto" w:fill="auto"/>
            <w:noWrap/>
            <w:vAlign w:val="center"/>
            <w:hideMark/>
          </w:tcPr>
          <w:p w14:paraId="37BD30BE"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003C40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B8567E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EF53C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36E74E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F8799C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024768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1E3510A" w14:textId="77777777" w:rsidR="00E403D6" w:rsidRPr="00F10391" w:rsidRDefault="00E403D6">
            <w:r w:rsidRPr="00F10391">
              <w:t>Excluded</w:t>
            </w:r>
          </w:p>
        </w:tc>
      </w:tr>
      <w:tr w:rsidR="00E403D6" w:rsidRPr="00F10391" w14:paraId="3010E72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AA2865C" w14:textId="77777777" w:rsidR="00E403D6" w:rsidRPr="00F10391" w:rsidRDefault="00E403D6" w:rsidP="0063065F">
            <w:pPr>
              <w:jc w:val="left"/>
            </w:pPr>
            <w:r w:rsidRPr="00F10391">
              <w:t>19/11/03</w:t>
            </w:r>
          </w:p>
        </w:tc>
        <w:tc>
          <w:tcPr>
            <w:tcW w:w="2720" w:type="dxa"/>
            <w:tcBorders>
              <w:top w:val="nil"/>
              <w:left w:val="nil"/>
              <w:bottom w:val="single" w:sz="4" w:space="0" w:color="auto"/>
              <w:right w:val="single" w:sz="4" w:space="0" w:color="auto"/>
            </w:tcBorders>
            <w:shd w:val="clear" w:color="auto" w:fill="auto"/>
            <w:vAlign w:val="center"/>
            <w:hideMark/>
          </w:tcPr>
          <w:p w14:paraId="18093DEF" w14:textId="77777777" w:rsidR="00E403D6" w:rsidRPr="00F10391" w:rsidRDefault="00E403D6" w:rsidP="0063065F">
            <w:pPr>
              <w:jc w:val="left"/>
            </w:pPr>
            <w:r w:rsidRPr="00F10391">
              <w:t>Priority Setting In Mental Health Services.</w:t>
            </w:r>
          </w:p>
        </w:tc>
        <w:tc>
          <w:tcPr>
            <w:tcW w:w="1985" w:type="dxa"/>
            <w:tcBorders>
              <w:top w:val="nil"/>
              <w:left w:val="nil"/>
              <w:bottom w:val="single" w:sz="4" w:space="0" w:color="auto"/>
              <w:right w:val="single" w:sz="4" w:space="0" w:color="auto"/>
            </w:tcBorders>
            <w:shd w:val="clear" w:color="auto" w:fill="auto"/>
            <w:vAlign w:val="center"/>
            <w:hideMark/>
          </w:tcPr>
          <w:p w14:paraId="3599AA61" w14:textId="77777777" w:rsidR="00E403D6" w:rsidRPr="00F10391" w:rsidRDefault="00E403D6" w:rsidP="0063065F">
            <w:pPr>
              <w:jc w:val="left"/>
            </w:pPr>
            <w:r w:rsidRPr="00F10391">
              <w:t>Mooney G.</w:t>
            </w:r>
          </w:p>
        </w:tc>
        <w:tc>
          <w:tcPr>
            <w:tcW w:w="2078" w:type="dxa"/>
            <w:tcBorders>
              <w:top w:val="nil"/>
              <w:left w:val="nil"/>
              <w:bottom w:val="single" w:sz="4" w:space="0" w:color="auto"/>
              <w:right w:val="single" w:sz="4" w:space="0" w:color="auto"/>
            </w:tcBorders>
            <w:shd w:val="clear" w:color="auto" w:fill="auto"/>
            <w:vAlign w:val="center"/>
            <w:hideMark/>
          </w:tcPr>
          <w:p w14:paraId="632A19B0" w14:textId="77777777" w:rsidR="00E403D6" w:rsidRPr="00F10391" w:rsidRDefault="00E403D6" w:rsidP="0063065F">
            <w:pPr>
              <w:jc w:val="left"/>
            </w:pPr>
            <w:r w:rsidRPr="00F10391">
              <w:t>Appl Health Econ Health Policy. 2002;1(2):65-74.</w:t>
            </w:r>
          </w:p>
        </w:tc>
        <w:tc>
          <w:tcPr>
            <w:tcW w:w="862" w:type="dxa"/>
            <w:tcBorders>
              <w:top w:val="nil"/>
              <w:left w:val="nil"/>
              <w:bottom w:val="single" w:sz="4" w:space="0" w:color="auto"/>
              <w:right w:val="single" w:sz="4" w:space="0" w:color="auto"/>
            </w:tcBorders>
            <w:shd w:val="clear" w:color="auto" w:fill="auto"/>
            <w:noWrap/>
            <w:vAlign w:val="center"/>
            <w:hideMark/>
          </w:tcPr>
          <w:p w14:paraId="6128559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3688E3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D23F62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A7BFF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7B3EB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822CFB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A87B7B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3A084BC" w14:textId="77777777" w:rsidR="00E403D6" w:rsidRPr="00F10391" w:rsidRDefault="00E403D6">
            <w:r w:rsidRPr="00F10391">
              <w:t>Excluded</w:t>
            </w:r>
          </w:p>
        </w:tc>
      </w:tr>
      <w:tr w:rsidR="00E403D6" w:rsidRPr="00F10391" w14:paraId="31D4F5C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381A31C" w14:textId="77777777" w:rsidR="00E403D6" w:rsidRPr="00F10391" w:rsidRDefault="00E403D6" w:rsidP="0063065F">
            <w:pPr>
              <w:jc w:val="left"/>
            </w:pPr>
            <w:r w:rsidRPr="00F10391">
              <w:t>31/12/03</w:t>
            </w:r>
          </w:p>
        </w:tc>
        <w:tc>
          <w:tcPr>
            <w:tcW w:w="2720" w:type="dxa"/>
            <w:tcBorders>
              <w:top w:val="nil"/>
              <w:left w:val="nil"/>
              <w:bottom w:val="single" w:sz="4" w:space="0" w:color="auto"/>
              <w:right w:val="single" w:sz="4" w:space="0" w:color="auto"/>
            </w:tcBorders>
            <w:shd w:val="clear" w:color="auto" w:fill="auto"/>
            <w:vAlign w:val="center"/>
            <w:hideMark/>
          </w:tcPr>
          <w:p w14:paraId="6F5B2304" w14:textId="77777777" w:rsidR="00E403D6" w:rsidRPr="00F10391" w:rsidRDefault="00E403D6" w:rsidP="0063065F">
            <w:pPr>
              <w:jc w:val="left"/>
            </w:pPr>
            <w:r w:rsidRPr="00F10391">
              <w:t>Risk Management Frameworks For Human Health And Environmental Risks.</w:t>
            </w:r>
          </w:p>
        </w:tc>
        <w:tc>
          <w:tcPr>
            <w:tcW w:w="1985" w:type="dxa"/>
            <w:tcBorders>
              <w:top w:val="nil"/>
              <w:left w:val="nil"/>
              <w:bottom w:val="single" w:sz="4" w:space="0" w:color="auto"/>
              <w:right w:val="single" w:sz="4" w:space="0" w:color="auto"/>
            </w:tcBorders>
            <w:shd w:val="clear" w:color="auto" w:fill="auto"/>
            <w:vAlign w:val="center"/>
            <w:hideMark/>
          </w:tcPr>
          <w:p w14:paraId="165B32FD" w14:textId="77777777" w:rsidR="00E403D6" w:rsidRPr="00F10391" w:rsidRDefault="00E403D6" w:rsidP="0063065F">
            <w:pPr>
              <w:jc w:val="left"/>
            </w:pPr>
            <w:r w:rsidRPr="00F10391">
              <w:t>Jardine C, Hrudey S, Shortreed J, Craig L, Krewski D, Furgal C, Mccoll S.</w:t>
            </w:r>
          </w:p>
        </w:tc>
        <w:tc>
          <w:tcPr>
            <w:tcW w:w="2078" w:type="dxa"/>
            <w:tcBorders>
              <w:top w:val="nil"/>
              <w:left w:val="nil"/>
              <w:bottom w:val="single" w:sz="4" w:space="0" w:color="auto"/>
              <w:right w:val="single" w:sz="4" w:space="0" w:color="auto"/>
            </w:tcBorders>
            <w:shd w:val="clear" w:color="auto" w:fill="auto"/>
            <w:vAlign w:val="center"/>
            <w:hideMark/>
          </w:tcPr>
          <w:p w14:paraId="43BFC1FE" w14:textId="77777777" w:rsidR="00E403D6" w:rsidRPr="00F10391" w:rsidRDefault="00E403D6" w:rsidP="0063065F">
            <w:pPr>
              <w:jc w:val="left"/>
            </w:pPr>
            <w:r w:rsidRPr="00F10391">
              <w:t>J Toxicol Environ Health B Crit Rev. 2003 Nov-Dec;6(6):569-720. Review.</w:t>
            </w:r>
          </w:p>
        </w:tc>
        <w:tc>
          <w:tcPr>
            <w:tcW w:w="862" w:type="dxa"/>
            <w:tcBorders>
              <w:top w:val="nil"/>
              <w:left w:val="nil"/>
              <w:bottom w:val="single" w:sz="4" w:space="0" w:color="auto"/>
              <w:right w:val="single" w:sz="4" w:space="0" w:color="auto"/>
            </w:tcBorders>
            <w:shd w:val="clear" w:color="auto" w:fill="auto"/>
            <w:noWrap/>
            <w:vAlign w:val="center"/>
            <w:hideMark/>
          </w:tcPr>
          <w:p w14:paraId="2E81FBF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BAB687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9D3E9F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C258F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DB6E6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826E5C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74A731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E2D103E" w14:textId="77777777" w:rsidR="00E403D6" w:rsidRPr="00F10391" w:rsidRDefault="00E403D6">
            <w:r w:rsidRPr="00F10391">
              <w:t>Not found</w:t>
            </w:r>
          </w:p>
        </w:tc>
      </w:tr>
      <w:tr w:rsidR="00E403D6" w:rsidRPr="00F10391" w14:paraId="17A3800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1E60300" w14:textId="77777777" w:rsidR="00E403D6" w:rsidRPr="00F10391" w:rsidRDefault="00E403D6" w:rsidP="0063065F">
            <w:pPr>
              <w:jc w:val="left"/>
            </w:pPr>
            <w:r w:rsidRPr="00F10391">
              <w:t>08/01/04</w:t>
            </w:r>
          </w:p>
        </w:tc>
        <w:tc>
          <w:tcPr>
            <w:tcW w:w="2720" w:type="dxa"/>
            <w:tcBorders>
              <w:top w:val="nil"/>
              <w:left w:val="nil"/>
              <w:bottom w:val="single" w:sz="4" w:space="0" w:color="auto"/>
              <w:right w:val="single" w:sz="4" w:space="0" w:color="auto"/>
            </w:tcBorders>
            <w:shd w:val="clear" w:color="auto" w:fill="auto"/>
            <w:vAlign w:val="center"/>
            <w:hideMark/>
          </w:tcPr>
          <w:p w14:paraId="000DEED2" w14:textId="77777777" w:rsidR="00E403D6" w:rsidRPr="00F10391" w:rsidRDefault="00E403D6" w:rsidP="0063065F">
            <w:pPr>
              <w:jc w:val="left"/>
            </w:pPr>
            <w:r w:rsidRPr="00F10391">
              <w:t>Resource Allocation In Health Care: Health Economics And Beyond.</w:t>
            </w:r>
          </w:p>
        </w:tc>
        <w:tc>
          <w:tcPr>
            <w:tcW w:w="1985" w:type="dxa"/>
            <w:tcBorders>
              <w:top w:val="nil"/>
              <w:left w:val="nil"/>
              <w:bottom w:val="single" w:sz="4" w:space="0" w:color="auto"/>
              <w:right w:val="single" w:sz="4" w:space="0" w:color="auto"/>
            </w:tcBorders>
            <w:shd w:val="clear" w:color="auto" w:fill="auto"/>
            <w:vAlign w:val="center"/>
            <w:hideMark/>
          </w:tcPr>
          <w:p w14:paraId="318F9D45" w14:textId="77777777" w:rsidR="00E403D6" w:rsidRPr="00F10391" w:rsidRDefault="00E403D6" w:rsidP="0063065F">
            <w:pPr>
              <w:jc w:val="left"/>
            </w:pPr>
            <w:r w:rsidRPr="00F10391">
              <w:t>Mitton C, Donaldson C.</w:t>
            </w:r>
          </w:p>
        </w:tc>
        <w:tc>
          <w:tcPr>
            <w:tcW w:w="2078" w:type="dxa"/>
            <w:tcBorders>
              <w:top w:val="nil"/>
              <w:left w:val="nil"/>
              <w:bottom w:val="single" w:sz="4" w:space="0" w:color="auto"/>
              <w:right w:val="single" w:sz="4" w:space="0" w:color="auto"/>
            </w:tcBorders>
            <w:shd w:val="clear" w:color="auto" w:fill="auto"/>
            <w:vAlign w:val="center"/>
            <w:hideMark/>
          </w:tcPr>
          <w:p w14:paraId="6D9135A2" w14:textId="77777777" w:rsidR="00E403D6" w:rsidRPr="00F10391" w:rsidRDefault="00E403D6" w:rsidP="0063065F">
            <w:pPr>
              <w:jc w:val="left"/>
            </w:pPr>
            <w:r w:rsidRPr="00F10391">
              <w:t>Health Care Anal. 2003 Sep;11(3):245-57.</w:t>
            </w:r>
          </w:p>
        </w:tc>
        <w:tc>
          <w:tcPr>
            <w:tcW w:w="862" w:type="dxa"/>
            <w:tcBorders>
              <w:top w:val="nil"/>
              <w:left w:val="nil"/>
              <w:bottom w:val="single" w:sz="4" w:space="0" w:color="auto"/>
              <w:right w:val="single" w:sz="4" w:space="0" w:color="auto"/>
            </w:tcBorders>
            <w:shd w:val="clear" w:color="auto" w:fill="auto"/>
            <w:noWrap/>
            <w:vAlign w:val="center"/>
            <w:hideMark/>
          </w:tcPr>
          <w:p w14:paraId="76C37FF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510E0CD"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38CE99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FEB47B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02BE25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E981FA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D02BB3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CD4B7FF" w14:textId="77777777" w:rsidR="00E403D6" w:rsidRPr="00F10391" w:rsidRDefault="00E403D6">
            <w:r w:rsidRPr="00F10391">
              <w:t>Excluded</w:t>
            </w:r>
          </w:p>
        </w:tc>
      </w:tr>
      <w:tr w:rsidR="00E403D6" w:rsidRPr="00F10391" w14:paraId="34E1378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672CCC7" w14:textId="77777777" w:rsidR="00E403D6" w:rsidRPr="00F10391" w:rsidRDefault="00E403D6" w:rsidP="0063065F">
            <w:pPr>
              <w:jc w:val="left"/>
            </w:pPr>
            <w:r w:rsidRPr="00F10391">
              <w:t>17/03/04</w:t>
            </w:r>
          </w:p>
        </w:tc>
        <w:tc>
          <w:tcPr>
            <w:tcW w:w="2720" w:type="dxa"/>
            <w:tcBorders>
              <w:top w:val="nil"/>
              <w:left w:val="nil"/>
              <w:bottom w:val="single" w:sz="4" w:space="0" w:color="auto"/>
              <w:right w:val="single" w:sz="4" w:space="0" w:color="auto"/>
            </w:tcBorders>
            <w:shd w:val="clear" w:color="auto" w:fill="auto"/>
            <w:vAlign w:val="center"/>
            <w:hideMark/>
          </w:tcPr>
          <w:p w14:paraId="2D26D865" w14:textId="77777777" w:rsidR="00E403D6" w:rsidRPr="00F10391" w:rsidRDefault="00E403D6" w:rsidP="0063065F">
            <w:pPr>
              <w:jc w:val="left"/>
            </w:pPr>
            <w:r w:rsidRPr="00F10391">
              <w:t>Use Of Chemometrics Methods And Multicriteria Decision-Making For Site Selection For Sustainable On-Site Sewage Effluent Disposal</w:t>
            </w:r>
          </w:p>
        </w:tc>
        <w:tc>
          <w:tcPr>
            <w:tcW w:w="1985" w:type="dxa"/>
            <w:tcBorders>
              <w:top w:val="nil"/>
              <w:left w:val="nil"/>
              <w:bottom w:val="single" w:sz="4" w:space="0" w:color="auto"/>
              <w:right w:val="single" w:sz="4" w:space="0" w:color="auto"/>
            </w:tcBorders>
            <w:shd w:val="clear" w:color="auto" w:fill="auto"/>
            <w:vAlign w:val="center"/>
            <w:hideMark/>
          </w:tcPr>
          <w:p w14:paraId="464855F6" w14:textId="77777777" w:rsidR="00E403D6" w:rsidRPr="00F10391" w:rsidRDefault="00E403D6" w:rsidP="0063065F">
            <w:pPr>
              <w:jc w:val="left"/>
            </w:pPr>
            <w:r w:rsidRPr="00F10391">
              <w:t>Khalil, Was; Goonetilleke, A; Kokot, S; Carroll, S</w:t>
            </w:r>
          </w:p>
        </w:tc>
        <w:tc>
          <w:tcPr>
            <w:tcW w:w="2078" w:type="dxa"/>
            <w:tcBorders>
              <w:top w:val="nil"/>
              <w:left w:val="nil"/>
              <w:bottom w:val="single" w:sz="4" w:space="0" w:color="auto"/>
              <w:right w:val="single" w:sz="4" w:space="0" w:color="auto"/>
            </w:tcBorders>
            <w:shd w:val="clear" w:color="auto" w:fill="auto"/>
            <w:vAlign w:val="center"/>
            <w:hideMark/>
          </w:tcPr>
          <w:p w14:paraId="60168BD7" w14:textId="77777777" w:rsidR="00E403D6" w:rsidRPr="00F10391" w:rsidRDefault="00E403D6" w:rsidP="0063065F">
            <w:pPr>
              <w:jc w:val="left"/>
            </w:pPr>
            <w:r w:rsidRPr="00F10391">
              <w:t>Analytica Chimica Acta. 2004;506(1):41-56</w:t>
            </w:r>
          </w:p>
        </w:tc>
        <w:tc>
          <w:tcPr>
            <w:tcW w:w="862" w:type="dxa"/>
            <w:tcBorders>
              <w:top w:val="nil"/>
              <w:left w:val="nil"/>
              <w:bottom w:val="single" w:sz="4" w:space="0" w:color="auto"/>
              <w:right w:val="single" w:sz="4" w:space="0" w:color="auto"/>
            </w:tcBorders>
            <w:shd w:val="clear" w:color="auto" w:fill="auto"/>
            <w:noWrap/>
            <w:vAlign w:val="center"/>
            <w:hideMark/>
          </w:tcPr>
          <w:p w14:paraId="5BFFB04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B19EF8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D06EB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79152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2D8A6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32285F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E7AA06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167C443" w14:textId="77777777" w:rsidR="00E403D6" w:rsidRPr="00F10391" w:rsidRDefault="00E403D6">
            <w:r w:rsidRPr="00F10391">
              <w:t>Excluded</w:t>
            </w:r>
          </w:p>
        </w:tc>
      </w:tr>
      <w:tr w:rsidR="00E403D6" w:rsidRPr="00F10391" w14:paraId="4E98C9E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F1AF866" w14:textId="77777777" w:rsidR="00E403D6" w:rsidRPr="00F10391" w:rsidRDefault="00E403D6" w:rsidP="0063065F">
            <w:pPr>
              <w:jc w:val="left"/>
            </w:pPr>
            <w:r w:rsidRPr="00F10391">
              <w:t>15/04/04</w:t>
            </w:r>
          </w:p>
        </w:tc>
        <w:tc>
          <w:tcPr>
            <w:tcW w:w="2720" w:type="dxa"/>
            <w:tcBorders>
              <w:top w:val="nil"/>
              <w:left w:val="nil"/>
              <w:bottom w:val="single" w:sz="4" w:space="0" w:color="auto"/>
              <w:right w:val="single" w:sz="4" w:space="0" w:color="auto"/>
            </w:tcBorders>
            <w:shd w:val="clear" w:color="auto" w:fill="auto"/>
            <w:vAlign w:val="center"/>
            <w:hideMark/>
          </w:tcPr>
          <w:p w14:paraId="08B8452A" w14:textId="77777777" w:rsidR="00E403D6" w:rsidRPr="00F10391" w:rsidRDefault="00E403D6" w:rsidP="0063065F">
            <w:pPr>
              <w:jc w:val="left"/>
            </w:pPr>
            <w:r w:rsidRPr="00F10391">
              <w:t>Research Ethics And Evidence Based Medicine.</w:t>
            </w:r>
          </w:p>
        </w:tc>
        <w:tc>
          <w:tcPr>
            <w:tcW w:w="1985" w:type="dxa"/>
            <w:tcBorders>
              <w:top w:val="nil"/>
              <w:left w:val="nil"/>
              <w:bottom w:val="single" w:sz="4" w:space="0" w:color="auto"/>
              <w:right w:val="single" w:sz="4" w:space="0" w:color="auto"/>
            </w:tcBorders>
            <w:shd w:val="clear" w:color="auto" w:fill="auto"/>
            <w:vAlign w:val="center"/>
            <w:hideMark/>
          </w:tcPr>
          <w:p w14:paraId="20420326" w14:textId="77777777" w:rsidR="00E403D6" w:rsidRPr="00F10391" w:rsidRDefault="00E403D6" w:rsidP="0063065F">
            <w:pPr>
              <w:jc w:val="left"/>
            </w:pPr>
            <w:r w:rsidRPr="00F10391">
              <w:t>Lie Rk.</w:t>
            </w:r>
          </w:p>
        </w:tc>
        <w:tc>
          <w:tcPr>
            <w:tcW w:w="2078" w:type="dxa"/>
            <w:tcBorders>
              <w:top w:val="nil"/>
              <w:left w:val="nil"/>
              <w:bottom w:val="single" w:sz="4" w:space="0" w:color="auto"/>
              <w:right w:val="single" w:sz="4" w:space="0" w:color="auto"/>
            </w:tcBorders>
            <w:shd w:val="clear" w:color="auto" w:fill="auto"/>
            <w:vAlign w:val="center"/>
            <w:hideMark/>
          </w:tcPr>
          <w:p w14:paraId="1F7F86B3" w14:textId="77777777" w:rsidR="00E403D6" w:rsidRPr="00F10391" w:rsidRDefault="00E403D6" w:rsidP="0063065F">
            <w:pPr>
              <w:jc w:val="left"/>
            </w:pPr>
            <w:r w:rsidRPr="00F10391">
              <w:t>J Med Ethics. 2004 Apr;30(2):122-5. Review.</w:t>
            </w:r>
          </w:p>
        </w:tc>
        <w:tc>
          <w:tcPr>
            <w:tcW w:w="862" w:type="dxa"/>
            <w:tcBorders>
              <w:top w:val="nil"/>
              <w:left w:val="nil"/>
              <w:bottom w:val="single" w:sz="4" w:space="0" w:color="auto"/>
              <w:right w:val="single" w:sz="4" w:space="0" w:color="auto"/>
            </w:tcBorders>
            <w:shd w:val="clear" w:color="auto" w:fill="auto"/>
            <w:noWrap/>
            <w:vAlign w:val="center"/>
            <w:hideMark/>
          </w:tcPr>
          <w:p w14:paraId="7A5F35D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1A1C83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68A753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BEADC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1D37A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9ED00C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4427BA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58D739A" w14:textId="77777777" w:rsidR="00E403D6" w:rsidRPr="00F10391" w:rsidRDefault="00E403D6">
            <w:r w:rsidRPr="00F10391">
              <w:t>Not found</w:t>
            </w:r>
          </w:p>
        </w:tc>
      </w:tr>
      <w:tr w:rsidR="00E403D6" w:rsidRPr="00F10391" w14:paraId="59933AF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686F04C" w14:textId="77777777" w:rsidR="00E403D6" w:rsidRPr="00F10391" w:rsidRDefault="00E403D6" w:rsidP="0063065F">
            <w:pPr>
              <w:jc w:val="left"/>
            </w:pPr>
            <w:r w:rsidRPr="00F10391">
              <w:t>27/05/04</w:t>
            </w:r>
          </w:p>
        </w:tc>
        <w:tc>
          <w:tcPr>
            <w:tcW w:w="2720" w:type="dxa"/>
            <w:tcBorders>
              <w:top w:val="nil"/>
              <w:left w:val="nil"/>
              <w:bottom w:val="single" w:sz="4" w:space="0" w:color="auto"/>
              <w:right w:val="single" w:sz="4" w:space="0" w:color="auto"/>
            </w:tcBorders>
            <w:shd w:val="clear" w:color="auto" w:fill="auto"/>
            <w:vAlign w:val="center"/>
            <w:hideMark/>
          </w:tcPr>
          <w:p w14:paraId="11BD68BB" w14:textId="77777777" w:rsidR="00E403D6" w:rsidRPr="00F10391" w:rsidRDefault="00E403D6" w:rsidP="0063065F">
            <w:pPr>
              <w:jc w:val="left"/>
            </w:pPr>
            <w:r w:rsidRPr="00F10391">
              <w:t>Evaluation Of Generic Types Of Drilling Fluid Using A Risk-Based Analytic Hierarchy Process.</w:t>
            </w:r>
          </w:p>
        </w:tc>
        <w:tc>
          <w:tcPr>
            <w:tcW w:w="1985" w:type="dxa"/>
            <w:tcBorders>
              <w:top w:val="nil"/>
              <w:left w:val="nil"/>
              <w:bottom w:val="single" w:sz="4" w:space="0" w:color="auto"/>
              <w:right w:val="single" w:sz="4" w:space="0" w:color="auto"/>
            </w:tcBorders>
            <w:shd w:val="clear" w:color="auto" w:fill="auto"/>
            <w:vAlign w:val="center"/>
            <w:hideMark/>
          </w:tcPr>
          <w:p w14:paraId="2A678E99" w14:textId="77777777" w:rsidR="00E403D6" w:rsidRPr="00F10391" w:rsidRDefault="00E403D6" w:rsidP="0063065F">
            <w:pPr>
              <w:jc w:val="left"/>
            </w:pPr>
            <w:r w:rsidRPr="00F10391">
              <w:t>Sadiq R, Husain T, Veitch B, Bose N.</w:t>
            </w:r>
          </w:p>
        </w:tc>
        <w:tc>
          <w:tcPr>
            <w:tcW w:w="2078" w:type="dxa"/>
            <w:tcBorders>
              <w:top w:val="nil"/>
              <w:left w:val="nil"/>
              <w:bottom w:val="single" w:sz="4" w:space="0" w:color="auto"/>
              <w:right w:val="single" w:sz="4" w:space="0" w:color="auto"/>
            </w:tcBorders>
            <w:shd w:val="clear" w:color="auto" w:fill="auto"/>
            <w:vAlign w:val="center"/>
            <w:hideMark/>
          </w:tcPr>
          <w:p w14:paraId="61D6540E" w14:textId="77777777" w:rsidR="00E403D6" w:rsidRPr="00F10391" w:rsidRDefault="00E403D6" w:rsidP="0063065F">
            <w:pPr>
              <w:jc w:val="left"/>
            </w:pPr>
            <w:r w:rsidRPr="00F10391">
              <w:t>Environ Manage. 2003 Dec;32(6):778-87.</w:t>
            </w:r>
          </w:p>
        </w:tc>
        <w:tc>
          <w:tcPr>
            <w:tcW w:w="862" w:type="dxa"/>
            <w:tcBorders>
              <w:top w:val="nil"/>
              <w:left w:val="nil"/>
              <w:bottom w:val="single" w:sz="4" w:space="0" w:color="auto"/>
              <w:right w:val="single" w:sz="4" w:space="0" w:color="auto"/>
            </w:tcBorders>
            <w:shd w:val="clear" w:color="auto" w:fill="auto"/>
            <w:noWrap/>
            <w:vAlign w:val="center"/>
            <w:hideMark/>
          </w:tcPr>
          <w:p w14:paraId="76637A1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14EEE5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1A455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E3DEC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EE516A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5A4147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2B2BBE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DDE709D" w14:textId="77777777" w:rsidR="00E403D6" w:rsidRPr="00F10391" w:rsidRDefault="00E403D6">
            <w:r w:rsidRPr="00F10391">
              <w:t>Not found</w:t>
            </w:r>
          </w:p>
        </w:tc>
      </w:tr>
      <w:tr w:rsidR="00E403D6" w:rsidRPr="00F10391" w14:paraId="46E8760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04AAA72" w14:textId="77777777" w:rsidR="00E403D6" w:rsidRPr="00F10391" w:rsidRDefault="00E403D6" w:rsidP="0063065F">
            <w:pPr>
              <w:jc w:val="left"/>
            </w:pPr>
            <w:r w:rsidRPr="00F10391">
              <w:t>28/07/04</w:t>
            </w:r>
          </w:p>
        </w:tc>
        <w:tc>
          <w:tcPr>
            <w:tcW w:w="2720" w:type="dxa"/>
            <w:tcBorders>
              <w:top w:val="nil"/>
              <w:left w:val="nil"/>
              <w:bottom w:val="single" w:sz="4" w:space="0" w:color="auto"/>
              <w:right w:val="single" w:sz="4" w:space="0" w:color="auto"/>
            </w:tcBorders>
            <w:shd w:val="clear" w:color="auto" w:fill="auto"/>
            <w:vAlign w:val="center"/>
            <w:hideMark/>
          </w:tcPr>
          <w:p w14:paraId="4B79832C" w14:textId="77777777" w:rsidR="00E403D6" w:rsidRPr="00F10391" w:rsidRDefault="00E403D6" w:rsidP="0063065F">
            <w:pPr>
              <w:jc w:val="left"/>
            </w:pPr>
            <w:r w:rsidRPr="00F10391">
              <w:t>Meeting Recommendations For Multiple Healthy Lifestyle Factors. Prevalence, Clustering, And Predictors Among Adolescent, Adult, And Senior Health Plan Members.</w:t>
            </w:r>
          </w:p>
        </w:tc>
        <w:tc>
          <w:tcPr>
            <w:tcW w:w="1985" w:type="dxa"/>
            <w:tcBorders>
              <w:top w:val="nil"/>
              <w:left w:val="nil"/>
              <w:bottom w:val="single" w:sz="4" w:space="0" w:color="auto"/>
              <w:right w:val="single" w:sz="4" w:space="0" w:color="auto"/>
            </w:tcBorders>
            <w:shd w:val="clear" w:color="auto" w:fill="auto"/>
            <w:vAlign w:val="center"/>
            <w:hideMark/>
          </w:tcPr>
          <w:p w14:paraId="0FAA0BD3" w14:textId="77777777" w:rsidR="00E403D6" w:rsidRPr="00F10391" w:rsidRDefault="00E403D6" w:rsidP="0063065F">
            <w:pPr>
              <w:jc w:val="left"/>
            </w:pPr>
            <w:r w:rsidRPr="00F10391">
              <w:t>Pronk Np, Anderson Lh, Crain Al, Martinson Bc, O'Connor Pj, Sherwood Ne, Whitebird Rr.</w:t>
            </w:r>
          </w:p>
        </w:tc>
        <w:tc>
          <w:tcPr>
            <w:tcW w:w="2078" w:type="dxa"/>
            <w:tcBorders>
              <w:top w:val="nil"/>
              <w:left w:val="nil"/>
              <w:bottom w:val="single" w:sz="4" w:space="0" w:color="auto"/>
              <w:right w:val="single" w:sz="4" w:space="0" w:color="auto"/>
            </w:tcBorders>
            <w:shd w:val="clear" w:color="auto" w:fill="auto"/>
            <w:vAlign w:val="center"/>
            <w:hideMark/>
          </w:tcPr>
          <w:p w14:paraId="0994618B" w14:textId="77777777" w:rsidR="00E403D6" w:rsidRPr="00F10391" w:rsidRDefault="00E403D6" w:rsidP="0063065F">
            <w:pPr>
              <w:jc w:val="left"/>
            </w:pPr>
            <w:r w:rsidRPr="00F10391">
              <w:t>Am J Prev Med. 2004 Aug;27(2 Suppl):25-33.</w:t>
            </w:r>
          </w:p>
        </w:tc>
        <w:tc>
          <w:tcPr>
            <w:tcW w:w="862" w:type="dxa"/>
            <w:tcBorders>
              <w:top w:val="nil"/>
              <w:left w:val="nil"/>
              <w:bottom w:val="single" w:sz="4" w:space="0" w:color="auto"/>
              <w:right w:val="single" w:sz="4" w:space="0" w:color="auto"/>
            </w:tcBorders>
            <w:shd w:val="clear" w:color="auto" w:fill="auto"/>
            <w:noWrap/>
            <w:vAlign w:val="center"/>
            <w:hideMark/>
          </w:tcPr>
          <w:p w14:paraId="1C6EB45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E0932D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1F035A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470F7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28891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1F264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80CF24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B737E8" w14:textId="77777777" w:rsidR="00E403D6" w:rsidRPr="00F10391" w:rsidRDefault="00E403D6">
            <w:r w:rsidRPr="00F10391">
              <w:t>Not found</w:t>
            </w:r>
          </w:p>
        </w:tc>
      </w:tr>
      <w:tr w:rsidR="00E403D6" w:rsidRPr="00F10391" w14:paraId="7D4D6A9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05C875" w14:textId="77777777" w:rsidR="00E403D6" w:rsidRPr="00F10391" w:rsidRDefault="00E403D6" w:rsidP="0063065F">
            <w:pPr>
              <w:jc w:val="left"/>
            </w:pPr>
            <w:r w:rsidRPr="00F10391">
              <w:t>04/11/04</w:t>
            </w:r>
          </w:p>
        </w:tc>
        <w:tc>
          <w:tcPr>
            <w:tcW w:w="2720" w:type="dxa"/>
            <w:tcBorders>
              <w:top w:val="nil"/>
              <w:left w:val="nil"/>
              <w:bottom w:val="single" w:sz="4" w:space="0" w:color="auto"/>
              <w:right w:val="single" w:sz="4" w:space="0" w:color="auto"/>
            </w:tcBorders>
            <w:shd w:val="clear" w:color="auto" w:fill="auto"/>
            <w:vAlign w:val="center"/>
            <w:hideMark/>
          </w:tcPr>
          <w:p w14:paraId="7BE81461" w14:textId="77777777" w:rsidR="00E403D6" w:rsidRPr="00F10391" w:rsidRDefault="00E403D6" w:rsidP="0063065F">
            <w:pPr>
              <w:jc w:val="left"/>
            </w:pPr>
            <w:r w:rsidRPr="00F10391">
              <w:t>Communitarian Claims And Community Capabilities: Furthering Priority Setting?</w:t>
            </w:r>
          </w:p>
        </w:tc>
        <w:tc>
          <w:tcPr>
            <w:tcW w:w="1985" w:type="dxa"/>
            <w:tcBorders>
              <w:top w:val="nil"/>
              <w:left w:val="nil"/>
              <w:bottom w:val="single" w:sz="4" w:space="0" w:color="auto"/>
              <w:right w:val="single" w:sz="4" w:space="0" w:color="auto"/>
            </w:tcBorders>
            <w:shd w:val="clear" w:color="auto" w:fill="auto"/>
            <w:vAlign w:val="center"/>
            <w:hideMark/>
          </w:tcPr>
          <w:p w14:paraId="1162D250" w14:textId="77777777" w:rsidR="00E403D6" w:rsidRPr="00F10391" w:rsidRDefault="00E403D6" w:rsidP="0063065F">
            <w:pPr>
              <w:jc w:val="left"/>
            </w:pPr>
            <w:r w:rsidRPr="00F10391">
              <w:t>Mooney G.</w:t>
            </w:r>
          </w:p>
        </w:tc>
        <w:tc>
          <w:tcPr>
            <w:tcW w:w="2078" w:type="dxa"/>
            <w:tcBorders>
              <w:top w:val="nil"/>
              <w:left w:val="nil"/>
              <w:bottom w:val="single" w:sz="4" w:space="0" w:color="auto"/>
              <w:right w:val="single" w:sz="4" w:space="0" w:color="auto"/>
            </w:tcBorders>
            <w:shd w:val="clear" w:color="auto" w:fill="auto"/>
            <w:vAlign w:val="center"/>
            <w:hideMark/>
          </w:tcPr>
          <w:p w14:paraId="172B1152" w14:textId="77777777" w:rsidR="00E403D6" w:rsidRPr="00F10391" w:rsidRDefault="00E403D6" w:rsidP="0063065F">
            <w:pPr>
              <w:jc w:val="left"/>
            </w:pPr>
            <w:r w:rsidRPr="00F10391">
              <w:t>Soc Sci Med. 2005 Jan;60(2):247-55.</w:t>
            </w:r>
          </w:p>
        </w:tc>
        <w:tc>
          <w:tcPr>
            <w:tcW w:w="862" w:type="dxa"/>
            <w:tcBorders>
              <w:top w:val="nil"/>
              <w:left w:val="nil"/>
              <w:bottom w:val="single" w:sz="4" w:space="0" w:color="auto"/>
              <w:right w:val="single" w:sz="4" w:space="0" w:color="auto"/>
            </w:tcBorders>
            <w:shd w:val="clear" w:color="auto" w:fill="auto"/>
            <w:noWrap/>
            <w:vAlign w:val="center"/>
            <w:hideMark/>
          </w:tcPr>
          <w:p w14:paraId="6A442A7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41EE3F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01D2DF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781F8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5EB25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4EBCEA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564A95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1C1A7C2" w14:textId="77777777" w:rsidR="00E403D6" w:rsidRPr="00F10391" w:rsidRDefault="00E403D6">
            <w:r w:rsidRPr="00F10391">
              <w:t>Excluded</w:t>
            </w:r>
          </w:p>
        </w:tc>
      </w:tr>
      <w:tr w:rsidR="00E403D6" w:rsidRPr="00F10391" w14:paraId="451F5BD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DFEBD4F" w14:textId="77777777" w:rsidR="00E403D6" w:rsidRPr="00F10391" w:rsidRDefault="00E403D6" w:rsidP="0063065F">
            <w:pPr>
              <w:jc w:val="left"/>
            </w:pPr>
            <w:r w:rsidRPr="00F10391">
              <w:t>24/11/04</w:t>
            </w:r>
          </w:p>
        </w:tc>
        <w:tc>
          <w:tcPr>
            <w:tcW w:w="2720" w:type="dxa"/>
            <w:tcBorders>
              <w:top w:val="nil"/>
              <w:left w:val="nil"/>
              <w:bottom w:val="single" w:sz="4" w:space="0" w:color="auto"/>
              <w:right w:val="single" w:sz="4" w:space="0" w:color="auto"/>
            </w:tcBorders>
            <w:shd w:val="clear" w:color="auto" w:fill="auto"/>
            <w:vAlign w:val="center"/>
            <w:hideMark/>
          </w:tcPr>
          <w:p w14:paraId="50B14EBF" w14:textId="77777777" w:rsidR="00E403D6" w:rsidRPr="00F10391" w:rsidRDefault="00E403D6" w:rsidP="0063065F">
            <w:pPr>
              <w:jc w:val="left"/>
            </w:pPr>
            <w:r w:rsidRPr="00F10391">
              <w:t>Combining The Benefits Of Decision Science And Financial Analysis In Public Health Management: A County-Specific Budgeting And Planning Model.</w:t>
            </w:r>
          </w:p>
        </w:tc>
        <w:tc>
          <w:tcPr>
            <w:tcW w:w="1985" w:type="dxa"/>
            <w:tcBorders>
              <w:top w:val="nil"/>
              <w:left w:val="nil"/>
              <w:bottom w:val="single" w:sz="4" w:space="0" w:color="auto"/>
              <w:right w:val="single" w:sz="4" w:space="0" w:color="auto"/>
            </w:tcBorders>
            <w:shd w:val="clear" w:color="auto" w:fill="auto"/>
            <w:vAlign w:val="center"/>
            <w:hideMark/>
          </w:tcPr>
          <w:p w14:paraId="3D26E76E" w14:textId="77777777" w:rsidR="00E403D6" w:rsidRPr="00F10391" w:rsidRDefault="00E403D6" w:rsidP="0063065F">
            <w:pPr>
              <w:jc w:val="left"/>
            </w:pPr>
            <w:r w:rsidRPr="00F10391">
              <w:t>Fos Pj, Miller Dl, Amy Bw, Zuniga Ma.</w:t>
            </w:r>
          </w:p>
        </w:tc>
        <w:tc>
          <w:tcPr>
            <w:tcW w:w="2078" w:type="dxa"/>
            <w:tcBorders>
              <w:top w:val="nil"/>
              <w:left w:val="nil"/>
              <w:bottom w:val="single" w:sz="4" w:space="0" w:color="auto"/>
              <w:right w:val="single" w:sz="4" w:space="0" w:color="auto"/>
            </w:tcBorders>
            <w:shd w:val="clear" w:color="auto" w:fill="auto"/>
            <w:vAlign w:val="center"/>
            <w:hideMark/>
          </w:tcPr>
          <w:p w14:paraId="18892BF9" w14:textId="77777777" w:rsidR="00E403D6" w:rsidRPr="00F10391" w:rsidRDefault="00E403D6" w:rsidP="0063065F">
            <w:pPr>
              <w:jc w:val="left"/>
            </w:pPr>
            <w:r w:rsidRPr="00F10391">
              <w:t>J Public Health Manag Pract. 2004 Sep-Oct;10(5):406-12.</w:t>
            </w:r>
          </w:p>
        </w:tc>
        <w:tc>
          <w:tcPr>
            <w:tcW w:w="862" w:type="dxa"/>
            <w:tcBorders>
              <w:top w:val="nil"/>
              <w:left w:val="nil"/>
              <w:bottom w:val="single" w:sz="4" w:space="0" w:color="auto"/>
              <w:right w:val="single" w:sz="4" w:space="0" w:color="auto"/>
            </w:tcBorders>
            <w:shd w:val="clear" w:color="auto" w:fill="auto"/>
            <w:noWrap/>
            <w:vAlign w:val="center"/>
            <w:hideMark/>
          </w:tcPr>
          <w:p w14:paraId="6168AE1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7EBC93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B938F3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EAD07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94CD6D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3DC213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EF2627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3B941D6" w14:textId="77777777" w:rsidR="00E403D6" w:rsidRPr="00F10391" w:rsidRDefault="00E403D6">
            <w:r w:rsidRPr="00F10391">
              <w:t>Not found</w:t>
            </w:r>
          </w:p>
        </w:tc>
      </w:tr>
      <w:tr w:rsidR="00E403D6" w:rsidRPr="00F10391" w14:paraId="6C547CF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137B02" w14:textId="77777777" w:rsidR="00E403D6" w:rsidRPr="00F10391" w:rsidRDefault="00E403D6" w:rsidP="0063065F">
            <w:pPr>
              <w:jc w:val="left"/>
            </w:pPr>
            <w:r w:rsidRPr="00F10391">
              <w:t>01/01/05</w:t>
            </w:r>
          </w:p>
        </w:tc>
        <w:tc>
          <w:tcPr>
            <w:tcW w:w="2720" w:type="dxa"/>
            <w:tcBorders>
              <w:top w:val="nil"/>
              <w:left w:val="nil"/>
              <w:bottom w:val="single" w:sz="4" w:space="0" w:color="auto"/>
              <w:right w:val="single" w:sz="4" w:space="0" w:color="auto"/>
            </w:tcBorders>
            <w:shd w:val="clear" w:color="auto" w:fill="auto"/>
            <w:vAlign w:val="center"/>
            <w:hideMark/>
          </w:tcPr>
          <w:p w14:paraId="0962DA24" w14:textId="77777777" w:rsidR="00E403D6" w:rsidRPr="00F10391" w:rsidRDefault="00E403D6" w:rsidP="0063065F">
            <w:pPr>
              <w:jc w:val="left"/>
            </w:pPr>
            <w:r w:rsidRPr="00F10391">
              <w:t>Communitarian Claims And Community Capabilities: Furthering Priority Setting?</w:t>
            </w:r>
          </w:p>
        </w:tc>
        <w:tc>
          <w:tcPr>
            <w:tcW w:w="1985" w:type="dxa"/>
            <w:tcBorders>
              <w:top w:val="nil"/>
              <w:left w:val="nil"/>
              <w:bottom w:val="single" w:sz="4" w:space="0" w:color="auto"/>
              <w:right w:val="single" w:sz="4" w:space="0" w:color="auto"/>
            </w:tcBorders>
            <w:shd w:val="clear" w:color="auto" w:fill="auto"/>
            <w:vAlign w:val="center"/>
            <w:hideMark/>
          </w:tcPr>
          <w:p w14:paraId="30574576" w14:textId="77777777" w:rsidR="00E403D6" w:rsidRPr="00F10391" w:rsidRDefault="00E403D6" w:rsidP="0063065F">
            <w:pPr>
              <w:jc w:val="left"/>
            </w:pPr>
            <w:r w:rsidRPr="00F10391">
              <w:t>Mooney, G</w:t>
            </w:r>
          </w:p>
        </w:tc>
        <w:tc>
          <w:tcPr>
            <w:tcW w:w="2078" w:type="dxa"/>
            <w:tcBorders>
              <w:top w:val="nil"/>
              <w:left w:val="nil"/>
              <w:bottom w:val="single" w:sz="4" w:space="0" w:color="auto"/>
              <w:right w:val="single" w:sz="4" w:space="0" w:color="auto"/>
            </w:tcBorders>
            <w:shd w:val="clear" w:color="auto" w:fill="auto"/>
            <w:vAlign w:val="center"/>
            <w:hideMark/>
          </w:tcPr>
          <w:p w14:paraId="1F10840E" w14:textId="77777777" w:rsidR="00E403D6" w:rsidRPr="00F10391" w:rsidRDefault="00E403D6" w:rsidP="0063065F">
            <w:pPr>
              <w:jc w:val="left"/>
            </w:pPr>
            <w:r w:rsidRPr="00F10391">
              <w:t>Social Science &amp; Medicine. 2005;60(2):247-255</w:t>
            </w:r>
          </w:p>
        </w:tc>
        <w:tc>
          <w:tcPr>
            <w:tcW w:w="862" w:type="dxa"/>
            <w:tcBorders>
              <w:top w:val="nil"/>
              <w:left w:val="nil"/>
              <w:bottom w:val="single" w:sz="4" w:space="0" w:color="auto"/>
              <w:right w:val="single" w:sz="4" w:space="0" w:color="auto"/>
            </w:tcBorders>
            <w:shd w:val="clear" w:color="auto" w:fill="auto"/>
            <w:noWrap/>
            <w:vAlign w:val="center"/>
            <w:hideMark/>
          </w:tcPr>
          <w:p w14:paraId="57A6CBCD"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4E55296"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5C9E198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8467CD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32FA59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F12E4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0896D7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339D2B0" w14:textId="77777777" w:rsidR="00E403D6" w:rsidRPr="00F10391" w:rsidRDefault="00E403D6">
            <w:r w:rsidRPr="00F10391">
              <w:t>Excluded</w:t>
            </w:r>
          </w:p>
        </w:tc>
      </w:tr>
      <w:tr w:rsidR="00E403D6" w:rsidRPr="00F10391" w14:paraId="759A286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04AA6BD" w14:textId="77777777" w:rsidR="00E403D6" w:rsidRPr="00F10391" w:rsidRDefault="00E403D6" w:rsidP="0063065F">
            <w:pPr>
              <w:jc w:val="left"/>
            </w:pPr>
            <w:r w:rsidRPr="00F10391">
              <w:t>01/04/05</w:t>
            </w:r>
          </w:p>
        </w:tc>
        <w:tc>
          <w:tcPr>
            <w:tcW w:w="2720" w:type="dxa"/>
            <w:tcBorders>
              <w:top w:val="nil"/>
              <w:left w:val="nil"/>
              <w:bottom w:val="single" w:sz="4" w:space="0" w:color="auto"/>
              <w:right w:val="single" w:sz="4" w:space="0" w:color="auto"/>
            </w:tcBorders>
            <w:shd w:val="clear" w:color="auto" w:fill="auto"/>
            <w:vAlign w:val="center"/>
            <w:hideMark/>
          </w:tcPr>
          <w:p w14:paraId="4AEB4B25" w14:textId="77777777" w:rsidR="00E403D6" w:rsidRPr="00F10391" w:rsidRDefault="00E403D6" w:rsidP="0063065F">
            <w:pPr>
              <w:jc w:val="left"/>
            </w:pPr>
            <w:r w:rsidRPr="00F10391">
              <w:t>Selection Of Hydrothermal Pre-Treatment Conditions Of Waste Sludge Destruction Using Multicriteria Decision-Making</w:t>
            </w:r>
          </w:p>
        </w:tc>
        <w:tc>
          <w:tcPr>
            <w:tcW w:w="1985" w:type="dxa"/>
            <w:tcBorders>
              <w:top w:val="nil"/>
              <w:left w:val="nil"/>
              <w:bottom w:val="single" w:sz="4" w:space="0" w:color="auto"/>
              <w:right w:val="single" w:sz="4" w:space="0" w:color="auto"/>
            </w:tcBorders>
            <w:shd w:val="clear" w:color="auto" w:fill="auto"/>
            <w:vAlign w:val="center"/>
            <w:hideMark/>
          </w:tcPr>
          <w:p w14:paraId="3FAEA3E8" w14:textId="77777777" w:rsidR="00E403D6" w:rsidRPr="00F10391" w:rsidRDefault="00E403D6" w:rsidP="0063065F">
            <w:pPr>
              <w:jc w:val="left"/>
            </w:pPr>
            <w:r w:rsidRPr="00F10391">
              <w:t>Khalil, Was; Shanableh, A; Rigby, P; Kokot, S</w:t>
            </w:r>
          </w:p>
        </w:tc>
        <w:tc>
          <w:tcPr>
            <w:tcW w:w="2078" w:type="dxa"/>
            <w:tcBorders>
              <w:top w:val="nil"/>
              <w:left w:val="nil"/>
              <w:bottom w:val="single" w:sz="4" w:space="0" w:color="auto"/>
              <w:right w:val="single" w:sz="4" w:space="0" w:color="auto"/>
            </w:tcBorders>
            <w:shd w:val="clear" w:color="auto" w:fill="auto"/>
            <w:vAlign w:val="center"/>
            <w:hideMark/>
          </w:tcPr>
          <w:p w14:paraId="29D2DEDD" w14:textId="77777777" w:rsidR="00E403D6" w:rsidRPr="00F10391" w:rsidRDefault="00E403D6" w:rsidP="0063065F">
            <w:pPr>
              <w:jc w:val="left"/>
            </w:pPr>
            <w:r w:rsidRPr="00F10391">
              <w:t>Journal Of Environmental Management. 2005;75(1):53-64</w:t>
            </w:r>
          </w:p>
        </w:tc>
        <w:tc>
          <w:tcPr>
            <w:tcW w:w="862" w:type="dxa"/>
            <w:tcBorders>
              <w:top w:val="nil"/>
              <w:left w:val="nil"/>
              <w:bottom w:val="single" w:sz="4" w:space="0" w:color="auto"/>
              <w:right w:val="single" w:sz="4" w:space="0" w:color="auto"/>
            </w:tcBorders>
            <w:shd w:val="clear" w:color="auto" w:fill="auto"/>
            <w:noWrap/>
            <w:vAlign w:val="center"/>
            <w:hideMark/>
          </w:tcPr>
          <w:p w14:paraId="19BC8720"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0988AF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719579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41242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13C04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8C4702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30EAA5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4AA5560" w14:textId="77777777" w:rsidR="00E403D6" w:rsidRPr="00F10391" w:rsidRDefault="00E403D6">
            <w:r w:rsidRPr="00F10391">
              <w:t>Excluded</w:t>
            </w:r>
          </w:p>
        </w:tc>
      </w:tr>
      <w:tr w:rsidR="00E403D6" w:rsidRPr="00F10391" w14:paraId="234813A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0DEBAA" w14:textId="77777777" w:rsidR="00E403D6" w:rsidRPr="00F10391" w:rsidRDefault="00E403D6" w:rsidP="0063065F">
            <w:pPr>
              <w:jc w:val="left"/>
            </w:pPr>
            <w:r w:rsidRPr="00F10391">
              <w:t>19/05/05</w:t>
            </w:r>
          </w:p>
        </w:tc>
        <w:tc>
          <w:tcPr>
            <w:tcW w:w="2720" w:type="dxa"/>
            <w:tcBorders>
              <w:top w:val="nil"/>
              <w:left w:val="nil"/>
              <w:bottom w:val="single" w:sz="4" w:space="0" w:color="auto"/>
              <w:right w:val="single" w:sz="4" w:space="0" w:color="auto"/>
            </w:tcBorders>
            <w:shd w:val="clear" w:color="auto" w:fill="auto"/>
            <w:vAlign w:val="center"/>
            <w:hideMark/>
          </w:tcPr>
          <w:p w14:paraId="4F169B38" w14:textId="77777777" w:rsidR="00E403D6" w:rsidRPr="00F10391" w:rsidRDefault="00E403D6" w:rsidP="0063065F">
            <w:pPr>
              <w:jc w:val="left"/>
            </w:pPr>
            <w:r w:rsidRPr="00F10391">
              <w:t>Clinical And Cost-Effectiveness Of Newer Immunosuppressive Regimens In Renal Transplantation: A Systematic Review And Modelling Study.</w:t>
            </w:r>
          </w:p>
        </w:tc>
        <w:tc>
          <w:tcPr>
            <w:tcW w:w="1985" w:type="dxa"/>
            <w:tcBorders>
              <w:top w:val="nil"/>
              <w:left w:val="nil"/>
              <w:bottom w:val="single" w:sz="4" w:space="0" w:color="auto"/>
              <w:right w:val="single" w:sz="4" w:space="0" w:color="auto"/>
            </w:tcBorders>
            <w:shd w:val="clear" w:color="auto" w:fill="auto"/>
            <w:vAlign w:val="center"/>
            <w:hideMark/>
          </w:tcPr>
          <w:p w14:paraId="314D919B" w14:textId="77777777" w:rsidR="00E403D6" w:rsidRPr="00F10391" w:rsidRDefault="00E403D6" w:rsidP="0063065F">
            <w:pPr>
              <w:jc w:val="left"/>
            </w:pPr>
            <w:r w:rsidRPr="00F10391">
              <w:t>Woodroffe R, Yao Gl, Meads C, Bayliss S, Ready A, Raftery J, Taylor Rs.</w:t>
            </w:r>
          </w:p>
        </w:tc>
        <w:tc>
          <w:tcPr>
            <w:tcW w:w="2078" w:type="dxa"/>
            <w:tcBorders>
              <w:top w:val="nil"/>
              <w:left w:val="nil"/>
              <w:bottom w:val="single" w:sz="4" w:space="0" w:color="auto"/>
              <w:right w:val="single" w:sz="4" w:space="0" w:color="auto"/>
            </w:tcBorders>
            <w:shd w:val="clear" w:color="auto" w:fill="auto"/>
            <w:vAlign w:val="center"/>
            <w:hideMark/>
          </w:tcPr>
          <w:p w14:paraId="07D7AE1F" w14:textId="77777777" w:rsidR="00E403D6" w:rsidRPr="00F10391" w:rsidRDefault="00E403D6" w:rsidP="0063065F">
            <w:pPr>
              <w:jc w:val="left"/>
            </w:pPr>
            <w:r w:rsidRPr="00F10391">
              <w:t>Health Technol Assess. 2005 May;9(21):1-179, Iii-Iv. Review.</w:t>
            </w:r>
          </w:p>
        </w:tc>
        <w:tc>
          <w:tcPr>
            <w:tcW w:w="862" w:type="dxa"/>
            <w:tcBorders>
              <w:top w:val="nil"/>
              <w:left w:val="nil"/>
              <w:bottom w:val="single" w:sz="4" w:space="0" w:color="auto"/>
              <w:right w:val="single" w:sz="4" w:space="0" w:color="auto"/>
            </w:tcBorders>
            <w:shd w:val="clear" w:color="auto" w:fill="auto"/>
            <w:noWrap/>
            <w:vAlign w:val="center"/>
            <w:hideMark/>
          </w:tcPr>
          <w:p w14:paraId="783F815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751317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0E41D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5C78D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95B4D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2476DE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951046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4238F95" w14:textId="77777777" w:rsidR="00E403D6" w:rsidRPr="00F10391" w:rsidRDefault="00E403D6">
            <w:r w:rsidRPr="00F10391">
              <w:t>Not found</w:t>
            </w:r>
          </w:p>
        </w:tc>
      </w:tr>
      <w:tr w:rsidR="00E403D6" w:rsidRPr="00F10391" w14:paraId="55EEFAE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F25F2CA" w14:textId="77777777" w:rsidR="00E403D6" w:rsidRPr="00F10391" w:rsidRDefault="00E403D6" w:rsidP="0063065F">
            <w:pPr>
              <w:jc w:val="left"/>
            </w:pPr>
            <w:r w:rsidRPr="00F10391">
              <w:t>01/10/05</w:t>
            </w:r>
          </w:p>
        </w:tc>
        <w:tc>
          <w:tcPr>
            <w:tcW w:w="2720" w:type="dxa"/>
            <w:tcBorders>
              <w:top w:val="nil"/>
              <w:left w:val="nil"/>
              <w:bottom w:val="single" w:sz="4" w:space="0" w:color="auto"/>
              <w:right w:val="single" w:sz="4" w:space="0" w:color="auto"/>
            </w:tcBorders>
            <w:shd w:val="clear" w:color="auto" w:fill="auto"/>
            <w:vAlign w:val="center"/>
            <w:hideMark/>
          </w:tcPr>
          <w:p w14:paraId="0DDFE70F" w14:textId="77777777" w:rsidR="00E403D6" w:rsidRPr="00F10391" w:rsidRDefault="00E403D6" w:rsidP="0063065F">
            <w:pPr>
              <w:jc w:val="left"/>
            </w:pPr>
            <w:r w:rsidRPr="00F10391">
              <w:t>Comparing Multiple Criteria Decision Methods To Extend A Geographical Information System On Afforestation</w:t>
            </w:r>
          </w:p>
        </w:tc>
        <w:tc>
          <w:tcPr>
            <w:tcW w:w="1985" w:type="dxa"/>
            <w:tcBorders>
              <w:top w:val="nil"/>
              <w:left w:val="nil"/>
              <w:bottom w:val="single" w:sz="4" w:space="0" w:color="auto"/>
              <w:right w:val="single" w:sz="4" w:space="0" w:color="auto"/>
            </w:tcBorders>
            <w:shd w:val="clear" w:color="auto" w:fill="auto"/>
            <w:vAlign w:val="center"/>
            <w:hideMark/>
          </w:tcPr>
          <w:p w14:paraId="61AFDC5A" w14:textId="77777777" w:rsidR="00E403D6" w:rsidRPr="00F10391" w:rsidRDefault="00E403D6" w:rsidP="0063065F">
            <w:pPr>
              <w:jc w:val="left"/>
            </w:pPr>
            <w:r w:rsidRPr="00F10391">
              <w:t>Gilliams, S; Raymaekers, D; Muys, B; Van Orshoven, J</w:t>
            </w:r>
          </w:p>
        </w:tc>
        <w:tc>
          <w:tcPr>
            <w:tcW w:w="2078" w:type="dxa"/>
            <w:tcBorders>
              <w:top w:val="nil"/>
              <w:left w:val="nil"/>
              <w:bottom w:val="single" w:sz="4" w:space="0" w:color="auto"/>
              <w:right w:val="single" w:sz="4" w:space="0" w:color="auto"/>
            </w:tcBorders>
            <w:shd w:val="clear" w:color="auto" w:fill="auto"/>
            <w:vAlign w:val="center"/>
            <w:hideMark/>
          </w:tcPr>
          <w:p w14:paraId="32A5417D" w14:textId="77777777" w:rsidR="00E403D6" w:rsidRPr="00F10391" w:rsidRDefault="00E403D6" w:rsidP="0063065F">
            <w:pPr>
              <w:jc w:val="left"/>
            </w:pPr>
            <w:r w:rsidRPr="00F10391">
              <w:t>Computers And Electronics In Agriculture. 2005;49(1):142-158</w:t>
            </w:r>
          </w:p>
        </w:tc>
        <w:tc>
          <w:tcPr>
            <w:tcW w:w="862" w:type="dxa"/>
            <w:tcBorders>
              <w:top w:val="nil"/>
              <w:left w:val="nil"/>
              <w:bottom w:val="single" w:sz="4" w:space="0" w:color="auto"/>
              <w:right w:val="single" w:sz="4" w:space="0" w:color="auto"/>
            </w:tcBorders>
            <w:shd w:val="clear" w:color="auto" w:fill="auto"/>
            <w:noWrap/>
            <w:vAlign w:val="center"/>
            <w:hideMark/>
          </w:tcPr>
          <w:p w14:paraId="08CE154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51224F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4212D7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7D8F86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BD812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610557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BAB74B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BA9A36B" w14:textId="77777777" w:rsidR="00E403D6" w:rsidRPr="00F10391" w:rsidRDefault="00E403D6">
            <w:r w:rsidRPr="00F10391">
              <w:t>Excluded</w:t>
            </w:r>
          </w:p>
        </w:tc>
      </w:tr>
      <w:tr w:rsidR="00E403D6" w:rsidRPr="00F10391" w14:paraId="0ED8A8D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C1CC1F1" w14:textId="77777777" w:rsidR="00E403D6" w:rsidRPr="00F10391" w:rsidRDefault="00E403D6" w:rsidP="0063065F">
            <w:pPr>
              <w:jc w:val="left"/>
            </w:pPr>
            <w:r w:rsidRPr="00F10391">
              <w:t>03/12/05</w:t>
            </w:r>
          </w:p>
        </w:tc>
        <w:tc>
          <w:tcPr>
            <w:tcW w:w="2720" w:type="dxa"/>
            <w:tcBorders>
              <w:top w:val="nil"/>
              <w:left w:val="nil"/>
              <w:bottom w:val="single" w:sz="4" w:space="0" w:color="auto"/>
              <w:right w:val="single" w:sz="4" w:space="0" w:color="auto"/>
            </w:tcBorders>
            <w:shd w:val="clear" w:color="auto" w:fill="auto"/>
            <w:vAlign w:val="center"/>
            <w:hideMark/>
          </w:tcPr>
          <w:p w14:paraId="064919B7" w14:textId="77777777" w:rsidR="00E403D6" w:rsidRPr="00F10391" w:rsidRDefault="00E403D6" w:rsidP="0063065F">
            <w:pPr>
              <w:jc w:val="left"/>
            </w:pPr>
            <w:r w:rsidRPr="00F10391">
              <w:t>Correlates Of Health And Healthcare Performance: Applying The Canadian Health Indicators Framework At The Provincial-Territorial Level.</w:t>
            </w:r>
          </w:p>
        </w:tc>
        <w:tc>
          <w:tcPr>
            <w:tcW w:w="1985" w:type="dxa"/>
            <w:tcBorders>
              <w:top w:val="nil"/>
              <w:left w:val="nil"/>
              <w:bottom w:val="single" w:sz="4" w:space="0" w:color="auto"/>
              <w:right w:val="single" w:sz="4" w:space="0" w:color="auto"/>
            </w:tcBorders>
            <w:shd w:val="clear" w:color="auto" w:fill="auto"/>
            <w:vAlign w:val="center"/>
            <w:hideMark/>
          </w:tcPr>
          <w:p w14:paraId="3D6C28D1" w14:textId="77777777" w:rsidR="00E403D6" w:rsidRPr="00F10391" w:rsidRDefault="00E403D6" w:rsidP="0063065F">
            <w:pPr>
              <w:jc w:val="left"/>
            </w:pPr>
            <w:r w:rsidRPr="00F10391">
              <w:t>Arah Oa, Westert Gp.</w:t>
            </w:r>
          </w:p>
        </w:tc>
        <w:tc>
          <w:tcPr>
            <w:tcW w:w="2078" w:type="dxa"/>
            <w:tcBorders>
              <w:top w:val="nil"/>
              <w:left w:val="nil"/>
              <w:bottom w:val="single" w:sz="4" w:space="0" w:color="auto"/>
              <w:right w:val="single" w:sz="4" w:space="0" w:color="auto"/>
            </w:tcBorders>
            <w:shd w:val="clear" w:color="auto" w:fill="auto"/>
            <w:vAlign w:val="center"/>
            <w:hideMark/>
          </w:tcPr>
          <w:p w14:paraId="7966C1A0" w14:textId="77777777" w:rsidR="00E403D6" w:rsidRPr="00F10391" w:rsidRDefault="00E403D6" w:rsidP="0063065F">
            <w:pPr>
              <w:jc w:val="left"/>
            </w:pPr>
            <w:r w:rsidRPr="00F10391">
              <w:t>Bmc Health Serv Res. 2005 Dec 1;5:76.</w:t>
            </w:r>
          </w:p>
        </w:tc>
        <w:tc>
          <w:tcPr>
            <w:tcW w:w="862" w:type="dxa"/>
            <w:tcBorders>
              <w:top w:val="nil"/>
              <w:left w:val="nil"/>
              <w:bottom w:val="single" w:sz="4" w:space="0" w:color="auto"/>
              <w:right w:val="single" w:sz="4" w:space="0" w:color="auto"/>
            </w:tcBorders>
            <w:shd w:val="clear" w:color="auto" w:fill="auto"/>
            <w:noWrap/>
            <w:vAlign w:val="center"/>
            <w:hideMark/>
          </w:tcPr>
          <w:p w14:paraId="761EFFF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E4DEB9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E54B3E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85DAB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25653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9A9DA8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431908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82BEA6" w14:textId="77777777" w:rsidR="00E403D6" w:rsidRPr="00F10391" w:rsidRDefault="00E403D6">
            <w:r w:rsidRPr="00F10391">
              <w:t>Not found</w:t>
            </w:r>
          </w:p>
        </w:tc>
      </w:tr>
      <w:tr w:rsidR="00E403D6" w:rsidRPr="00F10391" w14:paraId="2BD0015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8D22556" w14:textId="77777777" w:rsidR="00E403D6" w:rsidRPr="00F10391" w:rsidRDefault="00E403D6" w:rsidP="0063065F">
            <w:pPr>
              <w:jc w:val="left"/>
            </w:pPr>
            <w:r w:rsidRPr="00F10391">
              <w:t>18/01/06</w:t>
            </w:r>
          </w:p>
        </w:tc>
        <w:tc>
          <w:tcPr>
            <w:tcW w:w="2720" w:type="dxa"/>
            <w:tcBorders>
              <w:top w:val="nil"/>
              <w:left w:val="nil"/>
              <w:bottom w:val="single" w:sz="4" w:space="0" w:color="auto"/>
              <w:right w:val="single" w:sz="4" w:space="0" w:color="auto"/>
            </w:tcBorders>
            <w:shd w:val="clear" w:color="auto" w:fill="auto"/>
            <w:vAlign w:val="center"/>
            <w:hideMark/>
          </w:tcPr>
          <w:p w14:paraId="20EF16EE" w14:textId="77777777" w:rsidR="00E403D6" w:rsidRPr="00F10391" w:rsidRDefault="00E403D6" w:rsidP="0063065F">
            <w:pPr>
              <w:jc w:val="left"/>
            </w:pPr>
            <w:r w:rsidRPr="00F10391">
              <w:t>Decision Making Under Uncertainty In Case Of Soil Remediation.</w:t>
            </w:r>
          </w:p>
        </w:tc>
        <w:tc>
          <w:tcPr>
            <w:tcW w:w="1985" w:type="dxa"/>
            <w:tcBorders>
              <w:top w:val="nil"/>
              <w:left w:val="nil"/>
              <w:bottom w:val="single" w:sz="4" w:space="0" w:color="auto"/>
              <w:right w:val="single" w:sz="4" w:space="0" w:color="auto"/>
            </w:tcBorders>
            <w:shd w:val="clear" w:color="auto" w:fill="auto"/>
            <w:vAlign w:val="center"/>
            <w:hideMark/>
          </w:tcPr>
          <w:p w14:paraId="0F4F7544" w14:textId="77777777" w:rsidR="00E403D6" w:rsidRPr="00F10391" w:rsidRDefault="00E403D6" w:rsidP="0063065F">
            <w:pPr>
              <w:jc w:val="left"/>
            </w:pPr>
            <w:r w:rsidRPr="00F10391">
              <w:t>Scholz Rw, Schnabel U.</w:t>
            </w:r>
          </w:p>
        </w:tc>
        <w:tc>
          <w:tcPr>
            <w:tcW w:w="2078" w:type="dxa"/>
            <w:tcBorders>
              <w:top w:val="nil"/>
              <w:left w:val="nil"/>
              <w:bottom w:val="single" w:sz="4" w:space="0" w:color="auto"/>
              <w:right w:val="single" w:sz="4" w:space="0" w:color="auto"/>
            </w:tcBorders>
            <w:shd w:val="clear" w:color="auto" w:fill="auto"/>
            <w:vAlign w:val="center"/>
            <w:hideMark/>
          </w:tcPr>
          <w:p w14:paraId="76526C25" w14:textId="77777777" w:rsidR="00E403D6" w:rsidRPr="00F10391" w:rsidRDefault="00E403D6" w:rsidP="0063065F">
            <w:pPr>
              <w:jc w:val="left"/>
            </w:pPr>
            <w:r w:rsidRPr="00F10391">
              <w:t>J Environ Manage. 2006 Jul;80(2):132-47. Epub 2006 Jan 18.</w:t>
            </w:r>
          </w:p>
        </w:tc>
        <w:tc>
          <w:tcPr>
            <w:tcW w:w="862" w:type="dxa"/>
            <w:tcBorders>
              <w:top w:val="nil"/>
              <w:left w:val="nil"/>
              <w:bottom w:val="single" w:sz="4" w:space="0" w:color="auto"/>
              <w:right w:val="single" w:sz="4" w:space="0" w:color="auto"/>
            </w:tcBorders>
            <w:shd w:val="clear" w:color="auto" w:fill="auto"/>
            <w:noWrap/>
            <w:vAlign w:val="center"/>
            <w:hideMark/>
          </w:tcPr>
          <w:p w14:paraId="530BBB5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41F6BE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47B283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3C3127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A8071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224EF7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E03C0E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10D71B4" w14:textId="77777777" w:rsidR="00E403D6" w:rsidRPr="00F10391" w:rsidRDefault="00E403D6">
            <w:r w:rsidRPr="00F10391">
              <w:t>Not found</w:t>
            </w:r>
          </w:p>
        </w:tc>
      </w:tr>
      <w:tr w:rsidR="00E403D6" w:rsidRPr="00F10391" w14:paraId="36A14F3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5D09004" w14:textId="77777777" w:rsidR="00E403D6" w:rsidRPr="00F10391" w:rsidRDefault="00E403D6" w:rsidP="0063065F">
            <w:pPr>
              <w:jc w:val="left"/>
            </w:pPr>
            <w:r w:rsidRPr="00F10391">
              <w:t>17/03/06</w:t>
            </w:r>
          </w:p>
        </w:tc>
        <w:tc>
          <w:tcPr>
            <w:tcW w:w="2720" w:type="dxa"/>
            <w:tcBorders>
              <w:top w:val="nil"/>
              <w:left w:val="nil"/>
              <w:bottom w:val="single" w:sz="4" w:space="0" w:color="auto"/>
              <w:right w:val="single" w:sz="4" w:space="0" w:color="auto"/>
            </w:tcBorders>
            <w:shd w:val="clear" w:color="auto" w:fill="auto"/>
            <w:vAlign w:val="center"/>
            <w:hideMark/>
          </w:tcPr>
          <w:p w14:paraId="0D31DDBF" w14:textId="77777777" w:rsidR="00E403D6" w:rsidRPr="00F10391" w:rsidRDefault="00E403D6" w:rsidP="0063065F">
            <w:pPr>
              <w:jc w:val="left"/>
            </w:pPr>
            <w:r w:rsidRPr="00F10391">
              <w:t>Managing Industrial Risk - Having A Tested And Proven System To Prevent And Assess Risk</w:t>
            </w:r>
          </w:p>
        </w:tc>
        <w:tc>
          <w:tcPr>
            <w:tcW w:w="1985" w:type="dxa"/>
            <w:tcBorders>
              <w:top w:val="nil"/>
              <w:left w:val="nil"/>
              <w:bottom w:val="single" w:sz="4" w:space="0" w:color="auto"/>
              <w:right w:val="single" w:sz="4" w:space="0" w:color="auto"/>
            </w:tcBorders>
            <w:shd w:val="clear" w:color="auto" w:fill="auto"/>
            <w:vAlign w:val="center"/>
            <w:hideMark/>
          </w:tcPr>
          <w:p w14:paraId="4D149844" w14:textId="77777777" w:rsidR="00E403D6" w:rsidRPr="00F10391" w:rsidRDefault="00E403D6" w:rsidP="0063065F">
            <w:pPr>
              <w:jc w:val="left"/>
            </w:pPr>
            <w:r w:rsidRPr="00F10391">
              <w:t>Heller, S</w:t>
            </w:r>
          </w:p>
        </w:tc>
        <w:tc>
          <w:tcPr>
            <w:tcW w:w="2078" w:type="dxa"/>
            <w:tcBorders>
              <w:top w:val="nil"/>
              <w:left w:val="nil"/>
              <w:bottom w:val="single" w:sz="4" w:space="0" w:color="auto"/>
              <w:right w:val="single" w:sz="4" w:space="0" w:color="auto"/>
            </w:tcBorders>
            <w:shd w:val="clear" w:color="auto" w:fill="auto"/>
            <w:vAlign w:val="center"/>
            <w:hideMark/>
          </w:tcPr>
          <w:p w14:paraId="2A22452B" w14:textId="77777777" w:rsidR="00E403D6" w:rsidRPr="00F10391" w:rsidRDefault="00E403D6" w:rsidP="0063065F">
            <w:pPr>
              <w:jc w:val="left"/>
            </w:pPr>
            <w:r w:rsidRPr="00F10391">
              <w:t>Journal Of Hazardous Materials. 2006;130(40209):58-63</w:t>
            </w:r>
          </w:p>
        </w:tc>
        <w:tc>
          <w:tcPr>
            <w:tcW w:w="862" w:type="dxa"/>
            <w:tcBorders>
              <w:top w:val="nil"/>
              <w:left w:val="nil"/>
              <w:bottom w:val="single" w:sz="4" w:space="0" w:color="auto"/>
              <w:right w:val="single" w:sz="4" w:space="0" w:color="auto"/>
            </w:tcBorders>
            <w:shd w:val="clear" w:color="auto" w:fill="auto"/>
            <w:noWrap/>
            <w:vAlign w:val="center"/>
            <w:hideMark/>
          </w:tcPr>
          <w:p w14:paraId="7FC43BA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630E53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CD5176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5F0011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366C96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949BD3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CED2C1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1C250C5" w14:textId="77777777" w:rsidR="00E403D6" w:rsidRPr="00F10391" w:rsidRDefault="00E403D6">
            <w:r w:rsidRPr="00F10391">
              <w:t>Excluded</w:t>
            </w:r>
          </w:p>
        </w:tc>
      </w:tr>
      <w:tr w:rsidR="00E403D6" w:rsidRPr="00F10391" w14:paraId="4E369E0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567B210" w14:textId="77777777" w:rsidR="00E403D6" w:rsidRPr="00F10391" w:rsidRDefault="00E403D6" w:rsidP="0063065F">
            <w:pPr>
              <w:jc w:val="left"/>
            </w:pPr>
            <w:r w:rsidRPr="00F10391">
              <w:t>06/04/06</w:t>
            </w:r>
          </w:p>
        </w:tc>
        <w:tc>
          <w:tcPr>
            <w:tcW w:w="2720" w:type="dxa"/>
            <w:tcBorders>
              <w:top w:val="nil"/>
              <w:left w:val="nil"/>
              <w:bottom w:val="single" w:sz="4" w:space="0" w:color="auto"/>
              <w:right w:val="single" w:sz="4" w:space="0" w:color="auto"/>
            </w:tcBorders>
            <w:shd w:val="clear" w:color="auto" w:fill="auto"/>
            <w:vAlign w:val="center"/>
            <w:hideMark/>
          </w:tcPr>
          <w:p w14:paraId="5626F08B" w14:textId="77777777" w:rsidR="00E403D6" w:rsidRPr="00F10391" w:rsidRDefault="00E403D6" w:rsidP="0063065F">
            <w:pPr>
              <w:jc w:val="left"/>
            </w:pPr>
            <w:r w:rsidRPr="00F10391">
              <w:t>Economic Evaluations Of Non-Communicable Disease Interventions In Developing Countries: A Critical Review Of The Evidence Base.</w:t>
            </w:r>
          </w:p>
        </w:tc>
        <w:tc>
          <w:tcPr>
            <w:tcW w:w="1985" w:type="dxa"/>
            <w:tcBorders>
              <w:top w:val="nil"/>
              <w:left w:val="nil"/>
              <w:bottom w:val="single" w:sz="4" w:space="0" w:color="auto"/>
              <w:right w:val="single" w:sz="4" w:space="0" w:color="auto"/>
            </w:tcBorders>
            <w:shd w:val="clear" w:color="auto" w:fill="auto"/>
            <w:vAlign w:val="center"/>
            <w:hideMark/>
          </w:tcPr>
          <w:p w14:paraId="2EE6F171" w14:textId="77777777" w:rsidR="00E403D6" w:rsidRPr="005D7324" w:rsidRDefault="00E403D6" w:rsidP="0063065F">
            <w:pPr>
              <w:jc w:val="left"/>
            </w:pPr>
            <w:r w:rsidRPr="005D7324">
              <w:t>Mulligan Ja, Walker D, Fox-Rushby J.</w:t>
            </w:r>
          </w:p>
        </w:tc>
        <w:tc>
          <w:tcPr>
            <w:tcW w:w="2078" w:type="dxa"/>
            <w:tcBorders>
              <w:top w:val="nil"/>
              <w:left w:val="nil"/>
              <w:bottom w:val="single" w:sz="4" w:space="0" w:color="auto"/>
              <w:right w:val="single" w:sz="4" w:space="0" w:color="auto"/>
            </w:tcBorders>
            <w:shd w:val="clear" w:color="auto" w:fill="auto"/>
            <w:vAlign w:val="center"/>
            <w:hideMark/>
          </w:tcPr>
          <w:p w14:paraId="6CC959EF" w14:textId="77777777" w:rsidR="00E403D6" w:rsidRPr="00F10391" w:rsidRDefault="00E403D6" w:rsidP="0063065F">
            <w:pPr>
              <w:jc w:val="left"/>
            </w:pPr>
            <w:r w:rsidRPr="00F10391">
              <w:t>Cost Eff Resour Alloc. 2006 Apr 3;4:7.</w:t>
            </w:r>
          </w:p>
        </w:tc>
        <w:tc>
          <w:tcPr>
            <w:tcW w:w="862" w:type="dxa"/>
            <w:tcBorders>
              <w:top w:val="nil"/>
              <w:left w:val="nil"/>
              <w:bottom w:val="single" w:sz="4" w:space="0" w:color="auto"/>
              <w:right w:val="single" w:sz="4" w:space="0" w:color="auto"/>
            </w:tcBorders>
            <w:shd w:val="clear" w:color="auto" w:fill="auto"/>
            <w:noWrap/>
            <w:vAlign w:val="center"/>
            <w:hideMark/>
          </w:tcPr>
          <w:p w14:paraId="038C168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048A6F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E3AF40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AF97C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95E061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1D13B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8A78D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84AF219" w14:textId="77777777" w:rsidR="00E403D6" w:rsidRPr="00F10391" w:rsidRDefault="00E403D6">
            <w:r w:rsidRPr="00F10391">
              <w:t>Not found</w:t>
            </w:r>
          </w:p>
        </w:tc>
      </w:tr>
      <w:tr w:rsidR="00E403D6" w:rsidRPr="00F10391" w14:paraId="615D5AF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059FA98" w14:textId="77777777" w:rsidR="00E403D6" w:rsidRPr="00F10391" w:rsidRDefault="00E403D6" w:rsidP="0063065F">
            <w:pPr>
              <w:jc w:val="left"/>
            </w:pPr>
            <w:r w:rsidRPr="00F10391">
              <w:t>30/05/06</w:t>
            </w:r>
          </w:p>
        </w:tc>
        <w:tc>
          <w:tcPr>
            <w:tcW w:w="2720" w:type="dxa"/>
            <w:tcBorders>
              <w:top w:val="nil"/>
              <w:left w:val="nil"/>
              <w:bottom w:val="single" w:sz="4" w:space="0" w:color="auto"/>
              <w:right w:val="single" w:sz="4" w:space="0" w:color="auto"/>
            </w:tcBorders>
            <w:shd w:val="clear" w:color="auto" w:fill="auto"/>
            <w:vAlign w:val="center"/>
            <w:hideMark/>
          </w:tcPr>
          <w:p w14:paraId="36EF5097" w14:textId="77777777" w:rsidR="00E403D6" w:rsidRPr="00F10391" w:rsidRDefault="00E403D6" w:rsidP="0063065F">
            <w:pPr>
              <w:jc w:val="left"/>
            </w:pPr>
            <w:r w:rsidRPr="00F10391">
              <w:t>A Systematic Review Of The Clinical Effectiveness And Cost-Effectiveness Of Enzyme Replacement Therapies For Fabry'S Disease And Mucopolysaccharidosis Type 1.</w:t>
            </w:r>
          </w:p>
        </w:tc>
        <w:tc>
          <w:tcPr>
            <w:tcW w:w="1985" w:type="dxa"/>
            <w:tcBorders>
              <w:top w:val="nil"/>
              <w:left w:val="nil"/>
              <w:bottom w:val="single" w:sz="4" w:space="0" w:color="auto"/>
              <w:right w:val="single" w:sz="4" w:space="0" w:color="auto"/>
            </w:tcBorders>
            <w:shd w:val="clear" w:color="auto" w:fill="auto"/>
            <w:vAlign w:val="center"/>
            <w:hideMark/>
          </w:tcPr>
          <w:p w14:paraId="15F3939D" w14:textId="77777777" w:rsidR="00E403D6" w:rsidRPr="00F10391" w:rsidRDefault="00E403D6" w:rsidP="0063065F">
            <w:pPr>
              <w:jc w:val="left"/>
            </w:pPr>
            <w:r w:rsidRPr="00F10391">
              <w:t>Connock M, Juarez-Garcia A, Frew E, Mans A, Dretzke J, Fry-Smith A, Moore D.</w:t>
            </w:r>
          </w:p>
        </w:tc>
        <w:tc>
          <w:tcPr>
            <w:tcW w:w="2078" w:type="dxa"/>
            <w:tcBorders>
              <w:top w:val="nil"/>
              <w:left w:val="nil"/>
              <w:bottom w:val="single" w:sz="4" w:space="0" w:color="auto"/>
              <w:right w:val="single" w:sz="4" w:space="0" w:color="auto"/>
            </w:tcBorders>
            <w:shd w:val="clear" w:color="auto" w:fill="auto"/>
            <w:vAlign w:val="center"/>
            <w:hideMark/>
          </w:tcPr>
          <w:p w14:paraId="3C72B0F2" w14:textId="77777777" w:rsidR="00E403D6" w:rsidRPr="00F10391" w:rsidRDefault="00E403D6" w:rsidP="0063065F">
            <w:pPr>
              <w:jc w:val="left"/>
            </w:pPr>
            <w:r w:rsidRPr="00F10391">
              <w:t>Health Technol Assess. 2006 Jun;10(20):Iii-Iv, Ix-113. Review.</w:t>
            </w:r>
          </w:p>
        </w:tc>
        <w:tc>
          <w:tcPr>
            <w:tcW w:w="862" w:type="dxa"/>
            <w:tcBorders>
              <w:top w:val="nil"/>
              <w:left w:val="nil"/>
              <w:bottom w:val="single" w:sz="4" w:space="0" w:color="auto"/>
              <w:right w:val="single" w:sz="4" w:space="0" w:color="auto"/>
            </w:tcBorders>
            <w:shd w:val="clear" w:color="auto" w:fill="auto"/>
            <w:noWrap/>
            <w:vAlign w:val="center"/>
            <w:hideMark/>
          </w:tcPr>
          <w:p w14:paraId="16FB15A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979493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CFA44E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332DA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6B861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E03BDB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0926A3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C011A5E" w14:textId="77777777" w:rsidR="00E403D6" w:rsidRPr="00F10391" w:rsidRDefault="00E403D6">
            <w:r w:rsidRPr="00F10391">
              <w:t>Not found</w:t>
            </w:r>
          </w:p>
        </w:tc>
      </w:tr>
      <w:tr w:rsidR="00E403D6" w:rsidRPr="00F10391" w14:paraId="387D3FD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576C4BD" w14:textId="77777777" w:rsidR="00E403D6" w:rsidRPr="00F10391" w:rsidRDefault="00E403D6" w:rsidP="0063065F">
            <w:pPr>
              <w:jc w:val="left"/>
            </w:pPr>
            <w:r w:rsidRPr="00F10391">
              <w:t>01/06/06</w:t>
            </w:r>
          </w:p>
        </w:tc>
        <w:tc>
          <w:tcPr>
            <w:tcW w:w="2720" w:type="dxa"/>
            <w:tcBorders>
              <w:top w:val="nil"/>
              <w:left w:val="nil"/>
              <w:bottom w:val="single" w:sz="4" w:space="0" w:color="auto"/>
              <w:right w:val="single" w:sz="4" w:space="0" w:color="auto"/>
            </w:tcBorders>
            <w:shd w:val="clear" w:color="auto" w:fill="auto"/>
            <w:vAlign w:val="center"/>
            <w:hideMark/>
          </w:tcPr>
          <w:p w14:paraId="486663CC" w14:textId="77777777" w:rsidR="00E403D6" w:rsidRPr="00F10391" w:rsidRDefault="00E403D6" w:rsidP="0063065F">
            <w:pPr>
              <w:jc w:val="left"/>
            </w:pPr>
            <w:r w:rsidRPr="00F10391">
              <w:t>A Comparative Study Of The Elemental Composition Of The Exhaust Emissions Of Cars Powered By Liquefied Petroleum Gas And Unleaded Petrol</w:t>
            </w:r>
          </w:p>
        </w:tc>
        <w:tc>
          <w:tcPr>
            <w:tcW w:w="1985" w:type="dxa"/>
            <w:tcBorders>
              <w:top w:val="nil"/>
              <w:left w:val="nil"/>
              <w:bottom w:val="single" w:sz="4" w:space="0" w:color="auto"/>
              <w:right w:val="single" w:sz="4" w:space="0" w:color="auto"/>
            </w:tcBorders>
            <w:shd w:val="clear" w:color="auto" w:fill="auto"/>
            <w:vAlign w:val="center"/>
            <w:hideMark/>
          </w:tcPr>
          <w:p w14:paraId="1B0F5A7C" w14:textId="77777777" w:rsidR="00E403D6" w:rsidRPr="00F10391" w:rsidRDefault="00E403D6" w:rsidP="0063065F">
            <w:pPr>
              <w:jc w:val="left"/>
            </w:pPr>
            <w:r w:rsidRPr="00F10391">
              <w:t>Lim, Mch; Ayoko, Ga; Morawska, L; Ristovski, Zd; Jayaratne, Er; Kokot, S</w:t>
            </w:r>
          </w:p>
        </w:tc>
        <w:tc>
          <w:tcPr>
            <w:tcW w:w="2078" w:type="dxa"/>
            <w:tcBorders>
              <w:top w:val="nil"/>
              <w:left w:val="nil"/>
              <w:bottom w:val="single" w:sz="4" w:space="0" w:color="auto"/>
              <w:right w:val="single" w:sz="4" w:space="0" w:color="auto"/>
            </w:tcBorders>
            <w:shd w:val="clear" w:color="auto" w:fill="auto"/>
            <w:vAlign w:val="center"/>
            <w:hideMark/>
          </w:tcPr>
          <w:p w14:paraId="370F0490" w14:textId="77777777" w:rsidR="00E403D6" w:rsidRPr="00F10391" w:rsidRDefault="00E403D6" w:rsidP="0063065F">
            <w:pPr>
              <w:jc w:val="left"/>
            </w:pPr>
            <w:r w:rsidRPr="00F10391">
              <w:t>Atmospheric Environment. 2006;40(17):3111-3122</w:t>
            </w:r>
          </w:p>
        </w:tc>
        <w:tc>
          <w:tcPr>
            <w:tcW w:w="862" w:type="dxa"/>
            <w:tcBorders>
              <w:top w:val="nil"/>
              <w:left w:val="nil"/>
              <w:bottom w:val="single" w:sz="4" w:space="0" w:color="auto"/>
              <w:right w:val="single" w:sz="4" w:space="0" w:color="auto"/>
            </w:tcBorders>
            <w:shd w:val="clear" w:color="auto" w:fill="auto"/>
            <w:noWrap/>
            <w:vAlign w:val="center"/>
            <w:hideMark/>
          </w:tcPr>
          <w:p w14:paraId="562EE70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0619B6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B94CB6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4B7B8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CF508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450F40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0AE981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50DAB9B" w14:textId="77777777" w:rsidR="00E403D6" w:rsidRPr="00F10391" w:rsidRDefault="00E403D6">
            <w:r w:rsidRPr="00F10391">
              <w:t>Excluded</w:t>
            </w:r>
          </w:p>
        </w:tc>
      </w:tr>
      <w:tr w:rsidR="00E403D6" w:rsidRPr="00F10391" w14:paraId="5186AD3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805E016" w14:textId="77777777" w:rsidR="00E403D6" w:rsidRPr="00F10391" w:rsidRDefault="00E403D6" w:rsidP="0063065F">
            <w:pPr>
              <w:jc w:val="left"/>
            </w:pPr>
            <w:r w:rsidRPr="00F10391">
              <w:t>17/06/06</w:t>
            </w:r>
          </w:p>
        </w:tc>
        <w:tc>
          <w:tcPr>
            <w:tcW w:w="2720" w:type="dxa"/>
            <w:tcBorders>
              <w:top w:val="nil"/>
              <w:left w:val="nil"/>
              <w:bottom w:val="single" w:sz="4" w:space="0" w:color="auto"/>
              <w:right w:val="single" w:sz="4" w:space="0" w:color="auto"/>
            </w:tcBorders>
            <w:shd w:val="clear" w:color="auto" w:fill="auto"/>
            <w:vAlign w:val="center"/>
            <w:hideMark/>
          </w:tcPr>
          <w:p w14:paraId="54727772" w14:textId="77777777" w:rsidR="00E403D6" w:rsidRPr="00F10391" w:rsidRDefault="00E403D6" w:rsidP="0063065F">
            <w:pPr>
              <w:jc w:val="left"/>
            </w:pPr>
            <w:r w:rsidRPr="00F10391">
              <w:t>Multicriteria Relocation Analysis Of An Off-Site Radioactive Monitoring Network For A Nuclear Power Plant.</w:t>
            </w:r>
          </w:p>
        </w:tc>
        <w:tc>
          <w:tcPr>
            <w:tcW w:w="1985" w:type="dxa"/>
            <w:tcBorders>
              <w:top w:val="nil"/>
              <w:left w:val="nil"/>
              <w:bottom w:val="single" w:sz="4" w:space="0" w:color="auto"/>
              <w:right w:val="single" w:sz="4" w:space="0" w:color="auto"/>
            </w:tcBorders>
            <w:shd w:val="clear" w:color="auto" w:fill="auto"/>
            <w:vAlign w:val="center"/>
            <w:hideMark/>
          </w:tcPr>
          <w:p w14:paraId="465D26E2" w14:textId="77777777" w:rsidR="00E403D6" w:rsidRPr="00F10391" w:rsidRDefault="00E403D6" w:rsidP="0063065F">
            <w:pPr>
              <w:jc w:val="left"/>
            </w:pPr>
            <w:r w:rsidRPr="00F10391">
              <w:t>Chang Nb, Ning Sk, Chen Jc.</w:t>
            </w:r>
          </w:p>
        </w:tc>
        <w:tc>
          <w:tcPr>
            <w:tcW w:w="2078" w:type="dxa"/>
            <w:tcBorders>
              <w:top w:val="nil"/>
              <w:left w:val="nil"/>
              <w:bottom w:val="single" w:sz="4" w:space="0" w:color="auto"/>
              <w:right w:val="single" w:sz="4" w:space="0" w:color="auto"/>
            </w:tcBorders>
            <w:shd w:val="clear" w:color="auto" w:fill="auto"/>
            <w:vAlign w:val="center"/>
            <w:hideMark/>
          </w:tcPr>
          <w:p w14:paraId="7EA9771A" w14:textId="77777777" w:rsidR="00E403D6" w:rsidRPr="00F10391" w:rsidRDefault="00E403D6" w:rsidP="0063065F">
            <w:pPr>
              <w:jc w:val="left"/>
            </w:pPr>
            <w:r w:rsidRPr="00F10391">
              <w:t>Environ Manage. 2006 Aug;38(2):197-217.</w:t>
            </w:r>
          </w:p>
        </w:tc>
        <w:tc>
          <w:tcPr>
            <w:tcW w:w="862" w:type="dxa"/>
            <w:tcBorders>
              <w:top w:val="nil"/>
              <w:left w:val="nil"/>
              <w:bottom w:val="single" w:sz="4" w:space="0" w:color="auto"/>
              <w:right w:val="single" w:sz="4" w:space="0" w:color="auto"/>
            </w:tcBorders>
            <w:shd w:val="clear" w:color="auto" w:fill="auto"/>
            <w:noWrap/>
            <w:vAlign w:val="center"/>
            <w:hideMark/>
          </w:tcPr>
          <w:p w14:paraId="464B19D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A2ABDB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4BE192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BD80C6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6031A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75D4E3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18DCA6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79A9D06" w14:textId="77777777" w:rsidR="00E403D6" w:rsidRPr="00F10391" w:rsidRDefault="00E403D6">
            <w:r w:rsidRPr="00F10391">
              <w:t>Not found</w:t>
            </w:r>
          </w:p>
        </w:tc>
      </w:tr>
      <w:tr w:rsidR="00E403D6" w:rsidRPr="00F10391" w14:paraId="2E4FC4B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B02678" w14:textId="77777777" w:rsidR="00E403D6" w:rsidRPr="00F10391" w:rsidRDefault="00E403D6" w:rsidP="0063065F">
            <w:pPr>
              <w:jc w:val="left"/>
            </w:pPr>
            <w:r w:rsidRPr="00F10391">
              <w:t>24/06/06</w:t>
            </w:r>
          </w:p>
        </w:tc>
        <w:tc>
          <w:tcPr>
            <w:tcW w:w="2720" w:type="dxa"/>
            <w:tcBorders>
              <w:top w:val="nil"/>
              <w:left w:val="nil"/>
              <w:bottom w:val="single" w:sz="4" w:space="0" w:color="auto"/>
              <w:right w:val="single" w:sz="4" w:space="0" w:color="auto"/>
            </w:tcBorders>
            <w:shd w:val="clear" w:color="auto" w:fill="auto"/>
            <w:vAlign w:val="center"/>
            <w:hideMark/>
          </w:tcPr>
          <w:p w14:paraId="1EC09D5E" w14:textId="77777777" w:rsidR="00E403D6" w:rsidRPr="00F10391" w:rsidRDefault="00E403D6" w:rsidP="0063065F">
            <w:pPr>
              <w:jc w:val="left"/>
            </w:pPr>
            <w:r w:rsidRPr="00F10391">
              <w:t>Minimax Regret Optimization Analysis For A Regional Solid Waste Management System.</w:t>
            </w:r>
          </w:p>
        </w:tc>
        <w:tc>
          <w:tcPr>
            <w:tcW w:w="1985" w:type="dxa"/>
            <w:tcBorders>
              <w:top w:val="nil"/>
              <w:left w:val="nil"/>
              <w:bottom w:val="single" w:sz="4" w:space="0" w:color="auto"/>
              <w:right w:val="single" w:sz="4" w:space="0" w:color="auto"/>
            </w:tcBorders>
            <w:shd w:val="clear" w:color="auto" w:fill="auto"/>
            <w:vAlign w:val="center"/>
            <w:hideMark/>
          </w:tcPr>
          <w:p w14:paraId="5E61D578" w14:textId="77777777" w:rsidR="00E403D6" w:rsidRPr="00F10391" w:rsidRDefault="00E403D6" w:rsidP="0063065F">
            <w:pPr>
              <w:jc w:val="left"/>
            </w:pPr>
            <w:r w:rsidRPr="00F10391">
              <w:t>Chang Nb, Davila E.</w:t>
            </w:r>
          </w:p>
        </w:tc>
        <w:tc>
          <w:tcPr>
            <w:tcW w:w="2078" w:type="dxa"/>
            <w:tcBorders>
              <w:top w:val="nil"/>
              <w:left w:val="nil"/>
              <w:bottom w:val="single" w:sz="4" w:space="0" w:color="auto"/>
              <w:right w:val="single" w:sz="4" w:space="0" w:color="auto"/>
            </w:tcBorders>
            <w:shd w:val="clear" w:color="auto" w:fill="auto"/>
            <w:vAlign w:val="center"/>
            <w:hideMark/>
          </w:tcPr>
          <w:p w14:paraId="6A4750E1" w14:textId="77777777" w:rsidR="00E403D6" w:rsidRPr="00F10391" w:rsidRDefault="00E403D6" w:rsidP="0063065F">
            <w:pPr>
              <w:jc w:val="left"/>
            </w:pPr>
            <w:r w:rsidRPr="00F10391">
              <w:t>Waste Manag. 2007;27(6):820-32. Epub 2006 Jun 21.</w:t>
            </w:r>
          </w:p>
        </w:tc>
        <w:tc>
          <w:tcPr>
            <w:tcW w:w="862" w:type="dxa"/>
            <w:tcBorders>
              <w:top w:val="nil"/>
              <w:left w:val="nil"/>
              <w:bottom w:val="single" w:sz="4" w:space="0" w:color="auto"/>
              <w:right w:val="single" w:sz="4" w:space="0" w:color="auto"/>
            </w:tcBorders>
            <w:shd w:val="clear" w:color="auto" w:fill="auto"/>
            <w:noWrap/>
            <w:vAlign w:val="center"/>
            <w:hideMark/>
          </w:tcPr>
          <w:p w14:paraId="4CF6C45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1D7406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9CF9B5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87619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B71FB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C497F9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AB1575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07186DE" w14:textId="77777777" w:rsidR="00E403D6" w:rsidRPr="00F10391" w:rsidRDefault="00E403D6">
            <w:r w:rsidRPr="00F10391">
              <w:t>Not found</w:t>
            </w:r>
          </w:p>
        </w:tc>
      </w:tr>
      <w:tr w:rsidR="00E403D6" w:rsidRPr="00F10391" w14:paraId="1966027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539B688" w14:textId="77777777" w:rsidR="00E403D6" w:rsidRPr="00F10391" w:rsidRDefault="00E403D6" w:rsidP="0063065F">
            <w:pPr>
              <w:jc w:val="left"/>
            </w:pPr>
            <w:r w:rsidRPr="00F10391">
              <w:t>01/07/06</w:t>
            </w:r>
          </w:p>
        </w:tc>
        <w:tc>
          <w:tcPr>
            <w:tcW w:w="2720" w:type="dxa"/>
            <w:tcBorders>
              <w:top w:val="nil"/>
              <w:left w:val="nil"/>
              <w:bottom w:val="single" w:sz="4" w:space="0" w:color="auto"/>
              <w:right w:val="single" w:sz="4" w:space="0" w:color="auto"/>
            </w:tcBorders>
            <w:shd w:val="clear" w:color="auto" w:fill="auto"/>
            <w:vAlign w:val="center"/>
            <w:hideMark/>
          </w:tcPr>
          <w:p w14:paraId="521C5F63" w14:textId="77777777" w:rsidR="00E403D6" w:rsidRPr="00F10391" w:rsidRDefault="00E403D6" w:rsidP="0063065F">
            <w:pPr>
              <w:jc w:val="left"/>
            </w:pPr>
            <w:r w:rsidRPr="00F10391">
              <w:t>A Combined Moip-Mcda Approach To Building And Screening Atmospheric Pollution Control Strategies In Urban Regions</w:t>
            </w:r>
          </w:p>
        </w:tc>
        <w:tc>
          <w:tcPr>
            <w:tcW w:w="1985" w:type="dxa"/>
            <w:tcBorders>
              <w:top w:val="nil"/>
              <w:left w:val="nil"/>
              <w:bottom w:val="single" w:sz="4" w:space="0" w:color="auto"/>
              <w:right w:val="single" w:sz="4" w:space="0" w:color="auto"/>
            </w:tcBorders>
            <w:shd w:val="clear" w:color="auto" w:fill="auto"/>
            <w:vAlign w:val="center"/>
            <w:hideMark/>
          </w:tcPr>
          <w:p w14:paraId="25844CF5" w14:textId="77777777" w:rsidR="00E403D6" w:rsidRPr="00F10391" w:rsidRDefault="00E403D6" w:rsidP="0063065F">
            <w:pPr>
              <w:jc w:val="left"/>
            </w:pPr>
            <w:r w:rsidRPr="00F10391">
              <w:t>Mavrotas, George; Ziomas, Ioannis C.; Diakouaki, Danae</w:t>
            </w:r>
          </w:p>
        </w:tc>
        <w:tc>
          <w:tcPr>
            <w:tcW w:w="2078" w:type="dxa"/>
            <w:tcBorders>
              <w:top w:val="nil"/>
              <w:left w:val="nil"/>
              <w:bottom w:val="single" w:sz="4" w:space="0" w:color="auto"/>
              <w:right w:val="single" w:sz="4" w:space="0" w:color="auto"/>
            </w:tcBorders>
            <w:shd w:val="clear" w:color="auto" w:fill="auto"/>
            <w:vAlign w:val="center"/>
            <w:hideMark/>
          </w:tcPr>
          <w:p w14:paraId="5F890D5F" w14:textId="77777777" w:rsidR="00E403D6" w:rsidRPr="00F10391" w:rsidRDefault="00E403D6" w:rsidP="0063065F">
            <w:pPr>
              <w:jc w:val="left"/>
            </w:pPr>
            <w:r w:rsidRPr="00F10391">
              <w:t>Environmental Management. 2006;38(1):149-160</w:t>
            </w:r>
          </w:p>
        </w:tc>
        <w:tc>
          <w:tcPr>
            <w:tcW w:w="862" w:type="dxa"/>
            <w:tcBorders>
              <w:top w:val="nil"/>
              <w:left w:val="nil"/>
              <w:bottom w:val="single" w:sz="4" w:space="0" w:color="auto"/>
              <w:right w:val="single" w:sz="4" w:space="0" w:color="auto"/>
            </w:tcBorders>
            <w:shd w:val="clear" w:color="auto" w:fill="auto"/>
            <w:noWrap/>
            <w:vAlign w:val="center"/>
            <w:hideMark/>
          </w:tcPr>
          <w:p w14:paraId="27D2E276"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046806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B846A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7B7C1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53544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2D4A87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34FCF6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7D5352F" w14:textId="77777777" w:rsidR="00E403D6" w:rsidRPr="00F10391" w:rsidRDefault="00E403D6">
            <w:r w:rsidRPr="00F10391">
              <w:t>Excluded</w:t>
            </w:r>
          </w:p>
        </w:tc>
      </w:tr>
      <w:tr w:rsidR="00E403D6" w:rsidRPr="00F10391" w14:paraId="2ED160F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979B0D9" w14:textId="77777777" w:rsidR="00E403D6" w:rsidRPr="00F10391" w:rsidRDefault="00E403D6" w:rsidP="0063065F">
            <w:pPr>
              <w:jc w:val="left"/>
            </w:pPr>
            <w:r w:rsidRPr="00F10391">
              <w:t>07/07/06</w:t>
            </w:r>
          </w:p>
        </w:tc>
        <w:tc>
          <w:tcPr>
            <w:tcW w:w="2720" w:type="dxa"/>
            <w:tcBorders>
              <w:top w:val="nil"/>
              <w:left w:val="nil"/>
              <w:bottom w:val="single" w:sz="4" w:space="0" w:color="auto"/>
              <w:right w:val="single" w:sz="4" w:space="0" w:color="auto"/>
            </w:tcBorders>
            <w:shd w:val="clear" w:color="auto" w:fill="auto"/>
            <w:vAlign w:val="center"/>
            <w:hideMark/>
          </w:tcPr>
          <w:p w14:paraId="4C826D51" w14:textId="77777777" w:rsidR="00E403D6" w:rsidRPr="00F10391" w:rsidRDefault="00E403D6" w:rsidP="0063065F">
            <w:pPr>
              <w:jc w:val="left"/>
            </w:pPr>
            <w:r w:rsidRPr="00F10391">
              <w:t>Analysis Of Heavy Metals In Road-Deposited Sediments</w:t>
            </w:r>
          </w:p>
        </w:tc>
        <w:tc>
          <w:tcPr>
            <w:tcW w:w="1985" w:type="dxa"/>
            <w:tcBorders>
              <w:top w:val="nil"/>
              <w:left w:val="nil"/>
              <w:bottom w:val="single" w:sz="4" w:space="0" w:color="auto"/>
              <w:right w:val="single" w:sz="4" w:space="0" w:color="auto"/>
            </w:tcBorders>
            <w:shd w:val="clear" w:color="auto" w:fill="auto"/>
            <w:vAlign w:val="center"/>
            <w:hideMark/>
          </w:tcPr>
          <w:p w14:paraId="42A89943" w14:textId="77777777" w:rsidR="00E403D6" w:rsidRPr="00F10391" w:rsidRDefault="00E403D6" w:rsidP="0063065F">
            <w:pPr>
              <w:jc w:val="left"/>
            </w:pPr>
            <w:r w:rsidRPr="00F10391">
              <w:t>Herngren, Lars; Goonetilleke, Ashantha; Ayoko, Godwin A.</w:t>
            </w:r>
          </w:p>
        </w:tc>
        <w:tc>
          <w:tcPr>
            <w:tcW w:w="2078" w:type="dxa"/>
            <w:tcBorders>
              <w:top w:val="nil"/>
              <w:left w:val="nil"/>
              <w:bottom w:val="single" w:sz="4" w:space="0" w:color="auto"/>
              <w:right w:val="single" w:sz="4" w:space="0" w:color="auto"/>
            </w:tcBorders>
            <w:shd w:val="clear" w:color="auto" w:fill="auto"/>
            <w:vAlign w:val="center"/>
            <w:hideMark/>
          </w:tcPr>
          <w:p w14:paraId="590C7B33" w14:textId="77777777" w:rsidR="00E403D6" w:rsidRPr="00F10391" w:rsidRDefault="00E403D6" w:rsidP="0063065F">
            <w:pPr>
              <w:jc w:val="left"/>
            </w:pPr>
            <w:r w:rsidRPr="00F10391">
              <w:t>Analytica Chimica Acta. 2006;571(2):270-278</w:t>
            </w:r>
          </w:p>
        </w:tc>
        <w:tc>
          <w:tcPr>
            <w:tcW w:w="862" w:type="dxa"/>
            <w:tcBorders>
              <w:top w:val="nil"/>
              <w:left w:val="nil"/>
              <w:bottom w:val="single" w:sz="4" w:space="0" w:color="auto"/>
              <w:right w:val="single" w:sz="4" w:space="0" w:color="auto"/>
            </w:tcBorders>
            <w:shd w:val="clear" w:color="auto" w:fill="auto"/>
            <w:noWrap/>
            <w:vAlign w:val="center"/>
            <w:hideMark/>
          </w:tcPr>
          <w:p w14:paraId="4EDF47E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6D5D30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40DFEF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FB76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4F2FB1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89681E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1028D1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9EC06E5" w14:textId="77777777" w:rsidR="00E403D6" w:rsidRPr="00F10391" w:rsidRDefault="00E403D6">
            <w:r w:rsidRPr="00F10391">
              <w:t>Excluded</w:t>
            </w:r>
          </w:p>
        </w:tc>
      </w:tr>
      <w:tr w:rsidR="00E403D6" w:rsidRPr="00F10391" w14:paraId="2F1D8BD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1820BDF" w14:textId="77777777" w:rsidR="00E403D6" w:rsidRPr="00F10391" w:rsidRDefault="00E403D6" w:rsidP="0063065F">
            <w:pPr>
              <w:jc w:val="left"/>
            </w:pPr>
            <w:r w:rsidRPr="00F10391">
              <w:t>23/08/06</w:t>
            </w:r>
          </w:p>
        </w:tc>
        <w:tc>
          <w:tcPr>
            <w:tcW w:w="2720" w:type="dxa"/>
            <w:tcBorders>
              <w:top w:val="nil"/>
              <w:left w:val="nil"/>
              <w:bottom w:val="single" w:sz="4" w:space="0" w:color="auto"/>
              <w:right w:val="single" w:sz="4" w:space="0" w:color="auto"/>
            </w:tcBorders>
            <w:shd w:val="clear" w:color="auto" w:fill="auto"/>
            <w:vAlign w:val="center"/>
            <w:hideMark/>
          </w:tcPr>
          <w:p w14:paraId="650E3490" w14:textId="77777777" w:rsidR="00E403D6" w:rsidRPr="00F10391" w:rsidRDefault="00E403D6" w:rsidP="0063065F">
            <w:pPr>
              <w:jc w:val="left"/>
            </w:pPr>
            <w:r w:rsidRPr="00F10391">
              <w:t>Priority Setting Of Health Interventions: The Need For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6D036E3F" w14:textId="77777777" w:rsidR="00E403D6" w:rsidRPr="00F10391" w:rsidRDefault="00E403D6" w:rsidP="0063065F">
            <w:pPr>
              <w:jc w:val="left"/>
            </w:pPr>
            <w:r w:rsidRPr="00F10391">
              <w:t>Baltussen R, Niessen L.</w:t>
            </w:r>
          </w:p>
        </w:tc>
        <w:tc>
          <w:tcPr>
            <w:tcW w:w="2078" w:type="dxa"/>
            <w:tcBorders>
              <w:top w:val="nil"/>
              <w:left w:val="nil"/>
              <w:bottom w:val="single" w:sz="4" w:space="0" w:color="auto"/>
              <w:right w:val="single" w:sz="4" w:space="0" w:color="auto"/>
            </w:tcBorders>
            <w:shd w:val="clear" w:color="auto" w:fill="auto"/>
            <w:vAlign w:val="center"/>
            <w:hideMark/>
          </w:tcPr>
          <w:p w14:paraId="37A96358" w14:textId="77777777" w:rsidR="00E403D6" w:rsidRPr="00F10391" w:rsidRDefault="00E403D6" w:rsidP="0063065F">
            <w:pPr>
              <w:jc w:val="left"/>
            </w:pPr>
            <w:r w:rsidRPr="00F10391">
              <w:t>Cost Eff Resour Alloc. 2006 Aug 21;4:14.</w:t>
            </w:r>
          </w:p>
        </w:tc>
        <w:tc>
          <w:tcPr>
            <w:tcW w:w="862" w:type="dxa"/>
            <w:tcBorders>
              <w:top w:val="nil"/>
              <w:left w:val="nil"/>
              <w:bottom w:val="single" w:sz="4" w:space="0" w:color="auto"/>
              <w:right w:val="single" w:sz="4" w:space="0" w:color="auto"/>
            </w:tcBorders>
            <w:shd w:val="clear" w:color="auto" w:fill="auto"/>
            <w:noWrap/>
            <w:vAlign w:val="center"/>
            <w:hideMark/>
          </w:tcPr>
          <w:p w14:paraId="7854F59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E5DAA4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59F6C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5DF94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31EF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B2EE9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177057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E1AA44B" w14:textId="77777777" w:rsidR="00E403D6" w:rsidRPr="00F10391" w:rsidRDefault="00E403D6">
            <w:r w:rsidRPr="00F10391">
              <w:t>Not found</w:t>
            </w:r>
          </w:p>
        </w:tc>
      </w:tr>
      <w:tr w:rsidR="00E403D6" w:rsidRPr="00F10391" w14:paraId="456EB74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B8A9298" w14:textId="77777777" w:rsidR="00E403D6" w:rsidRPr="00F10391" w:rsidRDefault="00E403D6" w:rsidP="0063065F">
            <w:pPr>
              <w:jc w:val="left"/>
            </w:pPr>
            <w:r w:rsidRPr="00F10391">
              <w:t>25/08/06</w:t>
            </w:r>
          </w:p>
        </w:tc>
        <w:tc>
          <w:tcPr>
            <w:tcW w:w="2720" w:type="dxa"/>
            <w:tcBorders>
              <w:top w:val="nil"/>
              <w:left w:val="nil"/>
              <w:bottom w:val="single" w:sz="4" w:space="0" w:color="auto"/>
              <w:right w:val="single" w:sz="4" w:space="0" w:color="auto"/>
            </w:tcBorders>
            <w:shd w:val="clear" w:color="auto" w:fill="auto"/>
            <w:vAlign w:val="center"/>
            <w:hideMark/>
          </w:tcPr>
          <w:p w14:paraId="2E26A2BE" w14:textId="77777777" w:rsidR="00E403D6" w:rsidRPr="00F10391" w:rsidRDefault="00E403D6" w:rsidP="0063065F">
            <w:pPr>
              <w:jc w:val="left"/>
            </w:pPr>
            <w:r w:rsidRPr="00F10391">
              <w:t>Serum Biochemical Markers For Post-Concussion Syndrome In Patients With Mild Traumatic Brain Injury.</w:t>
            </w:r>
          </w:p>
        </w:tc>
        <w:tc>
          <w:tcPr>
            <w:tcW w:w="1985" w:type="dxa"/>
            <w:tcBorders>
              <w:top w:val="nil"/>
              <w:left w:val="nil"/>
              <w:bottom w:val="single" w:sz="4" w:space="0" w:color="auto"/>
              <w:right w:val="single" w:sz="4" w:space="0" w:color="auto"/>
            </w:tcBorders>
            <w:shd w:val="clear" w:color="auto" w:fill="auto"/>
            <w:vAlign w:val="center"/>
            <w:hideMark/>
          </w:tcPr>
          <w:p w14:paraId="1B3E1E7B" w14:textId="77777777" w:rsidR="00E403D6" w:rsidRPr="00F10391" w:rsidRDefault="00E403D6" w:rsidP="0063065F">
            <w:pPr>
              <w:jc w:val="left"/>
            </w:pPr>
            <w:r w:rsidRPr="00F10391">
              <w:t>Begaz T, Kyriacou Dn, Segal J, Bazarian Jj.</w:t>
            </w:r>
          </w:p>
        </w:tc>
        <w:tc>
          <w:tcPr>
            <w:tcW w:w="2078" w:type="dxa"/>
            <w:tcBorders>
              <w:top w:val="nil"/>
              <w:left w:val="nil"/>
              <w:bottom w:val="single" w:sz="4" w:space="0" w:color="auto"/>
              <w:right w:val="single" w:sz="4" w:space="0" w:color="auto"/>
            </w:tcBorders>
            <w:shd w:val="clear" w:color="auto" w:fill="auto"/>
            <w:vAlign w:val="center"/>
            <w:hideMark/>
          </w:tcPr>
          <w:p w14:paraId="392404CA" w14:textId="77777777" w:rsidR="00E403D6" w:rsidRPr="00F10391" w:rsidRDefault="00E403D6" w:rsidP="0063065F">
            <w:pPr>
              <w:jc w:val="left"/>
            </w:pPr>
            <w:r w:rsidRPr="00F10391">
              <w:t>J Neurotrauma. 2006 Aug;23(8):1201-10. Review.</w:t>
            </w:r>
          </w:p>
        </w:tc>
        <w:tc>
          <w:tcPr>
            <w:tcW w:w="862" w:type="dxa"/>
            <w:tcBorders>
              <w:top w:val="nil"/>
              <w:left w:val="nil"/>
              <w:bottom w:val="single" w:sz="4" w:space="0" w:color="auto"/>
              <w:right w:val="single" w:sz="4" w:space="0" w:color="auto"/>
            </w:tcBorders>
            <w:shd w:val="clear" w:color="auto" w:fill="auto"/>
            <w:noWrap/>
            <w:vAlign w:val="center"/>
            <w:hideMark/>
          </w:tcPr>
          <w:p w14:paraId="35D8846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E5B9CF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BA2534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D619B9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99DC2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DA05D4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C281A3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983194F" w14:textId="77777777" w:rsidR="00E403D6" w:rsidRPr="00F10391" w:rsidRDefault="00E403D6">
            <w:r w:rsidRPr="00F10391">
              <w:t>Not found</w:t>
            </w:r>
          </w:p>
        </w:tc>
      </w:tr>
      <w:tr w:rsidR="00E403D6" w:rsidRPr="00F10391" w14:paraId="60A1648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37AE960" w14:textId="77777777" w:rsidR="00E403D6" w:rsidRPr="00F10391" w:rsidRDefault="00E403D6" w:rsidP="0063065F">
            <w:pPr>
              <w:jc w:val="left"/>
            </w:pPr>
            <w:r w:rsidRPr="00F10391">
              <w:t>01/12/06</w:t>
            </w:r>
          </w:p>
        </w:tc>
        <w:tc>
          <w:tcPr>
            <w:tcW w:w="2720" w:type="dxa"/>
            <w:tcBorders>
              <w:top w:val="nil"/>
              <w:left w:val="nil"/>
              <w:bottom w:val="single" w:sz="4" w:space="0" w:color="auto"/>
              <w:right w:val="single" w:sz="4" w:space="0" w:color="auto"/>
            </w:tcBorders>
            <w:shd w:val="clear" w:color="auto" w:fill="auto"/>
            <w:vAlign w:val="center"/>
            <w:hideMark/>
          </w:tcPr>
          <w:p w14:paraId="5D57F0FF" w14:textId="77777777" w:rsidR="00E403D6" w:rsidRPr="00F10391" w:rsidRDefault="00E403D6" w:rsidP="0063065F">
            <w:pPr>
              <w:jc w:val="left"/>
            </w:pPr>
            <w:r w:rsidRPr="00F10391">
              <w:t>From Comparative Risk Assessment To Multi-Criteria Decision Analysis And Adaptive Management: Recent Developments And Applications</w:t>
            </w:r>
          </w:p>
        </w:tc>
        <w:tc>
          <w:tcPr>
            <w:tcW w:w="1985" w:type="dxa"/>
            <w:tcBorders>
              <w:top w:val="nil"/>
              <w:left w:val="nil"/>
              <w:bottom w:val="single" w:sz="4" w:space="0" w:color="auto"/>
              <w:right w:val="single" w:sz="4" w:space="0" w:color="auto"/>
            </w:tcBorders>
            <w:shd w:val="clear" w:color="auto" w:fill="auto"/>
            <w:vAlign w:val="center"/>
            <w:hideMark/>
          </w:tcPr>
          <w:p w14:paraId="11C560C6" w14:textId="77777777" w:rsidR="00E403D6" w:rsidRPr="00F10391" w:rsidRDefault="00E403D6" w:rsidP="0063065F">
            <w:pPr>
              <w:jc w:val="left"/>
            </w:pPr>
            <w:r w:rsidRPr="00F10391">
              <w:t>Linkov, I.; Satterstrom, F. K.; Kiker, G.; Batchelor, C.; Bridges, T.; Ferguson, E.</w:t>
            </w:r>
          </w:p>
        </w:tc>
        <w:tc>
          <w:tcPr>
            <w:tcW w:w="2078" w:type="dxa"/>
            <w:tcBorders>
              <w:top w:val="nil"/>
              <w:left w:val="nil"/>
              <w:bottom w:val="single" w:sz="4" w:space="0" w:color="auto"/>
              <w:right w:val="single" w:sz="4" w:space="0" w:color="auto"/>
            </w:tcBorders>
            <w:shd w:val="clear" w:color="auto" w:fill="auto"/>
            <w:vAlign w:val="center"/>
            <w:hideMark/>
          </w:tcPr>
          <w:p w14:paraId="5C1E4240" w14:textId="77777777" w:rsidR="00E403D6" w:rsidRPr="00F10391" w:rsidRDefault="00E403D6" w:rsidP="0063065F">
            <w:pPr>
              <w:jc w:val="left"/>
            </w:pPr>
            <w:r w:rsidRPr="00F10391">
              <w:t>Environment International. 2006;32(8):1072-1093</w:t>
            </w:r>
          </w:p>
        </w:tc>
        <w:tc>
          <w:tcPr>
            <w:tcW w:w="862" w:type="dxa"/>
            <w:tcBorders>
              <w:top w:val="nil"/>
              <w:left w:val="nil"/>
              <w:bottom w:val="single" w:sz="4" w:space="0" w:color="auto"/>
              <w:right w:val="single" w:sz="4" w:space="0" w:color="auto"/>
            </w:tcBorders>
            <w:shd w:val="clear" w:color="auto" w:fill="auto"/>
            <w:noWrap/>
            <w:vAlign w:val="center"/>
            <w:hideMark/>
          </w:tcPr>
          <w:p w14:paraId="0FE0858B"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36FD56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459A05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D68E2A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CAF6B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4683F4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E50240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828126" w14:textId="77777777" w:rsidR="00E403D6" w:rsidRPr="00F10391" w:rsidRDefault="00E403D6">
            <w:r w:rsidRPr="00F10391">
              <w:t>Excluded</w:t>
            </w:r>
          </w:p>
        </w:tc>
      </w:tr>
      <w:tr w:rsidR="00E403D6" w:rsidRPr="00F10391" w14:paraId="1A96951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A9A3ABA" w14:textId="77777777" w:rsidR="00E403D6" w:rsidRPr="00F10391" w:rsidRDefault="00E403D6" w:rsidP="0063065F">
            <w:pPr>
              <w:jc w:val="left"/>
            </w:pPr>
            <w:r w:rsidRPr="00F10391">
              <w:t>01/01/07</w:t>
            </w:r>
          </w:p>
        </w:tc>
        <w:tc>
          <w:tcPr>
            <w:tcW w:w="2720" w:type="dxa"/>
            <w:tcBorders>
              <w:top w:val="nil"/>
              <w:left w:val="nil"/>
              <w:bottom w:val="single" w:sz="4" w:space="0" w:color="auto"/>
              <w:right w:val="single" w:sz="4" w:space="0" w:color="auto"/>
            </w:tcBorders>
            <w:shd w:val="clear" w:color="auto" w:fill="auto"/>
            <w:vAlign w:val="center"/>
            <w:hideMark/>
          </w:tcPr>
          <w:p w14:paraId="79CBC76F" w14:textId="77777777" w:rsidR="00E403D6" w:rsidRPr="00F10391" w:rsidRDefault="00E403D6" w:rsidP="0063065F">
            <w:pPr>
              <w:jc w:val="left"/>
            </w:pPr>
            <w:r w:rsidRPr="00F10391">
              <w:t>Influence Of Fuel Composition On Polycyclic Aromatic Hydrocarbon Emissions From A Fleet Of In-Service Passenger Cars</w:t>
            </w:r>
          </w:p>
        </w:tc>
        <w:tc>
          <w:tcPr>
            <w:tcW w:w="1985" w:type="dxa"/>
            <w:tcBorders>
              <w:top w:val="nil"/>
              <w:left w:val="nil"/>
              <w:bottom w:val="single" w:sz="4" w:space="0" w:color="auto"/>
              <w:right w:val="single" w:sz="4" w:space="0" w:color="auto"/>
            </w:tcBorders>
            <w:shd w:val="clear" w:color="auto" w:fill="auto"/>
            <w:vAlign w:val="center"/>
            <w:hideMark/>
          </w:tcPr>
          <w:p w14:paraId="19AEF3AC" w14:textId="77777777" w:rsidR="00E403D6" w:rsidRPr="00F10391" w:rsidRDefault="00E403D6" w:rsidP="0063065F">
            <w:pPr>
              <w:jc w:val="left"/>
            </w:pPr>
            <w:r w:rsidRPr="00F10391">
              <w:t>Lim, Mckenzie C. H.; Ayoko, Godwin A.; Morawska, Lidia; Ristovski, Zoran D.; Jayaratne, E. Rohan</w:t>
            </w:r>
          </w:p>
        </w:tc>
        <w:tc>
          <w:tcPr>
            <w:tcW w:w="2078" w:type="dxa"/>
            <w:tcBorders>
              <w:top w:val="nil"/>
              <w:left w:val="nil"/>
              <w:bottom w:val="single" w:sz="4" w:space="0" w:color="auto"/>
              <w:right w:val="single" w:sz="4" w:space="0" w:color="auto"/>
            </w:tcBorders>
            <w:shd w:val="clear" w:color="auto" w:fill="auto"/>
            <w:vAlign w:val="center"/>
            <w:hideMark/>
          </w:tcPr>
          <w:p w14:paraId="67C6DB2F" w14:textId="77777777" w:rsidR="00E403D6" w:rsidRPr="00F10391" w:rsidRDefault="00E403D6" w:rsidP="0063065F">
            <w:pPr>
              <w:jc w:val="left"/>
            </w:pPr>
            <w:r w:rsidRPr="00F10391">
              <w:t>Atmospheric Environment. 2007;41(1):150-160</w:t>
            </w:r>
          </w:p>
        </w:tc>
        <w:tc>
          <w:tcPr>
            <w:tcW w:w="862" w:type="dxa"/>
            <w:tcBorders>
              <w:top w:val="nil"/>
              <w:left w:val="nil"/>
              <w:bottom w:val="single" w:sz="4" w:space="0" w:color="auto"/>
              <w:right w:val="single" w:sz="4" w:space="0" w:color="auto"/>
            </w:tcBorders>
            <w:shd w:val="clear" w:color="auto" w:fill="auto"/>
            <w:noWrap/>
            <w:vAlign w:val="center"/>
            <w:hideMark/>
          </w:tcPr>
          <w:p w14:paraId="52D381C6"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72671C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8E6D76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E144B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F14B9F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930765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33856B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364BC40" w14:textId="77777777" w:rsidR="00E403D6" w:rsidRPr="00F10391" w:rsidRDefault="00E403D6">
            <w:r w:rsidRPr="00F10391">
              <w:t>Excluded</w:t>
            </w:r>
          </w:p>
        </w:tc>
      </w:tr>
      <w:tr w:rsidR="00E403D6" w:rsidRPr="00F10391" w14:paraId="4930824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DE1F217" w14:textId="77777777" w:rsidR="00E403D6" w:rsidRPr="00F10391" w:rsidRDefault="00E403D6" w:rsidP="0063065F">
            <w:pPr>
              <w:jc w:val="left"/>
            </w:pPr>
            <w:r w:rsidRPr="00F10391">
              <w:t>09/01/07</w:t>
            </w:r>
          </w:p>
        </w:tc>
        <w:tc>
          <w:tcPr>
            <w:tcW w:w="2720" w:type="dxa"/>
            <w:tcBorders>
              <w:top w:val="nil"/>
              <w:left w:val="nil"/>
              <w:bottom w:val="single" w:sz="4" w:space="0" w:color="auto"/>
              <w:right w:val="single" w:sz="4" w:space="0" w:color="auto"/>
            </w:tcBorders>
            <w:shd w:val="clear" w:color="auto" w:fill="auto"/>
            <w:vAlign w:val="center"/>
            <w:hideMark/>
          </w:tcPr>
          <w:p w14:paraId="00111D53" w14:textId="77777777" w:rsidR="00E403D6" w:rsidRPr="00F10391" w:rsidRDefault="00E403D6" w:rsidP="0063065F">
            <w:pPr>
              <w:jc w:val="left"/>
            </w:pPr>
            <w:r w:rsidRPr="00F10391">
              <w:t>Trial Participation And Vaccine Desirability For Vi Polysaccharide Typhoid Fever Vaccine In Hue City, Viet Nam.</w:t>
            </w:r>
          </w:p>
        </w:tc>
        <w:tc>
          <w:tcPr>
            <w:tcW w:w="1985" w:type="dxa"/>
            <w:tcBorders>
              <w:top w:val="nil"/>
              <w:left w:val="nil"/>
              <w:bottom w:val="single" w:sz="4" w:space="0" w:color="auto"/>
              <w:right w:val="single" w:sz="4" w:space="0" w:color="auto"/>
            </w:tcBorders>
            <w:shd w:val="clear" w:color="auto" w:fill="auto"/>
            <w:vAlign w:val="center"/>
            <w:hideMark/>
          </w:tcPr>
          <w:p w14:paraId="2B9E98C6" w14:textId="77777777" w:rsidR="00E403D6" w:rsidRPr="00F10391" w:rsidRDefault="00E403D6" w:rsidP="0063065F">
            <w:pPr>
              <w:jc w:val="left"/>
            </w:pPr>
            <w:r w:rsidRPr="00F10391">
              <w:t>Kaljee Lm, Pham V, Son Nd, Hoa Nt, Thiem Vd, Canh Do G, Thoa Le Tk, Ali M, Ochiai Rl, Danovaro-Holliday Mc, Acosta Cj, Stanton B, Clemens J.</w:t>
            </w:r>
          </w:p>
        </w:tc>
        <w:tc>
          <w:tcPr>
            <w:tcW w:w="2078" w:type="dxa"/>
            <w:tcBorders>
              <w:top w:val="nil"/>
              <w:left w:val="nil"/>
              <w:bottom w:val="single" w:sz="4" w:space="0" w:color="auto"/>
              <w:right w:val="single" w:sz="4" w:space="0" w:color="auto"/>
            </w:tcBorders>
            <w:shd w:val="clear" w:color="auto" w:fill="auto"/>
            <w:vAlign w:val="center"/>
            <w:hideMark/>
          </w:tcPr>
          <w:p w14:paraId="7E57B06E" w14:textId="77777777" w:rsidR="00E403D6" w:rsidRPr="00F10391" w:rsidRDefault="00E403D6" w:rsidP="0063065F">
            <w:pPr>
              <w:jc w:val="left"/>
            </w:pPr>
            <w:r w:rsidRPr="00F10391">
              <w:t>Trop Med Int Health. 2007 Jan;12(1):25-36.</w:t>
            </w:r>
          </w:p>
        </w:tc>
        <w:tc>
          <w:tcPr>
            <w:tcW w:w="862" w:type="dxa"/>
            <w:tcBorders>
              <w:top w:val="nil"/>
              <w:left w:val="nil"/>
              <w:bottom w:val="single" w:sz="4" w:space="0" w:color="auto"/>
              <w:right w:val="single" w:sz="4" w:space="0" w:color="auto"/>
            </w:tcBorders>
            <w:shd w:val="clear" w:color="auto" w:fill="auto"/>
            <w:noWrap/>
            <w:vAlign w:val="center"/>
            <w:hideMark/>
          </w:tcPr>
          <w:p w14:paraId="051864E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3E385A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8A1C3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68988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AB0889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7544B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AD96F2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28AFD9F" w14:textId="77777777" w:rsidR="00E403D6" w:rsidRPr="00F10391" w:rsidRDefault="00E403D6">
            <w:r w:rsidRPr="00F10391">
              <w:t>Not found</w:t>
            </w:r>
          </w:p>
        </w:tc>
      </w:tr>
      <w:tr w:rsidR="00E403D6" w:rsidRPr="00F10391" w14:paraId="1A6DDF6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50366AA" w14:textId="77777777" w:rsidR="00E403D6" w:rsidRPr="00F10391" w:rsidRDefault="00E403D6" w:rsidP="0063065F">
            <w:pPr>
              <w:jc w:val="left"/>
            </w:pPr>
            <w:r w:rsidRPr="00F10391">
              <w:t>13/02/07</w:t>
            </w:r>
          </w:p>
        </w:tc>
        <w:tc>
          <w:tcPr>
            <w:tcW w:w="2720" w:type="dxa"/>
            <w:tcBorders>
              <w:top w:val="nil"/>
              <w:left w:val="nil"/>
              <w:bottom w:val="single" w:sz="4" w:space="0" w:color="auto"/>
              <w:right w:val="single" w:sz="4" w:space="0" w:color="auto"/>
            </w:tcBorders>
            <w:shd w:val="clear" w:color="auto" w:fill="auto"/>
            <w:vAlign w:val="center"/>
            <w:hideMark/>
          </w:tcPr>
          <w:p w14:paraId="4E86656B" w14:textId="77777777" w:rsidR="00E403D6" w:rsidRPr="00F10391" w:rsidRDefault="00E403D6" w:rsidP="0063065F">
            <w:pPr>
              <w:jc w:val="left"/>
            </w:pPr>
            <w:r w:rsidRPr="00F10391">
              <w:t>One Size Fits All? A Process Evaluation--The Turn Of The 'Story' In Smoking Cessation.</w:t>
            </w:r>
          </w:p>
        </w:tc>
        <w:tc>
          <w:tcPr>
            <w:tcW w:w="1985" w:type="dxa"/>
            <w:tcBorders>
              <w:top w:val="nil"/>
              <w:left w:val="nil"/>
              <w:bottom w:val="single" w:sz="4" w:space="0" w:color="auto"/>
              <w:right w:val="single" w:sz="4" w:space="0" w:color="auto"/>
            </w:tcBorders>
            <w:shd w:val="clear" w:color="auto" w:fill="auto"/>
            <w:vAlign w:val="center"/>
            <w:hideMark/>
          </w:tcPr>
          <w:p w14:paraId="14ED95A9" w14:textId="77777777" w:rsidR="00E403D6" w:rsidRPr="00F10391" w:rsidRDefault="00E403D6" w:rsidP="0063065F">
            <w:pPr>
              <w:jc w:val="left"/>
            </w:pPr>
            <w:r w:rsidRPr="00F10391">
              <w:t>Ritchie D, Schulz S, Bryce A.</w:t>
            </w:r>
          </w:p>
        </w:tc>
        <w:tc>
          <w:tcPr>
            <w:tcW w:w="2078" w:type="dxa"/>
            <w:tcBorders>
              <w:top w:val="nil"/>
              <w:left w:val="nil"/>
              <w:bottom w:val="single" w:sz="4" w:space="0" w:color="auto"/>
              <w:right w:val="single" w:sz="4" w:space="0" w:color="auto"/>
            </w:tcBorders>
            <w:shd w:val="clear" w:color="auto" w:fill="auto"/>
            <w:vAlign w:val="center"/>
            <w:hideMark/>
          </w:tcPr>
          <w:p w14:paraId="79933B6C" w14:textId="77777777" w:rsidR="00E403D6" w:rsidRPr="00F10391" w:rsidRDefault="00E403D6" w:rsidP="0063065F">
            <w:pPr>
              <w:jc w:val="left"/>
            </w:pPr>
            <w:r w:rsidRPr="00F10391">
              <w:t>Public Health. 2007 May;121(5):341-8. Epub 2007 Feb 9.</w:t>
            </w:r>
          </w:p>
        </w:tc>
        <w:tc>
          <w:tcPr>
            <w:tcW w:w="862" w:type="dxa"/>
            <w:tcBorders>
              <w:top w:val="nil"/>
              <w:left w:val="nil"/>
              <w:bottom w:val="single" w:sz="4" w:space="0" w:color="auto"/>
              <w:right w:val="single" w:sz="4" w:space="0" w:color="auto"/>
            </w:tcBorders>
            <w:shd w:val="clear" w:color="auto" w:fill="auto"/>
            <w:noWrap/>
            <w:vAlign w:val="center"/>
            <w:hideMark/>
          </w:tcPr>
          <w:p w14:paraId="205BA5E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6F9738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AD0DFB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24921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05E8F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5C7B07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8CA73F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9CEB7CC" w14:textId="77777777" w:rsidR="00E403D6" w:rsidRPr="00F10391" w:rsidRDefault="00E403D6">
            <w:r w:rsidRPr="00F10391">
              <w:t>Not found</w:t>
            </w:r>
          </w:p>
        </w:tc>
      </w:tr>
      <w:tr w:rsidR="00E403D6" w:rsidRPr="00F10391" w14:paraId="087B3C3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41F7704" w14:textId="77777777" w:rsidR="00E403D6" w:rsidRPr="00F10391" w:rsidRDefault="00E403D6" w:rsidP="0063065F">
            <w:pPr>
              <w:jc w:val="left"/>
            </w:pPr>
            <w:r w:rsidRPr="00F10391">
              <w:t>01/04/07</w:t>
            </w:r>
          </w:p>
        </w:tc>
        <w:tc>
          <w:tcPr>
            <w:tcW w:w="2720" w:type="dxa"/>
            <w:tcBorders>
              <w:top w:val="nil"/>
              <w:left w:val="nil"/>
              <w:bottom w:val="single" w:sz="4" w:space="0" w:color="auto"/>
              <w:right w:val="single" w:sz="4" w:space="0" w:color="auto"/>
            </w:tcBorders>
            <w:shd w:val="clear" w:color="auto" w:fill="auto"/>
            <w:vAlign w:val="center"/>
            <w:hideMark/>
          </w:tcPr>
          <w:p w14:paraId="462581B6" w14:textId="77777777" w:rsidR="00E403D6" w:rsidRPr="00F10391" w:rsidRDefault="00E403D6" w:rsidP="0063065F">
            <w:pPr>
              <w:jc w:val="left"/>
            </w:pPr>
            <w:r w:rsidRPr="00F10391">
              <w:t>Choosing A Municipal Landfill Site By Analytic Network Process</w:t>
            </w:r>
          </w:p>
        </w:tc>
        <w:tc>
          <w:tcPr>
            <w:tcW w:w="1985" w:type="dxa"/>
            <w:tcBorders>
              <w:top w:val="nil"/>
              <w:left w:val="nil"/>
              <w:bottom w:val="single" w:sz="4" w:space="0" w:color="auto"/>
              <w:right w:val="single" w:sz="4" w:space="0" w:color="auto"/>
            </w:tcBorders>
            <w:shd w:val="clear" w:color="auto" w:fill="auto"/>
            <w:vAlign w:val="center"/>
            <w:hideMark/>
          </w:tcPr>
          <w:p w14:paraId="27EDF1DE" w14:textId="77777777" w:rsidR="00E403D6" w:rsidRPr="00F10391" w:rsidRDefault="00E403D6" w:rsidP="0063065F">
            <w:pPr>
              <w:jc w:val="left"/>
            </w:pPr>
            <w:r w:rsidRPr="00F10391">
              <w:t>Banar, Mufide; Kose, Barbaros Murat; Ozkan, Aysun; Acar, Ilgin Poyraz</w:t>
            </w:r>
          </w:p>
        </w:tc>
        <w:tc>
          <w:tcPr>
            <w:tcW w:w="2078" w:type="dxa"/>
            <w:tcBorders>
              <w:top w:val="nil"/>
              <w:left w:val="nil"/>
              <w:bottom w:val="single" w:sz="4" w:space="0" w:color="auto"/>
              <w:right w:val="single" w:sz="4" w:space="0" w:color="auto"/>
            </w:tcBorders>
            <w:shd w:val="clear" w:color="auto" w:fill="auto"/>
            <w:vAlign w:val="center"/>
            <w:hideMark/>
          </w:tcPr>
          <w:p w14:paraId="6E64A7D0" w14:textId="77777777" w:rsidR="00E403D6" w:rsidRPr="00F10391" w:rsidRDefault="00E403D6" w:rsidP="0063065F">
            <w:pPr>
              <w:jc w:val="left"/>
            </w:pPr>
            <w:r w:rsidRPr="00F10391">
              <w:t>Environmental Geology. 2007;52(4):747-751</w:t>
            </w:r>
          </w:p>
        </w:tc>
        <w:tc>
          <w:tcPr>
            <w:tcW w:w="862" w:type="dxa"/>
            <w:tcBorders>
              <w:top w:val="nil"/>
              <w:left w:val="nil"/>
              <w:bottom w:val="single" w:sz="4" w:space="0" w:color="auto"/>
              <w:right w:val="single" w:sz="4" w:space="0" w:color="auto"/>
            </w:tcBorders>
            <w:shd w:val="clear" w:color="auto" w:fill="auto"/>
            <w:noWrap/>
            <w:vAlign w:val="center"/>
            <w:hideMark/>
          </w:tcPr>
          <w:p w14:paraId="2686D26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D43367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68CC2F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20CB8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22E058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A96674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703FB6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ED0B9F8" w14:textId="77777777" w:rsidR="00E403D6" w:rsidRPr="00F10391" w:rsidRDefault="00E403D6">
            <w:r w:rsidRPr="00F10391">
              <w:t>Excluded</w:t>
            </w:r>
          </w:p>
        </w:tc>
      </w:tr>
      <w:tr w:rsidR="00E403D6" w:rsidRPr="00F10391" w14:paraId="2820F96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AC274CD" w14:textId="77777777" w:rsidR="00E403D6" w:rsidRPr="00F10391" w:rsidRDefault="00E403D6" w:rsidP="0063065F">
            <w:pPr>
              <w:jc w:val="left"/>
            </w:pPr>
            <w:r w:rsidRPr="00F10391">
              <w:t>07/04/07</w:t>
            </w:r>
          </w:p>
        </w:tc>
        <w:tc>
          <w:tcPr>
            <w:tcW w:w="2720" w:type="dxa"/>
            <w:tcBorders>
              <w:top w:val="nil"/>
              <w:left w:val="nil"/>
              <w:bottom w:val="single" w:sz="4" w:space="0" w:color="auto"/>
              <w:right w:val="single" w:sz="4" w:space="0" w:color="auto"/>
            </w:tcBorders>
            <w:shd w:val="clear" w:color="auto" w:fill="auto"/>
            <w:vAlign w:val="center"/>
            <w:hideMark/>
          </w:tcPr>
          <w:p w14:paraId="1107E6B8" w14:textId="77777777" w:rsidR="00E403D6" w:rsidRPr="00F10391" w:rsidRDefault="00E403D6" w:rsidP="0063065F">
            <w:pPr>
              <w:jc w:val="left"/>
            </w:pPr>
            <w:r w:rsidRPr="00F10391">
              <w:t>Priority Setting Using Multiple Criteria: Should A Lung Health Programme Be Implemented In Nepal?</w:t>
            </w:r>
          </w:p>
        </w:tc>
        <w:tc>
          <w:tcPr>
            <w:tcW w:w="1985" w:type="dxa"/>
            <w:tcBorders>
              <w:top w:val="nil"/>
              <w:left w:val="nil"/>
              <w:bottom w:val="single" w:sz="4" w:space="0" w:color="auto"/>
              <w:right w:val="single" w:sz="4" w:space="0" w:color="auto"/>
            </w:tcBorders>
            <w:shd w:val="clear" w:color="auto" w:fill="auto"/>
            <w:vAlign w:val="center"/>
            <w:hideMark/>
          </w:tcPr>
          <w:p w14:paraId="772AD943" w14:textId="77777777" w:rsidR="00E403D6" w:rsidRPr="00F10391" w:rsidRDefault="00E403D6" w:rsidP="0063065F">
            <w:pPr>
              <w:jc w:val="left"/>
            </w:pPr>
            <w:r w:rsidRPr="00F10391">
              <w:t>Baltussen R, Ten Asbroek Ah, Koolman X, Shrestha N, Bhattarai P, Niessen Lw.</w:t>
            </w:r>
          </w:p>
        </w:tc>
        <w:tc>
          <w:tcPr>
            <w:tcW w:w="2078" w:type="dxa"/>
            <w:tcBorders>
              <w:top w:val="nil"/>
              <w:left w:val="nil"/>
              <w:bottom w:val="single" w:sz="4" w:space="0" w:color="auto"/>
              <w:right w:val="single" w:sz="4" w:space="0" w:color="auto"/>
            </w:tcBorders>
            <w:shd w:val="clear" w:color="auto" w:fill="auto"/>
            <w:vAlign w:val="center"/>
            <w:hideMark/>
          </w:tcPr>
          <w:p w14:paraId="41DDD6ED" w14:textId="77777777" w:rsidR="00E403D6" w:rsidRPr="00F10391" w:rsidRDefault="00E403D6" w:rsidP="0063065F">
            <w:pPr>
              <w:jc w:val="left"/>
            </w:pPr>
            <w:r w:rsidRPr="00F10391">
              <w:t>Health Policy Plan. 2007 May;22(3):178-85. Epub 2007 Apr 5.</w:t>
            </w:r>
          </w:p>
        </w:tc>
        <w:tc>
          <w:tcPr>
            <w:tcW w:w="862" w:type="dxa"/>
            <w:tcBorders>
              <w:top w:val="nil"/>
              <w:left w:val="nil"/>
              <w:bottom w:val="single" w:sz="4" w:space="0" w:color="auto"/>
              <w:right w:val="single" w:sz="4" w:space="0" w:color="auto"/>
            </w:tcBorders>
            <w:shd w:val="clear" w:color="auto" w:fill="auto"/>
            <w:noWrap/>
            <w:vAlign w:val="center"/>
            <w:hideMark/>
          </w:tcPr>
          <w:p w14:paraId="768B180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1261E9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E702A2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0DBC7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04C23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39C1B8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6D9494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8DC57CC" w14:textId="77777777" w:rsidR="00E403D6" w:rsidRPr="00F10391" w:rsidRDefault="00E403D6">
            <w:r w:rsidRPr="00F10391">
              <w:t>Not found</w:t>
            </w:r>
          </w:p>
        </w:tc>
      </w:tr>
      <w:tr w:rsidR="00E403D6" w:rsidRPr="00F10391" w14:paraId="328724C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40C215C" w14:textId="77777777" w:rsidR="00E403D6" w:rsidRPr="00F10391" w:rsidRDefault="00E403D6" w:rsidP="0063065F">
            <w:pPr>
              <w:jc w:val="left"/>
            </w:pPr>
            <w:r w:rsidRPr="00F10391">
              <w:t>25/04/07</w:t>
            </w:r>
          </w:p>
        </w:tc>
        <w:tc>
          <w:tcPr>
            <w:tcW w:w="2720" w:type="dxa"/>
            <w:tcBorders>
              <w:top w:val="nil"/>
              <w:left w:val="nil"/>
              <w:bottom w:val="single" w:sz="4" w:space="0" w:color="auto"/>
              <w:right w:val="single" w:sz="4" w:space="0" w:color="auto"/>
            </w:tcBorders>
            <w:shd w:val="clear" w:color="auto" w:fill="auto"/>
            <w:vAlign w:val="center"/>
            <w:hideMark/>
          </w:tcPr>
          <w:p w14:paraId="30688A75" w14:textId="77777777" w:rsidR="00E403D6" w:rsidRPr="00F10391" w:rsidRDefault="001573F5" w:rsidP="0063065F">
            <w:pPr>
              <w:jc w:val="left"/>
            </w:pPr>
            <w:r w:rsidRPr="00F10391">
              <w:t>HIV</w:t>
            </w:r>
            <w:r w:rsidR="00E403D6" w:rsidRPr="00F10391">
              <w:t xml:space="preserve"> Testing And Disclosure: A Qualitative Analysis Of Tb Patients In South Africa.</w:t>
            </w:r>
          </w:p>
        </w:tc>
        <w:tc>
          <w:tcPr>
            <w:tcW w:w="1985" w:type="dxa"/>
            <w:tcBorders>
              <w:top w:val="nil"/>
              <w:left w:val="nil"/>
              <w:bottom w:val="single" w:sz="4" w:space="0" w:color="auto"/>
              <w:right w:val="single" w:sz="4" w:space="0" w:color="auto"/>
            </w:tcBorders>
            <w:shd w:val="clear" w:color="auto" w:fill="auto"/>
            <w:vAlign w:val="center"/>
            <w:hideMark/>
          </w:tcPr>
          <w:p w14:paraId="359481A5" w14:textId="77777777" w:rsidR="00E403D6" w:rsidRPr="00F10391" w:rsidRDefault="00E403D6" w:rsidP="0063065F">
            <w:pPr>
              <w:jc w:val="left"/>
            </w:pPr>
            <w:r w:rsidRPr="00F10391">
              <w:t>Daftary A, Padayatchi N, Padilla M.</w:t>
            </w:r>
          </w:p>
        </w:tc>
        <w:tc>
          <w:tcPr>
            <w:tcW w:w="2078" w:type="dxa"/>
            <w:tcBorders>
              <w:top w:val="nil"/>
              <w:left w:val="nil"/>
              <w:bottom w:val="single" w:sz="4" w:space="0" w:color="auto"/>
              <w:right w:val="single" w:sz="4" w:space="0" w:color="auto"/>
            </w:tcBorders>
            <w:shd w:val="clear" w:color="auto" w:fill="auto"/>
            <w:vAlign w:val="center"/>
            <w:hideMark/>
          </w:tcPr>
          <w:p w14:paraId="1D3E7A4C" w14:textId="77777777" w:rsidR="00E403D6" w:rsidRPr="00F10391" w:rsidRDefault="00E403D6" w:rsidP="0063065F">
            <w:pPr>
              <w:jc w:val="left"/>
            </w:pPr>
            <w:r w:rsidRPr="00F10391">
              <w:t xml:space="preserve">Aids Care. 2007 Apr;19(4):572-7. Erratum In: Aids Care. 2007 May;19(5):4 P Following 706. </w:t>
            </w:r>
          </w:p>
        </w:tc>
        <w:tc>
          <w:tcPr>
            <w:tcW w:w="862" w:type="dxa"/>
            <w:tcBorders>
              <w:top w:val="nil"/>
              <w:left w:val="nil"/>
              <w:bottom w:val="single" w:sz="4" w:space="0" w:color="auto"/>
              <w:right w:val="single" w:sz="4" w:space="0" w:color="auto"/>
            </w:tcBorders>
            <w:shd w:val="clear" w:color="auto" w:fill="auto"/>
            <w:noWrap/>
            <w:vAlign w:val="center"/>
            <w:hideMark/>
          </w:tcPr>
          <w:p w14:paraId="00E689E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7454A0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835794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679BD5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61AB6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FA5D9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7E6062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E8795B4" w14:textId="77777777" w:rsidR="00E403D6" w:rsidRPr="00F10391" w:rsidRDefault="00E403D6">
            <w:r w:rsidRPr="00F10391">
              <w:t>Not found</w:t>
            </w:r>
          </w:p>
        </w:tc>
      </w:tr>
      <w:tr w:rsidR="00E403D6" w:rsidRPr="00F10391" w14:paraId="5F24D4D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9AF962" w14:textId="77777777" w:rsidR="00E403D6" w:rsidRPr="00F10391" w:rsidRDefault="00E403D6" w:rsidP="0063065F">
            <w:pPr>
              <w:jc w:val="left"/>
            </w:pPr>
            <w:r w:rsidRPr="00F10391">
              <w:t>25/04/07</w:t>
            </w:r>
          </w:p>
        </w:tc>
        <w:tc>
          <w:tcPr>
            <w:tcW w:w="2720" w:type="dxa"/>
            <w:tcBorders>
              <w:top w:val="nil"/>
              <w:left w:val="nil"/>
              <w:bottom w:val="single" w:sz="4" w:space="0" w:color="auto"/>
              <w:right w:val="single" w:sz="4" w:space="0" w:color="auto"/>
            </w:tcBorders>
            <w:shd w:val="clear" w:color="auto" w:fill="auto"/>
            <w:vAlign w:val="center"/>
            <w:hideMark/>
          </w:tcPr>
          <w:p w14:paraId="255DC738" w14:textId="77777777" w:rsidR="00E403D6" w:rsidRPr="00F10391" w:rsidRDefault="00E403D6" w:rsidP="0063065F">
            <w:pPr>
              <w:jc w:val="left"/>
            </w:pPr>
            <w:r w:rsidRPr="00F10391">
              <w:t>Issues For Microbial Regulation: Aeromonas As A Model.</w:t>
            </w:r>
          </w:p>
        </w:tc>
        <w:tc>
          <w:tcPr>
            <w:tcW w:w="1985" w:type="dxa"/>
            <w:tcBorders>
              <w:top w:val="nil"/>
              <w:left w:val="nil"/>
              <w:bottom w:val="single" w:sz="4" w:space="0" w:color="auto"/>
              <w:right w:val="single" w:sz="4" w:space="0" w:color="auto"/>
            </w:tcBorders>
            <w:shd w:val="clear" w:color="auto" w:fill="auto"/>
            <w:vAlign w:val="center"/>
            <w:hideMark/>
          </w:tcPr>
          <w:p w14:paraId="19B0860A" w14:textId="77777777" w:rsidR="00E403D6" w:rsidRPr="00F10391" w:rsidRDefault="00E403D6" w:rsidP="0063065F">
            <w:pPr>
              <w:jc w:val="left"/>
            </w:pPr>
            <w:r w:rsidRPr="00F10391">
              <w:t>Edberg Sc, Browne Fa, Allen Mj.</w:t>
            </w:r>
          </w:p>
        </w:tc>
        <w:tc>
          <w:tcPr>
            <w:tcW w:w="2078" w:type="dxa"/>
            <w:tcBorders>
              <w:top w:val="nil"/>
              <w:left w:val="nil"/>
              <w:bottom w:val="single" w:sz="4" w:space="0" w:color="auto"/>
              <w:right w:val="single" w:sz="4" w:space="0" w:color="auto"/>
            </w:tcBorders>
            <w:shd w:val="clear" w:color="auto" w:fill="auto"/>
            <w:vAlign w:val="center"/>
            <w:hideMark/>
          </w:tcPr>
          <w:p w14:paraId="2412E72E" w14:textId="77777777" w:rsidR="00E403D6" w:rsidRPr="00F10391" w:rsidRDefault="00E403D6" w:rsidP="0063065F">
            <w:pPr>
              <w:jc w:val="left"/>
            </w:pPr>
            <w:r w:rsidRPr="00F10391">
              <w:t>Crit Rev Microbiol. 2007;33(1):89-100. Review.</w:t>
            </w:r>
          </w:p>
        </w:tc>
        <w:tc>
          <w:tcPr>
            <w:tcW w:w="862" w:type="dxa"/>
            <w:tcBorders>
              <w:top w:val="nil"/>
              <w:left w:val="nil"/>
              <w:bottom w:val="single" w:sz="4" w:space="0" w:color="auto"/>
              <w:right w:val="single" w:sz="4" w:space="0" w:color="auto"/>
            </w:tcBorders>
            <w:shd w:val="clear" w:color="auto" w:fill="auto"/>
            <w:noWrap/>
            <w:vAlign w:val="center"/>
            <w:hideMark/>
          </w:tcPr>
          <w:p w14:paraId="043B965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D04790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FA2E19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6B47F8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8CF73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BF4FA6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0364FA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E9B8406" w14:textId="77777777" w:rsidR="00E403D6" w:rsidRPr="00F10391" w:rsidRDefault="00E403D6">
            <w:r w:rsidRPr="00F10391">
              <w:t>Not found</w:t>
            </w:r>
          </w:p>
        </w:tc>
      </w:tr>
      <w:tr w:rsidR="00E403D6" w:rsidRPr="00F10391" w14:paraId="5114CE8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305FCEC" w14:textId="77777777" w:rsidR="00E403D6" w:rsidRPr="00F10391" w:rsidRDefault="00E403D6" w:rsidP="0063065F">
            <w:pPr>
              <w:jc w:val="left"/>
            </w:pPr>
            <w:r w:rsidRPr="00F10391">
              <w:t>01/05/07</w:t>
            </w:r>
          </w:p>
        </w:tc>
        <w:tc>
          <w:tcPr>
            <w:tcW w:w="2720" w:type="dxa"/>
            <w:tcBorders>
              <w:top w:val="nil"/>
              <w:left w:val="nil"/>
              <w:bottom w:val="single" w:sz="4" w:space="0" w:color="auto"/>
              <w:right w:val="single" w:sz="4" w:space="0" w:color="auto"/>
            </w:tcBorders>
            <w:shd w:val="clear" w:color="auto" w:fill="auto"/>
            <w:vAlign w:val="center"/>
            <w:hideMark/>
          </w:tcPr>
          <w:p w14:paraId="37C4A1C8" w14:textId="77777777" w:rsidR="00E403D6" w:rsidRPr="00F10391" w:rsidRDefault="00E403D6" w:rsidP="0063065F">
            <w:pPr>
              <w:jc w:val="left"/>
            </w:pPr>
            <w:r w:rsidRPr="00F10391">
              <w:t>Evaluating Environmental Sustainability: An Integration Of Multiple-Criteria Decision-Making And Fuzzy Logic</w:t>
            </w:r>
          </w:p>
        </w:tc>
        <w:tc>
          <w:tcPr>
            <w:tcW w:w="1985" w:type="dxa"/>
            <w:tcBorders>
              <w:top w:val="nil"/>
              <w:left w:val="nil"/>
              <w:bottom w:val="single" w:sz="4" w:space="0" w:color="auto"/>
              <w:right w:val="single" w:sz="4" w:space="0" w:color="auto"/>
            </w:tcBorders>
            <w:shd w:val="clear" w:color="auto" w:fill="auto"/>
            <w:vAlign w:val="center"/>
            <w:hideMark/>
          </w:tcPr>
          <w:p w14:paraId="0D7F4A67" w14:textId="77777777" w:rsidR="00E403D6" w:rsidRPr="00F10391" w:rsidRDefault="00E403D6" w:rsidP="0063065F">
            <w:pPr>
              <w:jc w:val="left"/>
            </w:pPr>
            <w:r w:rsidRPr="00F10391">
              <w:t>Liu, Kevin F. R.</w:t>
            </w:r>
          </w:p>
        </w:tc>
        <w:tc>
          <w:tcPr>
            <w:tcW w:w="2078" w:type="dxa"/>
            <w:tcBorders>
              <w:top w:val="nil"/>
              <w:left w:val="nil"/>
              <w:bottom w:val="single" w:sz="4" w:space="0" w:color="auto"/>
              <w:right w:val="single" w:sz="4" w:space="0" w:color="auto"/>
            </w:tcBorders>
            <w:shd w:val="clear" w:color="auto" w:fill="auto"/>
            <w:vAlign w:val="center"/>
            <w:hideMark/>
          </w:tcPr>
          <w:p w14:paraId="6756159A" w14:textId="77777777" w:rsidR="00E403D6" w:rsidRPr="00F10391" w:rsidRDefault="00E403D6" w:rsidP="0063065F">
            <w:pPr>
              <w:jc w:val="left"/>
            </w:pPr>
            <w:r w:rsidRPr="00F10391">
              <w:t>Environmental Management. 2007;39(5):721-736</w:t>
            </w:r>
          </w:p>
        </w:tc>
        <w:tc>
          <w:tcPr>
            <w:tcW w:w="862" w:type="dxa"/>
            <w:tcBorders>
              <w:top w:val="nil"/>
              <w:left w:val="nil"/>
              <w:bottom w:val="single" w:sz="4" w:space="0" w:color="auto"/>
              <w:right w:val="single" w:sz="4" w:space="0" w:color="auto"/>
            </w:tcBorders>
            <w:shd w:val="clear" w:color="auto" w:fill="auto"/>
            <w:noWrap/>
            <w:vAlign w:val="center"/>
            <w:hideMark/>
          </w:tcPr>
          <w:p w14:paraId="6C879A0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92CB34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2E7194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C20BF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50F12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53FF50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1A8E10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6CE3D5D" w14:textId="77777777" w:rsidR="00E403D6" w:rsidRPr="00F10391" w:rsidRDefault="00E403D6">
            <w:r w:rsidRPr="00F10391">
              <w:t>Excluded</w:t>
            </w:r>
          </w:p>
        </w:tc>
      </w:tr>
      <w:tr w:rsidR="00E403D6" w:rsidRPr="00F10391" w14:paraId="057E1F9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6433422" w14:textId="77777777" w:rsidR="00E403D6" w:rsidRPr="00F10391" w:rsidRDefault="00E403D6" w:rsidP="0063065F">
            <w:pPr>
              <w:jc w:val="left"/>
            </w:pPr>
            <w:r w:rsidRPr="00F10391">
              <w:t>17/05/07</w:t>
            </w:r>
          </w:p>
        </w:tc>
        <w:tc>
          <w:tcPr>
            <w:tcW w:w="2720" w:type="dxa"/>
            <w:tcBorders>
              <w:top w:val="nil"/>
              <w:left w:val="nil"/>
              <w:bottom w:val="single" w:sz="4" w:space="0" w:color="auto"/>
              <w:right w:val="single" w:sz="4" w:space="0" w:color="auto"/>
            </w:tcBorders>
            <w:shd w:val="clear" w:color="auto" w:fill="auto"/>
            <w:vAlign w:val="center"/>
            <w:hideMark/>
          </w:tcPr>
          <w:p w14:paraId="7B33CD32" w14:textId="77777777" w:rsidR="00E403D6" w:rsidRPr="00F10391" w:rsidRDefault="00E403D6" w:rsidP="0063065F">
            <w:pPr>
              <w:jc w:val="left"/>
            </w:pPr>
            <w:r w:rsidRPr="00F10391">
              <w:t>Which Test Is Best For Helicobacter Pylori? A Cost-Effectiveness Model Using Decision Analysis.</w:t>
            </w:r>
          </w:p>
        </w:tc>
        <w:tc>
          <w:tcPr>
            <w:tcW w:w="1985" w:type="dxa"/>
            <w:tcBorders>
              <w:top w:val="nil"/>
              <w:left w:val="nil"/>
              <w:bottom w:val="single" w:sz="4" w:space="0" w:color="auto"/>
              <w:right w:val="single" w:sz="4" w:space="0" w:color="auto"/>
            </w:tcBorders>
            <w:shd w:val="clear" w:color="auto" w:fill="auto"/>
            <w:vAlign w:val="center"/>
            <w:hideMark/>
          </w:tcPr>
          <w:p w14:paraId="0D53F6FF" w14:textId="77777777" w:rsidR="00E403D6" w:rsidRPr="00F10391" w:rsidRDefault="00E403D6" w:rsidP="0063065F">
            <w:pPr>
              <w:jc w:val="left"/>
            </w:pPr>
            <w:r w:rsidRPr="00F10391">
              <w:t>Elwyn G, Taubert M, Davies S, Brown G, Allison M, Phillips C.</w:t>
            </w:r>
          </w:p>
        </w:tc>
        <w:tc>
          <w:tcPr>
            <w:tcW w:w="2078" w:type="dxa"/>
            <w:tcBorders>
              <w:top w:val="nil"/>
              <w:left w:val="nil"/>
              <w:bottom w:val="single" w:sz="4" w:space="0" w:color="auto"/>
              <w:right w:val="single" w:sz="4" w:space="0" w:color="auto"/>
            </w:tcBorders>
            <w:shd w:val="clear" w:color="auto" w:fill="auto"/>
            <w:vAlign w:val="center"/>
            <w:hideMark/>
          </w:tcPr>
          <w:p w14:paraId="6937439D" w14:textId="77777777" w:rsidR="00E403D6" w:rsidRPr="00F10391" w:rsidRDefault="00E403D6" w:rsidP="0063065F">
            <w:pPr>
              <w:jc w:val="left"/>
            </w:pPr>
            <w:r w:rsidRPr="00F10391">
              <w:t>Br J Gen Pract. 2007 May;57(538):401-3.</w:t>
            </w:r>
          </w:p>
        </w:tc>
        <w:tc>
          <w:tcPr>
            <w:tcW w:w="862" w:type="dxa"/>
            <w:tcBorders>
              <w:top w:val="nil"/>
              <w:left w:val="nil"/>
              <w:bottom w:val="single" w:sz="4" w:space="0" w:color="auto"/>
              <w:right w:val="single" w:sz="4" w:space="0" w:color="auto"/>
            </w:tcBorders>
            <w:shd w:val="clear" w:color="auto" w:fill="auto"/>
            <w:noWrap/>
            <w:vAlign w:val="center"/>
            <w:hideMark/>
          </w:tcPr>
          <w:p w14:paraId="0829D9F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89BC33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9C800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E75F3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73D557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0499D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68D8ED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FAE8702" w14:textId="77777777" w:rsidR="00E403D6" w:rsidRPr="00F10391" w:rsidRDefault="00E403D6">
            <w:r w:rsidRPr="00F10391">
              <w:t>Not found</w:t>
            </w:r>
          </w:p>
        </w:tc>
      </w:tr>
      <w:tr w:rsidR="00E403D6" w:rsidRPr="00F10391" w14:paraId="4978A2C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28E7863" w14:textId="77777777" w:rsidR="00E403D6" w:rsidRPr="00F10391" w:rsidRDefault="00E403D6" w:rsidP="0063065F">
            <w:pPr>
              <w:jc w:val="left"/>
            </w:pPr>
            <w:r w:rsidRPr="00F10391">
              <w:t>22/06/07</w:t>
            </w:r>
          </w:p>
        </w:tc>
        <w:tc>
          <w:tcPr>
            <w:tcW w:w="2720" w:type="dxa"/>
            <w:tcBorders>
              <w:top w:val="nil"/>
              <w:left w:val="nil"/>
              <w:bottom w:val="single" w:sz="4" w:space="0" w:color="auto"/>
              <w:right w:val="single" w:sz="4" w:space="0" w:color="auto"/>
            </w:tcBorders>
            <w:shd w:val="clear" w:color="auto" w:fill="auto"/>
            <w:vAlign w:val="center"/>
            <w:hideMark/>
          </w:tcPr>
          <w:p w14:paraId="3EAD3EF6" w14:textId="77777777" w:rsidR="00E403D6" w:rsidRPr="00F10391" w:rsidRDefault="00E403D6" w:rsidP="0063065F">
            <w:pPr>
              <w:jc w:val="left"/>
            </w:pPr>
            <w:r w:rsidRPr="00F10391">
              <w:t>Determination Of Ochratoxin A At Parts-Per-Trillion Levels In Cereal Products By Immunoaffinity Column Cleanup And High-Performance Liquid Chromatography/Mass Spectrometry.</w:t>
            </w:r>
          </w:p>
        </w:tc>
        <w:tc>
          <w:tcPr>
            <w:tcW w:w="1985" w:type="dxa"/>
            <w:tcBorders>
              <w:top w:val="nil"/>
              <w:left w:val="nil"/>
              <w:bottom w:val="single" w:sz="4" w:space="0" w:color="auto"/>
              <w:right w:val="single" w:sz="4" w:space="0" w:color="auto"/>
            </w:tcBorders>
            <w:shd w:val="clear" w:color="auto" w:fill="auto"/>
            <w:vAlign w:val="center"/>
            <w:hideMark/>
          </w:tcPr>
          <w:p w14:paraId="17554AC5" w14:textId="77777777" w:rsidR="00E403D6" w:rsidRPr="00F10391" w:rsidRDefault="00E403D6" w:rsidP="0063065F">
            <w:pPr>
              <w:jc w:val="left"/>
            </w:pPr>
            <w:r w:rsidRPr="00F10391">
              <w:t>Chung Sw, Kwong Kp.</w:t>
            </w:r>
          </w:p>
        </w:tc>
        <w:tc>
          <w:tcPr>
            <w:tcW w:w="2078" w:type="dxa"/>
            <w:tcBorders>
              <w:top w:val="nil"/>
              <w:left w:val="nil"/>
              <w:bottom w:val="single" w:sz="4" w:space="0" w:color="auto"/>
              <w:right w:val="single" w:sz="4" w:space="0" w:color="auto"/>
            </w:tcBorders>
            <w:shd w:val="clear" w:color="auto" w:fill="auto"/>
            <w:vAlign w:val="center"/>
            <w:hideMark/>
          </w:tcPr>
          <w:p w14:paraId="3E223485" w14:textId="77777777" w:rsidR="00E403D6" w:rsidRPr="00F10391" w:rsidRDefault="00E403D6" w:rsidP="0063065F">
            <w:pPr>
              <w:jc w:val="left"/>
            </w:pPr>
            <w:r w:rsidRPr="00F10391">
              <w:t>J Aoac Int. 2007 May-Jun;90(3):773-7.</w:t>
            </w:r>
          </w:p>
        </w:tc>
        <w:tc>
          <w:tcPr>
            <w:tcW w:w="862" w:type="dxa"/>
            <w:tcBorders>
              <w:top w:val="nil"/>
              <w:left w:val="nil"/>
              <w:bottom w:val="single" w:sz="4" w:space="0" w:color="auto"/>
              <w:right w:val="single" w:sz="4" w:space="0" w:color="auto"/>
            </w:tcBorders>
            <w:shd w:val="clear" w:color="auto" w:fill="auto"/>
            <w:noWrap/>
            <w:vAlign w:val="center"/>
            <w:hideMark/>
          </w:tcPr>
          <w:p w14:paraId="41459AB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64C8A5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163DFC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F8BD92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315EE6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B66D0D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266742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F83419A" w14:textId="77777777" w:rsidR="00E403D6" w:rsidRPr="00F10391" w:rsidRDefault="00E403D6">
            <w:r w:rsidRPr="00F10391">
              <w:t>Not found</w:t>
            </w:r>
          </w:p>
        </w:tc>
      </w:tr>
      <w:tr w:rsidR="00E403D6" w:rsidRPr="00F10391" w14:paraId="46D49AB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408E94F" w14:textId="77777777" w:rsidR="00E403D6" w:rsidRPr="00F10391" w:rsidRDefault="00E403D6" w:rsidP="0063065F">
            <w:pPr>
              <w:jc w:val="left"/>
            </w:pPr>
            <w:r w:rsidRPr="00F10391">
              <w:t>09/08/07</w:t>
            </w:r>
          </w:p>
        </w:tc>
        <w:tc>
          <w:tcPr>
            <w:tcW w:w="2720" w:type="dxa"/>
            <w:tcBorders>
              <w:top w:val="nil"/>
              <w:left w:val="nil"/>
              <w:bottom w:val="single" w:sz="4" w:space="0" w:color="auto"/>
              <w:right w:val="single" w:sz="4" w:space="0" w:color="auto"/>
            </w:tcBorders>
            <w:shd w:val="clear" w:color="auto" w:fill="auto"/>
            <w:vAlign w:val="center"/>
            <w:hideMark/>
          </w:tcPr>
          <w:p w14:paraId="54EB46B4" w14:textId="77777777" w:rsidR="00E403D6" w:rsidRPr="00F10391" w:rsidRDefault="00E403D6" w:rsidP="0063065F">
            <w:pPr>
              <w:jc w:val="left"/>
            </w:pPr>
            <w:r w:rsidRPr="00F10391">
              <w:t>Effect Of Mental Health Care And Shared Decision Making On Patient Satisfaction In A Community Sample Of Patients With Depression.</w:t>
            </w:r>
          </w:p>
        </w:tc>
        <w:tc>
          <w:tcPr>
            <w:tcW w:w="1985" w:type="dxa"/>
            <w:tcBorders>
              <w:top w:val="nil"/>
              <w:left w:val="nil"/>
              <w:bottom w:val="single" w:sz="4" w:space="0" w:color="auto"/>
              <w:right w:val="single" w:sz="4" w:space="0" w:color="auto"/>
            </w:tcBorders>
            <w:shd w:val="clear" w:color="auto" w:fill="auto"/>
            <w:vAlign w:val="center"/>
            <w:hideMark/>
          </w:tcPr>
          <w:p w14:paraId="61043A69" w14:textId="77777777" w:rsidR="00E403D6" w:rsidRPr="005D7324" w:rsidRDefault="00E403D6" w:rsidP="0063065F">
            <w:pPr>
              <w:jc w:val="left"/>
            </w:pPr>
            <w:r w:rsidRPr="005D7324">
              <w:t>Swanson Ka, Bastani R, Rubenstein Lv, Meredith Ls, Ford De.</w:t>
            </w:r>
          </w:p>
        </w:tc>
        <w:tc>
          <w:tcPr>
            <w:tcW w:w="2078" w:type="dxa"/>
            <w:tcBorders>
              <w:top w:val="nil"/>
              <w:left w:val="nil"/>
              <w:bottom w:val="single" w:sz="4" w:space="0" w:color="auto"/>
              <w:right w:val="single" w:sz="4" w:space="0" w:color="auto"/>
            </w:tcBorders>
            <w:shd w:val="clear" w:color="auto" w:fill="auto"/>
            <w:vAlign w:val="center"/>
            <w:hideMark/>
          </w:tcPr>
          <w:p w14:paraId="7A41B1DF" w14:textId="77777777" w:rsidR="00E403D6" w:rsidRPr="00F10391" w:rsidRDefault="00E403D6" w:rsidP="0063065F">
            <w:pPr>
              <w:jc w:val="left"/>
            </w:pPr>
            <w:r w:rsidRPr="00F10391">
              <w:t>Med Care Res Rev. 2007 Aug;64(4):416-30.</w:t>
            </w:r>
          </w:p>
        </w:tc>
        <w:tc>
          <w:tcPr>
            <w:tcW w:w="862" w:type="dxa"/>
            <w:tcBorders>
              <w:top w:val="nil"/>
              <w:left w:val="nil"/>
              <w:bottom w:val="single" w:sz="4" w:space="0" w:color="auto"/>
              <w:right w:val="single" w:sz="4" w:space="0" w:color="auto"/>
            </w:tcBorders>
            <w:shd w:val="clear" w:color="auto" w:fill="auto"/>
            <w:noWrap/>
            <w:vAlign w:val="center"/>
            <w:hideMark/>
          </w:tcPr>
          <w:p w14:paraId="4551AF2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9B9177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CC57E0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80B7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81CA96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E9CD2D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151D2A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B0A57BC" w14:textId="77777777" w:rsidR="00E403D6" w:rsidRPr="00F10391" w:rsidRDefault="00E403D6">
            <w:r w:rsidRPr="00F10391">
              <w:t>Not found</w:t>
            </w:r>
          </w:p>
        </w:tc>
      </w:tr>
      <w:tr w:rsidR="00E403D6" w:rsidRPr="00F10391" w14:paraId="4304029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53F5882" w14:textId="77777777" w:rsidR="00E403D6" w:rsidRPr="00F10391" w:rsidRDefault="00E403D6" w:rsidP="0063065F">
            <w:pPr>
              <w:jc w:val="left"/>
            </w:pPr>
            <w:r w:rsidRPr="00F10391">
              <w:t>21/09/07</w:t>
            </w:r>
          </w:p>
        </w:tc>
        <w:tc>
          <w:tcPr>
            <w:tcW w:w="2720" w:type="dxa"/>
            <w:tcBorders>
              <w:top w:val="nil"/>
              <w:left w:val="nil"/>
              <w:bottom w:val="single" w:sz="4" w:space="0" w:color="auto"/>
              <w:right w:val="single" w:sz="4" w:space="0" w:color="auto"/>
            </w:tcBorders>
            <w:shd w:val="clear" w:color="auto" w:fill="auto"/>
            <w:vAlign w:val="center"/>
            <w:hideMark/>
          </w:tcPr>
          <w:p w14:paraId="4A3355C2" w14:textId="77777777" w:rsidR="00E403D6" w:rsidRPr="00F10391" w:rsidRDefault="00E403D6" w:rsidP="0063065F">
            <w:pPr>
              <w:jc w:val="left"/>
            </w:pPr>
            <w:r w:rsidRPr="00F10391">
              <w:t>Making Decentralised Systems Viable: A Guide To Managing Decentralised Assets And Risks.</w:t>
            </w:r>
          </w:p>
        </w:tc>
        <w:tc>
          <w:tcPr>
            <w:tcW w:w="1985" w:type="dxa"/>
            <w:tcBorders>
              <w:top w:val="nil"/>
              <w:left w:val="nil"/>
              <w:bottom w:val="single" w:sz="4" w:space="0" w:color="auto"/>
              <w:right w:val="single" w:sz="4" w:space="0" w:color="auto"/>
            </w:tcBorders>
            <w:shd w:val="clear" w:color="auto" w:fill="auto"/>
            <w:vAlign w:val="center"/>
            <w:hideMark/>
          </w:tcPr>
          <w:p w14:paraId="2E6DC7D9" w14:textId="77777777" w:rsidR="00E403D6" w:rsidRPr="00F10391" w:rsidRDefault="00E403D6" w:rsidP="0063065F">
            <w:pPr>
              <w:jc w:val="left"/>
            </w:pPr>
            <w:r w:rsidRPr="00F10391">
              <w:t>Willetts J, Fane S, Mitchell C.</w:t>
            </w:r>
          </w:p>
        </w:tc>
        <w:tc>
          <w:tcPr>
            <w:tcW w:w="2078" w:type="dxa"/>
            <w:tcBorders>
              <w:top w:val="nil"/>
              <w:left w:val="nil"/>
              <w:bottom w:val="single" w:sz="4" w:space="0" w:color="auto"/>
              <w:right w:val="single" w:sz="4" w:space="0" w:color="auto"/>
            </w:tcBorders>
            <w:shd w:val="clear" w:color="auto" w:fill="auto"/>
            <w:vAlign w:val="center"/>
            <w:hideMark/>
          </w:tcPr>
          <w:p w14:paraId="4498978A" w14:textId="77777777" w:rsidR="00E403D6" w:rsidRPr="00F10391" w:rsidRDefault="00E403D6" w:rsidP="0063065F">
            <w:pPr>
              <w:jc w:val="left"/>
            </w:pPr>
            <w:r w:rsidRPr="00F10391">
              <w:t>Water Sci Technol. 2007;56(5):165-73.</w:t>
            </w:r>
          </w:p>
        </w:tc>
        <w:tc>
          <w:tcPr>
            <w:tcW w:w="862" w:type="dxa"/>
            <w:tcBorders>
              <w:top w:val="nil"/>
              <w:left w:val="nil"/>
              <w:bottom w:val="single" w:sz="4" w:space="0" w:color="auto"/>
              <w:right w:val="single" w:sz="4" w:space="0" w:color="auto"/>
            </w:tcBorders>
            <w:shd w:val="clear" w:color="auto" w:fill="auto"/>
            <w:noWrap/>
            <w:vAlign w:val="center"/>
            <w:hideMark/>
          </w:tcPr>
          <w:p w14:paraId="2CFA5C7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BB9A76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C571AE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AF70D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98819E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555B4A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400B52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A315E86" w14:textId="77777777" w:rsidR="00E403D6" w:rsidRPr="00F10391" w:rsidRDefault="00E403D6">
            <w:r w:rsidRPr="00F10391">
              <w:t>Not found</w:t>
            </w:r>
          </w:p>
        </w:tc>
      </w:tr>
      <w:tr w:rsidR="00E403D6" w:rsidRPr="00F10391" w14:paraId="22FA408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E502E7" w14:textId="77777777" w:rsidR="00E403D6" w:rsidRPr="00F10391" w:rsidRDefault="00E403D6" w:rsidP="0063065F">
            <w:pPr>
              <w:jc w:val="left"/>
            </w:pPr>
            <w:r w:rsidRPr="00F10391">
              <w:t>26/10/07</w:t>
            </w:r>
          </w:p>
        </w:tc>
        <w:tc>
          <w:tcPr>
            <w:tcW w:w="2720" w:type="dxa"/>
            <w:tcBorders>
              <w:top w:val="nil"/>
              <w:left w:val="nil"/>
              <w:bottom w:val="single" w:sz="4" w:space="0" w:color="auto"/>
              <w:right w:val="single" w:sz="4" w:space="0" w:color="auto"/>
            </w:tcBorders>
            <w:shd w:val="clear" w:color="auto" w:fill="auto"/>
            <w:vAlign w:val="center"/>
            <w:hideMark/>
          </w:tcPr>
          <w:p w14:paraId="6BACFE6E" w14:textId="77777777" w:rsidR="00E403D6" w:rsidRPr="00F10391" w:rsidRDefault="00E403D6" w:rsidP="0063065F">
            <w:pPr>
              <w:jc w:val="left"/>
            </w:pPr>
            <w:r w:rsidRPr="00F10391">
              <w:t>Fostering Innovation In Contaminated Sediments Management Through Multicriteria Technology Assessment And Public Participation.</w:t>
            </w:r>
          </w:p>
        </w:tc>
        <w:tc>
          <w:tcPr>
            <w:tcW w:w="1985" w:type="dxa"/>
            <w:tcBorders>
              <w:top w:val="nil"/>
              <w:left w:val="nil"/>
              <w:bottom w:val="single" w:sz="4" w:space="0" w:color="auto"/>
              <w:right w:val="single" w:sz="4" w:space="0" w:color="auto"/>
            </w:tcBorders>
            <w:shd w:val="clear" w:color="auto" w:fill="auto"/>
            <w:vAlign w:val="center"/>
            <w:hideMark/>
          </w:tcPr>
          <w:p w14:paraId="66A9A9BC" w14:textId="77777777" w:rsidR="00E403D6" w:rsidRPr="00F10391" w:rsidRDefault="00E403D6" w:rsidP="0063065F">
            <w:pPr>
              <w:jc w:val="left"/>
            </w:pPr>
            <w:r w:rsidRPr="00F10391">
              <w:t>Seager Tp, Lambert Jh, Gardner Kh.</w:t>
            </w:r>
          </w:p>
        </w:tc>
        <w:tc>
          <w:tcPr>
            <w:tcW w:w="2078" w:type="dxa"/>
            <w:tcBorders>
              <w:top w:val="nil"/>
              <w:left w:val="nil"/>
              <w:bottom w:val="single" w:sz="4" w:space="0" w:color="auto"/>
              <w:right w:val="single" w:sz="4" w:space="0" w:color="auto"/>
            </w:tcBorders>
            <w:shd w:val="clear" w:color="auto" w:fill="auto"/>
            <w:vAlign w:val="center"/>
            <w:hideMark/>
          </w:tcPr>
          <w:p w14:paraId="15E1812B" w14:textId="77777777" w:rsidR="00E403D6" w:rsidRPr="00F10391" w:rsidRDefault="00E403D6" w:rsidP="0063065F">
            <w:pPr>
              <w:jc w:val="left"/>
            </w:pPr>
            <w:r w:rsidRPr="00F10391">
              <w:t>Risk Anal. 2007 Aug;27(4):1043-52.</w:t>
            </w:r>
          </w:p>
        </w:tc>
        <w:tc>
          <w:tcPr>
            <w:tcW w:w="862" w:type="dxa"/>
            <w:tcBorders>
              <w:top w:val="nil"/>
              <w:left w:val="nil"/>
              <w:bottom w:val="single" w:sz="4" w:space="0" w:color="auto"/>
              <w:right w:val="single" w:sz="4" w:space="0" w:color="auto"/>
            </w:tcBorders>
            <w:shd w:val="clear" w:color="auto" w:fill="auto"/>
            <w:noWrap/>
            <w:vAlign w:val="center"/>
            <w:hideMark/>
          </w:tcPr>
          <w:p w14:paraId="0725095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2E51E3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C4C6E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0F31C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3F4AEE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CE69C1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5FE5BA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A0F95FF" w14:textId="77777777" w:rsidR="00E403D6" w:rsidRPr="00F10391" w:rsidRDefault="00E403D6">
            <w:r w:rsidRPr="00F10391">
              <w:t>Not found</w:t>
            </w:r>
          </w:p>
        </w:tc>
      </w:tr>
      <w:tr w:rsidR="00E403D6" w:rsidRPr="00F10391" w14:paraId="4D6EBF4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58AACFF" w14:textId="77777777" w:rsidR="00E403D6" w:rsidRPr="00F10391" w:rsidRDefault="00E403D6" w:rsidP="0063065F">
            <w:pPr>
              <w:jc w:val="left"/>
            </w:pPr>
            <w:r w:rsidRPr="00F10391">
              <w:t>01/01/08</w:t>
            </w:r>
          </w:p>
        </w:tc>
        <w:tc>
          <w:tcPr>
            <w:tcW w:w="2720" w:type="dxa"/>
            <w:tcBorders>
              <w:top w:val="nil"/>
              <w:left w:val="nil"/>
              <w:bottom w:val="single" w:sz="4" w:space="0" w:color="auto"/>
              <w:right w:val="single" w:sz="4" w:space="0" w:color="auto"/>
            </w:tcBorders>
            <w:shd w:val="clear" w:color="auto" w:fill="auto"/>
            <w:vAlign w:val="center"/>
            <w:hideMark/>
          </w:tcPr>
          <w:p w14:paraId="641B9BAF" w14:textId="77777777" w:rsidR="00E403D6" w:rsidRPr="00F10391" w:rsidRDefault="00E403D6" w:rsidP="0063065F">
            <w:pPr>
              <w:jc w:val="left"/>
            </w:pPr>
            <w:r w:rsidRPr="00F10391">
              <w:t>Introducing Priority Setting And Resource Allocation In Home And Community Care Programs.</w:t>
            </w:r>
          </w:p>
        </w:tc>
        <w:tc>
          <w:tcPr>
            <w:tcW w:w="1985" w:type="dxa"/>
            <w:tcBorders>
              <w:top w:val="nil"/>
              <w:left w:val="nil"/>
              <w:bottom w:val="single" w:sz="4" w:space="0" w:color="auto"/>
              <w:right w:val="single" w:sz="4" w:space="0" w:color="auto"/>
            </w:tcBorders>
            <w:shd w:val="clear" w:color="auto" w:fill="auto"/>
            <w:vAlign w:val="center"/>
            <w:hideMark/>
          </w:tcPr>
          <w:p w14:paraId="12307BE4" w14:textId="77777777" w:rsidR="00E403D6" w:rsidRPr="00F10391" w:rsidRDefault="00E403D6" w:rsidP="0063065F">
            <w:pPr>
              <w:jc w:val="left"/>
            </w:pPr>
            <w:r w:rsidRPr="00F10391">
              <w:t>Urquhart, Bonnie; Mitton, Craig; Peacock, Stuart</w:t>
            </w:r>
          </w:p>
        </w:tc>
        <w:tc>
          <w:tcPr>
            <w:tcW w:w="2078" w:type="dxa"/>
            <w:tcBorders>
              <w:top w:val="nil"/>
              <w:left w:val="nil"/>
              <w:bottom w:val="single" w:sz="4" w:space="0" w:color="auto"/>
              <w:right w:val="single" w:sz="4" w:space="0" w:color="auto"/>
            </w:tcBorders>
            <w:shd w:val="clear" w:color="auto" w:fill="auto"/>
            <w:vAlign w:val="center"/>
            <w:hideMark/>
          </w:tcPr>
          <w:p w14:paraId="690DA235" w14:textId="77777777" w:rsidR="00E403D6" w:rsidRPr="00F10391" w:rsidRDefault="00E403D6" w:rsidP="0063065F">
            <w:pPr>
              <w:jc w:val="left"/>
            </w:pPr>
            <w:r w:rsidRPr="00F10391">
              <w:t>Journal Of Health Services Research &amp; Policy. 2008;13 Suppl 1():41-5</w:t>
            </w:r>
          </w:p>
        </w:tc>
        <w:tc>
          <w:tcPr>
            <w:tcW w:w="862" w:type="dxa"/>
            <w:tcBorders>
              <w:top w:val="nil"/>
              <w:left w:val="nil"/>
              <w:bottom w:val="single" w:sz="4" w:space="0" w:color="auto"/>
              <w:right w:val="single" w:sz="4" w:space="0" w:color="auto"/>
            </w:tcBorders>
            <w:shd w:val="clear" w:color="auto" w:fill="auto"/>
            <w:noWrap/>
            <w:vAlign w:val="center"/>
            <w:hideMark/>
          </w:tcPr>
          <w:p w14:paraId="4B14B6ED"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4BA7C9C"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14B56B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249C56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326D8F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45F09D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D099C8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4C7BB72" w14:textId="77777777" w:rsidR="00E403D6" w:rsidRPr="00F10391" w:rsidRDefault="00E403D6">
            <w:r w:rsidRPr="00F10391">
              <w:t>Excluded</w:t>
            </w:r>
          </w:p>
        </w:tc>
      </w:tr>
      <w:tr w:rsidR="00E403D6" w:rsidRPr="00F10391" w14:paraId="64B5EBD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CAE0AB3" w14:textId="77777777" w:rsidR="00E403D6" w:rsidRPr="00F10391" w:rsidRDefault="00E403D6" w:rsidP="0063065F">
            <w:pPr>
              <w:jc w:val="left"/>
            </w:pPr>
            <w:r w:rsidRPr="00F10391">
              <w:t>15/01/08</w:t>
            </w:r>
          </w:p>
        </w:tc>
        <w:tc>
          <w:tcPr>
            <w:tcW w:w="2720" w:type="dxa"/>
            <w:tcBorders>
              <w:top w:val="nil"/>
              <w:left w:val="nil"/>
              <w:bottom w:val="single" w:sz="4" w:space="0" w:color="auto"/>
              <w:right w:val="single" w:sz="4" w:space="0" w:color="auto"/>
            </w:tcBorders>
            <w:shd w:val="clear" w:color="auto" w:fill="auto"/>
            <w:vAlign w:val="center"/>
            <w:hideMark/>
          </w:tcPr>
          <w:p w14:paraId="2BDD3611" w14:textId="77777777" w:rsidR="00E403D6" w:rsidRPr="00F10391" w:rsidRDefault="00E403D6" w:rsidP="0063065F">
            <w:pPr>
              <w:jc w:val="left"/>
            </w:pPr>
            <w:r w:rsidRPr="00F10391">
              <w:t>Integration Of Bioavailability, Ecology And Ecotoxicology By Three Lines Of Evidence Into Ecological Risk Indexes For Contaminated Soil Assessment</w:t>
            </w:r>
          </w:p>
        </w:tc>
        <w:tc>
          <w:tcPr>
            <w:tcW w:w="1985" w:type="dxa"/>
            <w:tcBorders>
              <w:top w:val="nil"/>
              <w:left w:val="nil"/>
              <w:bottom w:val="single" w:sz="4" w:space="0" w:color="auto"/>
              <w:right w:val="single" w:sz="4" w:space="0" w:color="auto"/>
            </w:tcBorders>
            <w:shd w:val="clear" w:color="auto" w:fill="auto"/>
            <w:vAlign w:val="center"/>
            <w:hideMark/>
          </w:tcPr>
          <w:p w14:paraId="606FF720" w14:textId="77777777" w:rsidR="00E403D6" w:rsidRPr="005D7324" w:rsidRDefault="00E403D6" w:rsidP="0063065F">
            <w:pPr>
              <w:jc w:val="left"/>
            </w:pPr>
            <w:r w:rsidRPr="005D7324">
              <w:t>Semenzin, Elena; Critto, Andrea; Rutgers, Michiel; Marcomini, Antonio</w:t>
            </w:r>
          </w:p>
        </w:tc>
        <w:tc>
          <w:tcPr>
            <w:tcW w:w="2078" w:type="dxa"/>
            <w:tcBorders>
              <w:top w:val="nil"/>
              <w:left w:val="nil"/>
              <w:bottom w:val="single" w:sz="4" w:space="0" w:color="auto"/>
              <w:right w:val="single" w:sz="4" w:space="0" w:color="auto"/>
            </w:tcBorders>
            <w:shd w:val="clear" w:color="auto" w:fill="auto"/>
            <w:vAlign w:val="center"/>
            <w:hideMark/>
          </w:tcPr>
          <w:p w14:paraId="4268755F" w14:textId="77777777" w:rsidR="00E403D6" w:rsidRPr="00F10391" w:rsidRDefault="00E403D6" w:rsidP="0063065F">
            <w:pPr>
              <w:jc w:val="left"/>
            </w:pPr>
            <w:r w:rsidRPr="00F10391">
              <w:t>Science Of The Total Environment. 2008;389(1):71-86</w:t>
            </w:r>
          </w:p>
        </w:tc>
        <w:tc>
          <w:tcPr>
            <w:tcW w:w="862" w:type="dxa"/>
            <w:tcBorders>
              <w:top w:val="nil"/>
              <w:left w:val="nil"/>
              <w:bottom w:val="single" w:sz="4" w:space="0" w:color="auto"/>
              <w:right w:val="single" w:sz="4" w:space="0" w:color="auto"/>
            </w:tcBorders>
            <w:shd w:val="clear" w:color="auto" w:fill="auto"/>
            <w:noWrap/>
            <w:vAlign w:val="center"/>
            <w:hideMark/>
          </w:tcPr>
          <w:p w14:paraId="3C6B82D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3868CC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BD47E7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05A8C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E29921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BD58EF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ADA5CB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623C128" w14:textId="77777777" w:rsidR="00E403D6" w:rsidRPr="00F10391" w:rsidRDefault="00E403D6">
            <w:r w:rsidRPr="00F10391">
              <w:t>Excluded</w:t>
            </w:r>
          </w:p>
        </w:tc>
      </w:tr>
      <w:tr w:rsidR="00E403D6" w:rsidRPr="00F10391" w14:paraId="6088BB2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225FF9C" w14:textId="77777777" w:rsidR="00E403D6" w:rsidRPr="00F10391" w:rsidRDefault="00E403D6" w:rsidP="0063065F">
            <w:pPr>
              <w:jc w:val="left"/>
            </w:pPr>
            <w:r w:rsidRPr="00F10391">
              <w:t>30/01/08</w:t>
            </w:r>
          </w:p>
        </w:tc>
        <w:tc>
          <w:tcPr>
            <w:tcW w:w="2720" w:type="dxa"/>
            <w:tcBorders>
              <w:top w:val="nil"/>
              <w:left w:val="nil"/>
              <w:bottom w:val="single" w:sz="4" w:space="0" w:color="auto"/>
              <w:right w:val="single" w:sz="4" w:space="0" w:color="auto"/>
            </w:tcBorders>
            <w:shd w:val="clear" w:color="auto" w:fill="auto"/>
            <w:vAlign w:val="center"/>
            <w:hideMark/>
          </w:tcPr>
          <w:p w14:paraId="76CBCF59" w14:textId="77777777" w:rsidR="00E403D6" w:rsidRPr="00F10391" w:rsidRDefault="00E403D6" w:rsidP="0063065F">
            <w:pPr>
              <w:jc w:val="left"/>
            </w:pPr>
            <w:r w:rsidRPr="00F10391">
              <w:t xml:space="preserve">Fair Fund Distribution For A Municipal Incinerator Using </w:t>
            </w:r>
            <w:r w:rsidR="001573F5" w:rsidRPr="00F10391">
              <w:t>GIS</w:t>
            </w:r>
            <w:r w:rsidRPr="00F10391">
              <w:t>-Based Fuzzy Analytic Hierarchy Process.</w:t>
            </w:r>
          </w:p>
        </w:tc>
        <w:tc>
          <w:tcPr>
            <w:tcW w:w="1985" w:type="dxa"/>
            <w:tcBorders>
              <w:top w:val="nil"/>
              <w:left w:val="nil"/>
              <w:bottom w:val="single" w:sz="4" w:space="0" w:color="auto"/>
              <w:right w:val="single" w:sz="4" w:space="0" w:color="auto"/>
            </w:tcBorders>
            <w:shd w:val="clear" w:color="auto" w:fill="auto"/>
            <w:vAlign w:val="center"/>
            <w:hideMark/>
          </w:tcPr>
          <w:p w14:paraId="03DE74B5" w14:textId="77777777" w:rsidR="00E403D6" w:rsidRPr="005D7324" w:rsidRDefault="00E403D6" w:rsidP="0063065F">
            <w:pPr>
              <w:jc w:val="left"/>
            </w:pPr>
            <w:r w:rsidRPr="005D7324">
              <w:t>Chang Nb, Chang Yh, Chen Hw.</w:t>
            </w:r>
          </w:p>
        </w:tc>
        <w:tc>
          <w:tcPr>
            <w:tcW w:w="2078" w:type="dxa"/>
            <w:tcBorders>
              <w:top w:val="nil"/>
              <w:left w:val="nil"/>
              <w:bottom w:val="single" w:sz="4" w:space="0" w:color="auto"/>
              <w:right w:val="single" w:sz="4" w:space="0" w:color="auto"/>
            </w:tcBorders>
            <w:shd w:val="clear" w:color="auto" w:fill="auto"/>
            <w:vAlign w:val="center"/>
            <w:hideMark/>
          </w:tcPr>
          <w:p w14:paraId="08300279" w14:textId="77777777" w:rsidR="00E403D6" w:rsidRPr="00F10391" w:rsidRDefault="00E403D6" w:rsidP="0063065F">
            <w:pPr>
              <w:jc w:val="left"/>
            </w:pPr>
            <w:r w:rsidRPr="005D7324">
              <w:t xml:space="preserve">J Environ Manage. 2009 Jan;90(1):441-54. Doi: 10.1016/J.Jenvman.2007.11.003. </w:t>
            </w:r>
            <w:r w:rsidRPr="00F10391">
              <w:t>Epub 2008 Jan 15.</w:t>
            </w:r>
          </w:p>
        </w:tc>
        <w:tc>
          <w:tcPr>
            <w:tcW w:w="862" w:type="dxa"/>
            <w:tcBorders>
              <w:top w:val="nil"/>
              <w:left w:val="nil"/>
              <w:bottom w:val="single" w:sz="4" w:space="0" w:color="auto"/>
              <w:right w:val="single" w:sz="4" w:space="0" w:color="auto"/>
            </w:tcBorders>
            <w:shd w:val="clear" w:color="auto" w:fill="auto"/>
            <w:noWrap/>
            <w:vAlign w:val="center"/>
            <w:hideMark/>
          </w:tcPr>
          <w:p w14:paraId="34DB90B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64B44C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09B262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1414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585EA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534940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D20669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F0CFE67" w14:textId="77777777" w:rsidR="00E403D6" w:rsidRPr="00F10391" w:rsidRDefault="00E403D6">
            <w:r w:rsidRPr="00F10391">
              <w:t>Not found</w:t>
            </w:r>
          </w:p>
        </w:tc>
      </w:tr>
      <w:tr w:rsidR="00E403D6" w:rsidRPr="00F10391" w14:paraId="3B5C9F3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8811CEF" w14:textId="77777777" w:rsidR="00E403D6" w:rsidRPr="00F10391" w:rsidRDefault="00E403D6" w:rsidP="0063065F">
            <w:pPr>
              <w:jc w:val="left"/>
            </w:pPr>
            <w:r w:rsidRPr="00F10391">
              <w:t>04/03/08</w:t>
            </w:r>
          </w:p>
        </w:tc>
        <w:tc>
          <w:tcPr>
            <w:tcW w:w="2720" w:type="dxa"/>
            <w:tcBorders>
              <w:top w:val="nil"/>
              <w:left w:val="nil"/>
              <w:bottom w:val="single" w:sz="4" w:space="0" w:color="auto"/>
              <w:right w:val="single" w:sz="4" w:space="0" w:color="auto"/>
            </w:tcBorders>
            <w:shd w:val="clear" w:color="auto" w:fill="auto"/>
            <w:vAlign w:val="center"/>
            <w:hideMark/>
          </w:tcPr>
          <w:p w14:paraId="0C40057F" w14:textId="77777777" w:rsidR="00E403D6" w:rsidRPr="00F10391" w:rsidRDefault="00E403D6" w:rsidP="0063065F">
            <w:pPr>
              <w:jc w:val="left"/>
            </w:pPr>
            <w:r w:rsidRPr="00F10391">
              <w:t>Hospital And Operator Variations In Drug-Eluting Stent Use: A Multi-Level Analysis Of 5967 Consecutive Patients In Scotland.</w:t>
            </w:r>
          </w:p>
        </w:tc>
        <w:tc>
          <w:tcPr>
            <w:tcW w:w="1985" w:type="dxa"/>
            <w:tcBorders>
              <w:top w:val="nil"/>
              <w:left w:val="nil"/>
              <w:bottom w:val="single" w:sz="4" w:space="0" w:color="auto"/>
              <w:right w:val="single" w:sz="4" w:space="0" w:color="auto"/>
            </w:tcBorders>
            <w:shd w:val="clear" w:color="auto" w:fill="auto"/>
            <w:vAlign w:val="center"/>
            <w:hideMark/>
          </w:tcPr>
          <w:p w14:paraId="0F1F989B" w14:textId="77777777" w:rsidR="00E403D6" w:rsidRPr="00F10391" w:rsidRDefault="00E403D6" w:rsidP="0063065F">
            <w:pPr>
              <w:jc w:val="left"/>
            </w:pPr>
            <w:r w:rsidRPr="00F10391">
              <w:t>Austin D, Oldroyd Kg, Mcconnachie A, Slack R, Eteiba H, Flapan Ad, Jennings Kp, Northcote Rj, Pell Ac, Starkey Ir, Pell Jp.</w:t>
            </w:r>
          </w:p>
        </w:tc>
        <w:tc>
          <w:tcPr>
            <w:tcW w:w="2078" w:type="dxa"/>
            <w:tcBorders>
              <w:top w:val="nil"/>
              <w:left w:val="nil"/>
              <w:bottom w:val="single" w:sz="4" w:space="0" w:color="auto"/>
              <w:right w:val="single" w:sz="4" w:space="0" w:color="auto"/>
            </w:tcBorders>
            <w:shd w:val="clear" w:color="auto" w:fill="auto"/>
            <w:vAlign w:val="center"/>
            <w:hideMark/>
          </w:tcPr>
          <w:p w14:paraId="4A2E2004" w14:textId="77777777" w:rsidR="00E403D6" w:rsidRPr="00F10391" w:rsidRDefault="00E403D6" w:rsidP="0063065F">
            <w:pPr>
              <w:jc w:val="left"/>
            </w:pPr>
            <w:r w:rsidRPr="00F10391">
              <w:t>J Public Health (Oxf). 2008 Jun;30(2):186-93. Doi: 10.1093/Pubmed/Fdn016. Epub 2008 Feb 29.</w:t>
            </w:r>
          </w:p>
        </w:tc>
        <w:tc>
          <w:tcPr>
            <w:tcW w:w="862" w:type="dxa"/>
            <w:tcBorders>
              <w:top w:val="nil"/>
              <w:left w:val="nil"/>
              <w:bottom w:val="single" w:sz="4" w:space="0" w:color="auto"/>
              <w:right w:val="single" w:sz="4" w:space="0" w:color="auto"/>
            </w:tcBorders>
            <w:shd w:val="clear" w:color="auto" w:fill="auto"/>
            <w:noWrap/>
            <w:vAlign w:val="center"/>
            <w:hideMark/>
          </w:tcPr>
          <w:p w14:paraId="668F0BA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8BEC31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94FE0E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8743F6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EB06C4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1373CF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F2B4AD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AE20167" w14:textId="77777777" w:rsidR="00E403D6" w:rsidRPr="00F10391" w:rsidRDefault="00E403D6">
            <w:r w:rsidRPr="00F10391">
              <w:t>Not found</w:t>
            </w:r>
          </w:p>
        </w:tc>
      </w:tr>
      <w:tr w:rsidR="00E403D6" w:rsidRPr="00F10391" w14:paraId="7A3ACC0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54CFCD" w14:textId="77777777" w:rsidR="00E403D6" w:rsidRPr="00F10391" w:rsidRDefault="00E403D6" w:rsidP="0063065F">
            <w:pPr>
              <w:jc w:val="left"/>
            </w:pPr>
            <w:r w:rsidRPr="00F10391">
              <w:t>15/03/08</w:t>
            </w:r>
          </w:p>
        </w:tc>
        <w:tc>
          <w:tcPr>
            <w:tcW w:w="2720" w:type="dxa"/>
            <w:tcBorders>
              <w:top w:val="nil"/>
              <w:left w:val="nil"/>
              <w:bottom w:val="single" w:sz="4" w:space="0" w:color="auto"/>
              <w:right w:val="single" w:sz="4" w:space="0" w:color="auto"/>
            </w:tcBorders>
            <w:shd w:val="clear" w:color="auto" w:fill="auto"/>
            <w:vAlign w:val="center"/>
            <w:hideMark/>
          </w:tcPr>
          <w:p w14:paraId="2FB4EEF9" w14:textId="77777777" w:rsidR="00E403D6" w:rsidRPr="00F10391" w:rsidRDefault="00E403D6" w:rsidP="0063065F">
            <w:pPr>
              <w:jc w:val="left"/>
            </w:pPr>
            <w:r w:rsidRPr="00F10391">
              <w:t>Charting A Path For Innovative Toilet Technology Using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4B4097E7" w14:textId="77777777" w:rsidR="00E403D6" w:rsidRPr="00F10391" w:rsidRDefault="00E403D6" w:rsidP="0063065F">
            <w:pPr>
              <w:jc w:val="left"/>
            </w:pPr>
            <w:r w:rsidRPr="00F10391">
              <w:t>Borsuk, Mark E.; Maurer, Max; Lienert, Judit; Larsen, Tove A.</w:t>
            </w:r>
          </w:p>
        </w:tc>
        <w:tc>
          <w:tcPr>
            <w:tcW w:w="2078" w:type="dxa"/>
            <w:tcBorders>
              <w:top w:val="nil"/>
              <w:left w:val="nil"/>
              <w:bottom w:val="single" w:sz="4" w:space="0" w:color="auto"/>
              <w:right w:val="single" w:sz="4" w:space="0" w:color="auto"/>
            </w:tcBorders>
            <w:shd w:val="clear" w:color="auto" w:fill="auto"/>
            <w:vAlign w:val="center"/>
            <w:hideMark/>
          </w:tcPr>
          <w:p w14:paraId="081063C5" w14:textId="77777777" w:rsidR="00E403D6" w:rsidRPr="00F10391" w:rsidRDefault="00E403D6" w:rsidP="0063065F">
            <w:pPr>
              <w:jc w:val="left"/>
            </w:pPr>
            <w:r w:rsidRPr="00F10391">
              <w:t>Environmental Science &amp; Technology. 2008;42(6):1855-1862</w:t>
            </w:r>
          </w:p>
        </w:tc>
        <w:tc>
          <w:tcPr>
            <w:tcW w:w="862" w:type="dxa"/>
            <w:tcBorders>
              <w:top w:val="nil"/>
              <w:left w:val="nil"/>
              <w:bottom w:val="single" w:sz="4" w:space="0" w:color="auto"/>
              <w:right w:val="single" w:sz="4" w:space="0" w:color="auto"/>
            </w:tcBorders>
            <w:shd w:val="clear" w:color="auto" w:fill="auto"/>
            <w:noWrap/>
            <w:vAlign w:val="center"/>
            <w:hideMark/>
          </w:tcPr>
          <w:p w14:paraId="77D030C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8ECA66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9B7876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D2E5D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5C85E8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2DEDFF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B43FEA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A8CE505" w14:textId="77777777" w:rsidR="00E403D6" w:rsidRPr="00F10391" w:rsidRDefault="00E403D6">
            <w:r w:rsidRPr="00F10391">
              <w:t>Excluded</w:t>
            </w:r>
          </w:p>
        </w:tc>
      </w:tr>
      <w:tr w:rsidR="00E403D6" w:rsidRPr="00F10391" w14:paraId="2CE51E3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B11E60" w14:textId="77777777" w:rsidR="00E403D6" w:rsidRPr="00F10391" w:rsidRDefault="00E403D6" w:rsidP="0063065F">
            <w:pPr>
              <w:jc w:val="left"/>
            </w:pPr>
            <w:r w:rsidRPr="00F10391">
              <w:t>01/04/08</w:t>
            </w:r>
          </w:p>
        </w:tc>
        <w:tc>
          <w:tcPr>
            <w:tcW w:w="2720" w:type="dxa"/>
            <w:tcBorders>
              <w:top w:val="nil"/>
              <w:left w:val="nil"/>
              <w:bottom w:val="single" w:sz="4" w:space="0" w:color="auto"/>
              <w:right w:val="single" w:sz="4" w:space="0" w:color="auto"/>
            </w:tcBorders>
            <w:shd w:val="clear" w:color="auto" w:fill="auto"/>
            <w:vAlign w:val="center"/>
            <w:hideMark/>
          </w:tcPr>
          <w:p w14:paraId="71E724CF" w14:textId="77777777" w:rsidR="00E403D6" w:rsidRPr="00F10391" w:rsidRDefault="00E403D6" w:rsidP="0063065F">
            <w:pPr>
              <w:jc w:val="left"/>
            </w:pPr>
            <w:r w:rsidRPr="00F10391">
              <w:t>Combining Gis With Fuzzy Multicriteria Decision-Making For Landfill Siting In A Fast-Growing Urban Region</w:t>
            </w:r>
          </w:p>
        </w:tc>
        <w:tc>
          <w:tcPr>
            <w:tcW w:w="1985" w:type="dxa"/>
            <w:tcBorders>
              <w:top w:val="nil"/>
              <w:left w:val="nil"/>
              <w:bottom w:val="single" w:sz="4" w:space="0" w:color="auto"/>
              <w:right w:val="single" w:sz="4" w:space="0" w:color="auto"/>
            </w:tcBorders>
            <w:shd w:val="clear" w:color="auto" w:fill="auto"/>
            <w:vAlign w:val="center"/>
            <w:hideMark/>
          </w:tcPr>
          <w:p w14:paraId="4B7C1488" w14:textId="77777777" w:rsidR="00E403D6" w:rsidRPr="00F10391" w:rsidRDefault="00E403D6" w:rsidP="0063065F">
            <w:pPr>
              <w:jc w:val="left"/>
            </w:pPr>
            <w:r w:rsidRPr="00F10391">
              <w:t>Chang, Ni-Bin; Parvathinathan, G.; Breeden, Jeff B.</w:t>
            </w:r>
          </w:p>
        </w:tc>
        <w:tc>
          <w:tcPr>
            <w:tcW w:w="2078" w:type="dxa"/>
            <w:tcBorders>
              <w:top w:val="nil"/>
              <w:left w:val="nil"/>
              <w:bottom w:val="single" w:sz="4" w:space="0" w:color="auto"/>
              <w:right w:val="single" w:sz="4" w:space="0" w:color="auto"/>
            </w:tcBorders>
            <w:shd w:val="clear" w:color="auto" w:fill="auto"/>
            <w:vAlign w:val="center"/>
            <w:hideMark/>
          </w:tcPr>
          <w:p w14:paraId="722C7EA5" w14:textId="77777777" w:rsidR="00E403D6" w:rsidRPr="00F10391" w:rsidRDefault="00E403D6" w:rsidP="0063065F">
            <w:pPr>
              <w:jc w:val="left"/>
            </w:pPr>
            <w:r w:rsidRPr="00F10391">
              <w:t>Journal Of Environmental Management. 2008;87(1):139-153</w:t>
            </w:r>
          </w:p>
        </w:tc>
        <w:tc>
          <w:tcPr>
            <w:tcW w:w="862" w:type="dxa"/>
            <w:tcBorders>
              <w:top w:val="nil"/>
              <w:left w:val="nil"/>
              <w:bottom w:val="single" w:sz="4" w:space="0" w:color="auto"/>
              <w:right w:val="single" w:sz="4" w:space="0" w:color="auto"/>
            </w:tcBorders>
            <w:shd w:val="clear" w:color="auto" w:fill="auto"/>
            <w:noWrap/>
            <w:vAlign w:val="center"/>
            <w:hideMark/>
          </w:tcPr>
          <w:p w14:paraId="3003669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D83A95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F052DF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4C0A2F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388F7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DE552E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1AA2D1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89024EB" w14:textId="77777777" w:rsidR="00E403D6" w:rsidRPr="00F10391" w:rsidRDefault="00E403D6">
            <w:r w:rsidRPr="00F10391">
              <w:t>Excluded</w:t>
            </w:r>
          </w:p>
        </w:tc>
      </w:tr>
      <w:tr w:rsidR="00E403D6" w:rsidRPr="00F10391" w14:paraId="0806A1B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CC60650" w14:textId="77777777" w:rsidR="00E403D6" w:rsidRPr="00F10391" w:rsidRDefault="00E403D6" w:rsidP="0063065F">
            <w:pPr>
              <w:jc w:val="left"/>
            </w:pPr>
            <w:r w:rsidRPr="00F10391">
              <w:t>17/04/08</w:t>
            </w:r>
          </w:p>
        </w:tc>
        <w:tc>
          <w:tcPr>
            <w:tcW w:w="2720" w:type="dxa"/>
            <w:tcBorders>
              <w:top w:val="nil"/>
              <w:left w:val="nil"/>
              <w:bottom w:val="single" w:sz="4" w:space="0" w:color="auto"/>
              <w:right w:val="single" w:sz="4" w:space="0" w:color="auto"/>
            </w:tcBorders>
            <w:shd w:val="clear" w:color="auto" w:fill="auto"/>
            <w:vAlign w:val="center"/>
            <w:hideMark/>
          </w:tcPr>
          <w:p w14:paraId="03ED2A72" w14:textId="77777777" w:rsidR="00E403D6" w:rsidRPr="00F10391" w:rsidRDefault="00E403D6" w:rsidP="0063065F">
            <w:pPr>
              <w:jc w:val="left"/>
            </w:pPr>
            <w:r w:rsidRPr="00F10391">
              <w:t>Patient Expectations Are Not Always The Same.</w:t>
            </w:r>
          </w:p>
        </w:tc>
        <w:tc>
          <w:tcPr>
            <w:tcW w:w="1985" w:type="dxa"/>
            <w:tcBorders>
              <w:top w:val="nil"/>
              <w:left w:val="nil"/>
              <w:bottom w:val="single" w:sz="4" w:space="0" w:color="auto"/>
              <w:right w:val="single" w:sz="4" w:space="0" w:color="auto"/>
            </w:tcBorders>
            <w:shd w:val="clear" w:color="auto" w:fill="auto"/>
            <w:vAlign w:val="center"/>
            <w:hideMark/>
          </w:tcPr>
          <w:p w14:paraId="3C8202CC" w14:textId="77777777" w:rsidR="00E403D6" w:rsidRPr="005D7324" w:rsidRDefault="00FC1DDE" w:rsidP="0063065F">
            <w:pPr>
              <w:jc w:val="left"/>
            </w:pPr>
            <w:r w:rsidRPr="005D7324">
              <w:t>Delgado A, Andres Lopez-Fernan</w:t>
            </w:r>
            <w:r w:rsidR="00E403D6" w:rsidRPr="005D7324">
              <w:t>dez</w:t>
            </w:r>
            <w:r w:rsidRPr="005D7324">
              <w:t xml:space="preserve"> L, De Dios Luna J, Gil N, Jimenez</w:t>
            </w:r>
            <w:r w:rsidR="00E403D6" w:rsidRPr="005D7324">
              <w:t xml:space="preserve"> M, Puga A.</w:t>
            </w:r>
          </w:p>
        </w:tc>
        <w:tc>
          <w:tcPr>
            <w:tcW w:w="2078" w:type="dxa"/>
            <w:tcBorders>
              <w:top w:val="nil"/>
              <w:left w:val="nil"/>
              <w:bottom w:val="single" w:sz="4" w:space="0" w:color="auto"/>
              <w:right w:val="single" w:sz="4" w:space="0" w:color="auto"/>
            </w:tcBorders>
            <w:shd w:val="clear" w:color="auto" w:fill="auto"/>
            <w:vAlign w:val="center"/>
            <w:hideMark/>
          </w:tcPr>
          <w:p w14:paraId="62B22C77" w14:textId="77777777" w:rsidR="00E403D6" w:rsidRPr="00F10391" w:rsidRDefault="00E403D6" w:rsidP="0063065F">
            <w:pPr>
              <w:jc w:val="left"/>
            </w:pPr>
            <w:r w:rsidRPr="00F10391">
              <w:t>J Epidemiol Community Health. 2008 May;62(5):427-34. Doi: 10.1136/Jech.2007.060095.</w:t>
            </w:r>
          </w:p>
        </w:tc>
        <w:tc>
          <w:tcPr>
            <w:tcW w:w="862" w:type="dxa"/>
            <w:tcBorders>
              <w:top w:val="nil"/>
              <w:left w:val="nil"/>
              <w:bottom w:val="single" w:sz="4" w:space="0" w:color="auto"/>
              <w:right w:val="single" w:sz="4" w:space="0" w:color="auto"/>
            </w:tcBorders>
            <w:shd w:val="clear" w:color="auto" w:fill="auto"/>
            <w:noWrap/>
            <w:vAlign w:val="center"/>
            <w:hideMark/>
          </w:tcPr>
          <w:p w14:paraId="6860C1B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2F3BC2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B8612F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93403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1247D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5A7A6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3170BA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626C2A9" w14:textId="77777777" w:rsidR="00E403D6" w:rsidRPr="00F10391" w:rsidRDefault="00E403D6">
            <w:r w:rsidRPr="00F10391">
              <w:t>Not found</w:t>
            </w:r>
          </w:p>
        </w:tc>
      </w:tr>
      <w:tr w:rsidR="00E403D6" w:rsidRPr="00F10391" w14:paraId="6387148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175C40B" w14:textId="77777777" w:rsidR="00E403D6" w:rsidRPr="00F10391" w:rsidRDefault="00E403D6" w:rsidP="0063065F">
            <w:pPr>
              <w:jc w:val="left"/>
            </w:pPr>
            <w:r w:rsidRPr="00F10391">
              <w:t>20/04/08</w:t>
            </w:r>
          </w:p>
        </w:tc>
        <w:tc>
          <w:tcPr>
            <w:tcW w:w="2720" w:type="dxa"/>
            <w:tcBorders>
              <w:top w:val="nil"/>
              <w:left w:val="nil"/>
              <w:bottom w:val="single" w:sz="4" w:space="0" w:color="auto"/>
              <w:right w:val="single" w:sz="4" w:space="0" w:color="auto"/>
            </w:tcBorders>
            <w:shd w:val="clear" w:color="auto" w:fill="auto"/>
            <w:vAlign w:val="center"/>
            <w:hideMark/>
          </w:tcPr>
          <w:p w14:paraId="1DEE8B14" w14:textId="77777777" w:rsidR="00E403D6" w:rsidRPr="00F10391" w:rsidRDefault="00E403D6" w:rsidP="0063065F">
            <w:pPr>
              <w:jc w:val="left"/>
            </w:pPr>
            <w:r w:rsidRPr="00F10391">
              <w:t>Population Viability Risk Management (</w:t>
            </w:r>
            <w:r w:rsidR="00FC1DDE" w:rsidRPr="00F10391">
              <w:t>PVRM</w:t>
            </w:r>
            <w:r w:rsidRPr="00F10391">
              <w:t>) For In Situ Management Of Endangered Tree Species - A Case Study On A Taxus Baccata L. Population</w:t>
            </w:r>
          </w:p>
        </w:tc>
        <w:tc>
          <w:tcPr>
            <w:tcW w:w="1985" w:type="dxa"/>
            <w:tcBorders>
              <w:top w:val="nil"/>
              <w:left w:val="nil"/>
              <w:bottom w:val="single" w:sz="4" w:space="0" w:color="auto"/>
              <w:right w:val="single" w:sz="4" w:space="0" w:color="auto"/>
            </w:tcBorders>
            <w:shd w:val="clear" w:color="auto" w:fill="auto"/>
            <w:vAlign w:val="center"/>
            <w:hideMark/>
          </w:tcPr>
          <w:p w14:paraId="635A30C4" w14:textId="77777777" w:rsidR="00E403D6" w:rsidRPr="00F10391" w:rsidRDefault="00E403D6" w:rsidP="0063065F">
            <w:pPr>
              <w:jc w:val="left"/>
            </w:pPr>
            <w:r w:rsidRPr="00F10391">
              <w:t>Dhar, Amalesh; Ruprecht, Herwig; Vacik, Harald</w:t>
            </w:r>
          </w:p>
        </w:tc>
        <w:tc>
          <w:tcPr>
            <w:tcW w:w="2078" w:type="dxa"/>
            <w:tcBorders>
              <w:top w:val="nil"/>
              <w:left w:val="nil"/>
              <w:bottom w:val="single" w:sz="4" w:space="0" w:color="auto"/>
              <w:right w:val="single" w:sz="4" w:space="0" w:color="auto"/>
            </w:tcBorders>
            <w:shd w:val="clear" w:color="auto" w:fill="auto"/>
            <w:vAlign w:val="center"/>
            <w:hideMark/>
          </w:tcPr>
          <w:p w14:paraId="160DC4E2" w14:textId="77777777" w:rsidR="00E403D6" w:rsidRPr="00F10391" w:rsidRDefault="00E403D6" w:rsidP="0063065F">
            <w:pPr>
              <w:jc w:val="left"/>
            </w:pPr>
            <w:r w:rsidRPr="00F10391">
              <w:t>Forest Ecology And Management. 2008;255(7):2835-2845</w:t>
            </w:r>
          </w:p>
        </w:tc>
        <w:tc>
          <w:tcPr>
            <w:tcW w:w="862" w:type="dxa"/>
            <w:tcBorders>
              <w:top w:val="nil"/>
              <w:left w:val="nil"/>
              <w:bottom w:val="single" w:sz="4" w:space="0" w:color="auto"/>
              <w:right w:val="single" w:sz="4" w:space="0" w:color="auto"/>
            </w:tcBorders>
            <w:shd w:val="clear" w:color="auto" w:fill="auto"/>
            <w:noWrap/>
            <w:vAlign w:val="center"/>
            <w:hideMark/>
          </w:tcPr>
          <w:p w14:paraId="2946BCA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9C07FD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8F4B91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F6D6F5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4560B9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408752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383415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D6DACB3" w14:textId="77777777" w:rsidR="00E403D6" w:rsidRPr="00F10391" w:rsidRDefault="00E403D6">
            <w:r w:rsidRPr="00F10391">
              <w:t>Excluded</w:t>
            </w:r>
          </w:p>
        </w:tc>
      </w:tr>
      <w:tr w:rsidR="00E403D6" w:rsidRPr="00F10391" w14:paraId="6AD55DF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02CA15E" w14:textId="77777777" w:rsidR="00E403D6" w:rsidRPr="00F10391" w:rsidRDefault="00E403D6" w:rsidP="0063065F">
            <w:pPr>
              <w:jc w:val="left"/>
            </w:pPr>
            <w:r w:rsidRPr="00F10391">
              <w:t>23/04/08</w:t>
            </w:r>
          </w:p>
        </w:tc>
        <w:tc>
          <w:tcPr>
            <w:tcW w:w="2720" w:type="dxa"/>
            <w:tcBorders>
              <w:top w:val="nil"/>
              <w:left w:val="nil"/>
              <w:bottom w:val="single" w:sz="4" w:space="0" w:color="auto"/>
              <w:right w:val="single" w:sz="4" w:space="0" w:color="auto"/>
            </w:tcBorders>
            <w:shd w:val="clear" w:color="auto" w:fill="auto"/>
            <w:vAlign w:val="center"/>
            <w:hideMark/>
          </w:tcPr>
          <w:p w14:paraId="5B3770CF" w14:textId="77777777" w:rsidR="00E403D6" w:rsidRPr="00F10391" w:rsidRDefault="00E403D6" w:rsidP="0063065F">
            <w:pPr>
              <w:jc w:val="left"/>
            </w:pPr>
            <w:r w:rsidRPr="00F10391">
              <w:t>Introducing Priority Setting And Resource Allocation In Home And Community Care Programs.</w:t>
            </w:r>
          </w:p>
        </w:tc>
        <w:tc>
          <w:tcPr>
            <w:tcW w:w="1985" w:type="dxa"/>
            <w:tcBorders>
              <w:top w:val="nil"/>
              <w:left w:val="nil"/>
              <w:bottom w:val="single" w:sz="4" w:space="0" w:color="auto"/>
              <w:right w:val="single" w:sz="4" w:space="0" w:color="auto"/>
            </w:tcBorders>
            <w:shd w:val="clear" w:color="auto" w:fill="auto"/>
            <w:vAlign w:val="center"/>
            <w:hideMark/>
          </w:tcPr>
          <w:p w14:paraId="78EF90FC" w14:textId="77777777" w:rsidR="00E403D6" w:rsidRPr="00F10391" w:rsidRDefault="00E403D6" w:rsidP="0063065F">
            <w:pPr>
              <w:jc w:val="left"/>
            </w:pPr>
            <w:r w:rsidRPr="00F10391">
              <w:t>Urquhart B, Mitton C, Peacock S.</w:t>
            </w:r>
          </w:p>
        </w:tc>
        <w:tc>
          <w:tcPr>
            <w:tcW w:w="2078" w:type="dxa"/>
            <w:tcBorders>
              <w:top w:val="nil"/>
              <w:left w:val="nil"/>
              <w:bottom w:val="single" w:sz="4" w:space="0" w:color="auto"/>
              <w:right w:val="single" w:sz="4" w:space="0" w:color="auto"/>
            </w:tcBorders>
            <w:shd w:val="clear" w:color="auto" w:fill="auto"/>
            <w:vAlign w:val="center"/>
            <w:hideMark/>
          </w:tcPr>
          <w:p w14:paraId="199A00F2" w14:textId="77777777" w:rsidR="00E403D6" w:rsidRPr="00F10391" w:rsidRDefault="00E403D6" w:rsidP="0063065F">
            <w:pPr>
              <w:jc w:val="left"/>
            </w:pPr>
            <w:r w:rsidRPr="00F10391">
              <w:t>J Health Serv Res Policy. 2008 Jan;13 Suppl 1:41-5. Doi: 10.1258/Jhsrp.2007.007064.</w:t>
            </w:r>
          </w:p>
        </w:tc>
        <w:tc>
          <w:tcPr>
            <w:tcW w:w="862" w:type="dxa"/>
            <w:tcBorders>
              <w:top w:val="nil"/>
              <w:left w:val="nil"/>
              <w:bottom w:val="single" w:sz="4" w:space="0" w:color="auto"/>
              <w:right w:val="single" w:sz="4" w:space="0" w:color="auto"/>
            </w:tcBorders>
            <w:shd w:val="clear" w:color="auto" w:fill="auto"/>
            <w:noWrap/>
            <w:vAlign w:val="center"/>
            <w:hideMark/>
          </w:tcPr>
          <w:p w14:paraId="4422FEE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D98FC1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10AFB7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D5D84D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7BDA43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528F3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74D807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345E0FF" w14:textId="77777777" w:rsidR="00E403D6" w:rsidRPr="00F10391" w:rsidRDefault="00E403D6">
            <w:r w:rsidRPr="00F10391">
              <w:t>Excluded</w:t>
            </w:r>
          </w:p>
        </w:tc>
      </w:tr>
      <w:tr w:rsidR="00E403D6" w:rsidRPr="00F10391" w14:paraId="1364DBC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682C9F0" w14:textId="77777777" w:rsidR="00E403D6" w:rsidRPr="00F10391" w:rsidRDefault="00E403D6" w:rsidP="0063065F">
            <w:pPr>
              <w:jc w:val="left"/>
            </w:pPr>
            <w:r w:rsidRPr="00F10391">
              <w:t>24/06/08</w:t>
            </w:r>
          </w:p>
        </w:tc>
        <w:tc>
          <w:tcPr>
            <w:tcW w:w="2720" w:type="dxa"/>
            <w:tcBorders>
              <w:top w:val="nil"/>
              <w:left w:val="nil"/>
              <w:bottom w:val="single" w:sz="4" w:space="0" w:color="auto"/>
              <w:right w:val="single" w:sz="4" w:space="0" w:color="auto"/>
            </w:tcBorders>
            <w:shd w:val="clear" w:color="auto" w:fill="auto"/>
            <w:vAlign w:val="center"/>
            <w:hideMark/>
          </w:tcPr>
          <w:p w14:paraId="3289C3BF" w14:textId="77777777" w:rsidR="00E403D6" w:rsidRPr="00F10391" w:rsidRDefault="00E403D6" w:rsidP="0063065F">
            <w:pPr>
              <w:jc w:val="left"/>
            </w:pPr>
            <w:r w:rsidRPr="00F10391">
              <w:t>Air Pollution Risk Estimates: Determinants Of Heterogeneity.</w:t>
            </w:r>
          </w:p>
        </w:tc>
        <w:tc>
          <w:tcPr>
            <w:tcW w:w="1985" w:type="dxa"/>
            <w:tcBorders>
              <w:top w:val="nil"/>
              <w:left w:val="nil"/>
              <w:bottom w:val="single" w:sz="4" w:space="0" w:color="auto"/>
              <w:right w:val="single" w:sz="4" w:space="0" w:color="auto"/>
            </w:tcBorders>
            <w:shd w:val="clear" w:color="auto" w:fill="auto"/>
            <w:vAlign w:val="center"/>
            <w:hideMark/>
          </w:tcPr>
          <w:p w14:paraId="6A273BC5" w14:textId="77777777" w:rsidR="00E403D6" w:rsidRPr="00F10391" w:rsidRDefault="00E403D6" w:rsidP="0063065F">
            <w:pPr>
              <w:jc w:val="left"/>
            </w:pPr>
            <w:r w:rsidRPr="00F10391">
              <w:t>Samet Jm.</w:t>
            </w:r>
          </w:p>
        </w:tc>
        <w:tc>
          <w:tcPr>
            <w:tcW w:w="2078" w:type="dxa"/>
            <w:tcBorders>
              <w:top w:val="nil"/>
              <w:left w:val="nil"/>
              <w:bottom w:val="single" w:sz="4" w:space="0" w:color="auto"/>
              <w:right w:val="single" w:sz="4" w:space="0" w:color="auto"/>
            </w:tcBorders>
            <w:shd w:val="clear" w:color="auto" w:fill="auto"/>
            <w:vAlign w:val="center"/>
            <w:hideMark/>
          </w:tcPr>
          <w:p w14:paraId="7E2CD60B" w14:textId="77777777" w:rsidR="00E403D6" w:rsidRPr="00F10391" w:rsidRDefault="00E403D6" w:rsidP="0063065F">
            <w:pPr>
              <w:jc w:val="left"/>
            </w:pPr>
            <w:r w:rsidRPr="00F10391">
              <w:t>J Toxicol Environ Health A. 2008;71(9-10):578-82. Doi: 10.1080/15287390801997666. Review.</w:t>
            </w:r>
          </w:p>
        </w:tc>
        <w:tc>
          <w:tcPr>
            <w:tcW w:w="862" w:type="dxa"/>
            <w:tcBorders>
              <w:top w:val="nil"/>
              <w:left w:val="nil"/>
              <w:bottom w:val="single" w:sz="4" w:space="0" w:color="auto"/>
              <w:right w:val="single" w:sz="4" w:space="0" w:color="auto"/>
            </w:tcBorders>
            <w:shd w:val="clear" w:color="auto" w:fill="auto"/>
            <w:noWrap/>
            <w:vAlign w:val="center"/>
            <w:hideMark/>
          </w:tcPr>
          <w:p w14:paraId="191C704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30B956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E6E785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0A796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DFD37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C113F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226BA8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2CD91F3" w14:textId="77777777" w:rsidR="00E403D6" w:rsidRPr="00F10391" w:rsidRDefault="00E403D6">
            <w:r w:rsidRPr="00F10391">
              <w:t>Not found</w:t>
            </w:r>
          </w:p>
        </w:tc>
      </w:tr>
      <w:tr w:rsidR="00E403D6" w:rsidRPr="00F10391" w14:paraId="303BE79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F4FA26E" w14:textId="77777777" w:rsidR="00E403D6" w:rsidRPr="00F10391" w:rsidRDefault="00E403D6" w:rsidP="0063065F">
            <w:pPr>
              <w:jc w:val="left"/>
            </w:pPr>
            <w:r w:rsidRPr="00F10391">
              <w:t>30/07/08</w:t>
            </w:r>
          </w:p>
        </w:tc>
        <w:tc>
          <w:tcPr>
            <w:tcW w:w="2720" w:type="dxa"/>
            <w:tcBorders>
              <w:top w:val="nil"/>
              <w:left w:val="nil"/>
              <w:bottom w:val="single" w:sz="4" w:space="0" w:color="auto"/>
              <w:right w:val="single" w:sz="4" w:space="0" w:color="auto"/>
            </w:tcBorders>
            <w:shd w:val="clear" w:color="auto" w:fill="auto"/>
            <w:vAlign w:val="center"/>
            <w:hideMark/>
          </w:tcPr>
          <w:p w14:paraId="4D172097" w14:textId="77777777" w:rsidR="00E403D6" w:rsidRPr="00F10391" w:rsidRDefault="00E403D6" w:rsidP="0063065F">
            <w:pPr>
              <w:jc w:val="left"/>
            </w:pPr>
            <w:r w:rsidRPr="00F10391">
              <w:t>Policy Options For Obesity In Europe: A Comparison Of Public Health Specialists With Other Stakeholders.</w:t>
            </w:r>
          </w:p>
        </w:tc>
        <w:tc>
          <w:tcPr>
            <w:tcW w:w="1985" w:type="dxa"/>
            <w:tcBorders>
              <w:top w:val="nil"/>
              <w:left w:val="nil"/>
              <w:bottom w:val="single" w:sz="4" w:space="0" w:color="auto"/>
              <w:right w:val="single" w:sz="4" w:space="0" w:color="auto"/>
            </w:tcBorders>
            <w:shd w:val="clear" w:color="auto" w:fill="auto"/>
            <w:vAlign w:val="center"/>
            <w:hideMark/>
          </w:tcPr>
          <w:p w14:paraId="0B4A1767" w14:textId="77777777" w:rsidR="00E403D6" w:rsidRPr="00F10391" w:rsidRDefault="00FC1DDE" w:rsidP="0063065F">
            <w:pPr>
              <w:jc w:val="left"/>
            </w:pPr>
            <w:r w:rsidRPr="00F10391">
              <w:t>Gonzalez</w:t>
            </w:r>
            <w:r w:rsidR="00E403D6" w:rsidRPr="00F10391">
              <w:t>-Zapata Li, Alvarez-Dardet C, Ortiz-Moncada R, Clemente V, Millstone E, Holdsworth M, Sarri K, Tarlao G, Horvath Z, Lobstein T, Savva S.</w:t>
            </w:r>
          </w:p>
        </w:tc>
        <w:tc>
          <w:tcPr>
            <w:tcW w:w="2078" w:type="dxa"/>
            <w:tcBorders>
              <w:top w:val="nil"/>
              <w:left w:val="nil"/>
              <w:bottom w:val="single" w:sz="4" w:space="0" w:color="auto"/>
              <w:right w:val="single" w:sz="4" w:space="0" w:color="auto"/>
            </w:tcBorders>
            <w:shd w:val="clear" w:color="auto" w:fill="auto"/>
            <w:vAlign w:val="center"/>
            <w:hideMark/>
          </w:tcPr>
          <w:p w14:paraId="34707607" w14:textId="77777777" w:rsidR="00E403D6" w:rsidRPr="00F10391" w:rsidRDefault="00E403D6" w:rsidP="0063065F">
            <w:pPr>
              <w:jc w:val="left"/>
            </w:pPr>
            <w:r w:rsidRPr="00F10391">
              <w:t>Public Health Nutr. 2009 Jul;12(7):896-908. Doi: 10.1017/S136898000800308X. Epub 2008 Jul 29.</w:t>
            </w:r>
          </w:p>
        </w:tc>
        <w:tc>
          <w:tcPr>
            <w:tcW w:w="862" w:type="dxa"/>
            <w:tcBorders>
              <w:top w:val="nil"/>
              <w:left w:val="nil"/>
              <w:bottom w:val="single" w:sz="4" w:space="0" w:color="auto"/>
              <w:right w:val="single" w:sz="4" w:space="0" w:color="auto"/>
            </w:tcBorders>
            <w:shd w:val="clear" w:color="auto" w:fill="auto"/>
            <w:noWrap/>
            <w:vAlign w:val="center"/>
            <w:hideMark/>
          </w:tcPr>
          <w:p w14:paraId="596CB97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B13082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42CB3C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F9E3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A93CD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98F936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4163F4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485E8AC" w14:textId="77777777" w:rsidR="00E403D6" w:rsidRPr="00F10391" w:rsidRDefault="00E403D6">
            <w:r w:rsidRPr="00F10391">
              <w:t>Not found</w:t>
            </w:r>
          </w:p>
        </w:tc>
      </w:tr>
      <w:tr w:rsidR="00E403D6" w:rsidRPr="00F10391" w14:paraId="38B1A2D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2FCB1F" w14:textId="77777777" w:rsidR="00E403D6" w:rsidRPr="00F10391" w:rsidRDefault="00E403D6" w:rsidP="0063065F">
            <w:pPr>
              <w:jc w:val="left"/>
            </w:pPr>
            <w:r w:rsidRPr="00F10391">
              <w:t>03/10/08</w:t>
            </w:r>
          </w:p>
        </w:tc>
        <w:tc>
          <w:tcPr>
            <w:tcW w:w="2720" w:type="dxa"/>
            <w:tcBorders>
              <w:top w:val="nil"/>
              <w:left w:val="nil"/>
              <w:bottom w:val="single" w:sz="4" w:space="0" w:color="auto"/>
              <w:right w:val="single" w:sz="4" w:space="0" w:color="auto"/>
            </w:tcBorders>
            <w:shd w:val="clear" w:color="auto" w:fill="auto"/>
            <w:vAlign w:val="center"/>
            <w:hideMark/>
          </w:tcPr>
          <w:p w14:paraId="15901A23" w14:textId="77777777" w:rsidR="00E403D6" w:rsidRPr="00F10391" w:rsidRDefault="00E403D6" w:rsidP="0063065F">
            <w:pPr>
              <w:jc w:val="left"/>
            </w:pPr>
            <w:r w:rsidRPr="00F10391">
              <w:t>Variability And Predictors Of Changes In Water Use During Pregnancy.</w:t>
            </w:r>
          </w:p>
        </w:tc>
        <w:tc>
          <w:tcPr>
            <w:tcW w:w="1985" w:type="dxa"/>
            <w:tcBorders>
              <w:top w:val="nil"/>
              <w:left w:val="nil"/>
              <w:bottom w:val="single" w:sz="4" w:space="0" w:color="auto"/>
              <w:right w:val="single" w:sz="4" w:space="0" w:color="auto"/>
            </w:tcBorders>
            <w:shd w:val="clear" w:color="auto" w:fill="auto"/>
            <w:vAlign w:val="center"/>
            <w:hideMark/>
          </w:tcPr>
          <w:p w14:paraId="54477B31" w14:textId="77777777" w:rsidR="00E403D6" w:rsidRPr="00F10391" w:rsidRDefault="00FC1DDE" w:rsidP="0063065F">
            <w:pPr>
              <w:jc w:val="left"/>
            </w:pPr>
            <w:r w:rsidRPr="00F10391">
              <w:t>Forssen Um, Wright Jm, Herring Ah, Savitz Da, Nieuwenhuijsen Mj, Murphy Pa.</w:t>
            </w:r>
          </w:p>
        </w:tc>
        <w:tc>
          <w:tcPr>
            <w:tcW w:w="2078" w:type="dxa"/>
            <w:tcBorders>
              <w:top w:val="nil"/>
              <w:left w:val="nil"/>
              <w:bottom w:val="single" w:sz="4" w:space="0" w:color="auto"/>
              <w:right w:val="single" w:sz="4" w:space="0" w:color="auto"/>
            </w:tcBorders>
            <w:shd w:val="clear" w:color="auto" w:fill="auto"/>
            <w:vAlign w:val="center"/>
            <w:hideMark/>
          </w:tcPr>
          <w:p w14:paraId="554DF5C5" w14:textId="77777777" w:rsidR="00E403D6" w:rsidRPr="00F10391" w:rsidRDefault="00E403D6" w:rsidP="0063065F">
            <w:pPr>
              <w:jc w:val="left"/>
            </w:pPr>
            <w:r w:rsidRPr="005D7324">
              <w:t xml:space="preserve">J Expo Sci Environ Epidemiol. </w:t>
            </w:r>
            <w:r w:rsidRPr="00F10391">
              <w:t>2009 Sep;19(6):593-602. Doi: 10.1038/Jes.2008.59. Epub 2008 Oct 1.</w:t>
            </w:r>
          </w:p>
        </w:tc>
        <w:tc>
          <w:tcPr>
            <w:tcW w:w="862" w:type="dxa"/>
            <w:tcBorders>
              <w:top w:val="nil"/>
              <w:left w:val="nil"/>
              <w:bottom w:val="single" w:sz="4" w:space="0" w:color="auto"/>
              <w:right w:val="single" w:sz="4" w:space="0" w:color="auto"/>
            </w:tcBorders>
            <w:shd w:val="clear" w:color="auto" w:fill="auto"/>
            <w:noWrap/>
            <w:vAlign w:val="center"/>
            <w:hideMark/>
          </w:tcPr>
          <w:p w14:paraId="2ADA60C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6BFA6C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16F17F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F7EEA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8B107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102E3D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6EAB32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4E88E8E" w14:textId="77777777" w:rsidR="00E403D6" w:rsidRPr="00F10391" w:rsidRDefault="00E403D6">
            <w:r w:rsidRPr="00F10391">
              <w:t>Not found</w:t>
            </w:r>
          </w:p>
        </w:tc>
      </w:tr>
      <w:tr w:rsidR="00E403D6" w:rsidRPr="00F10391" w14:paraId="0023A6B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1C025D6" w14:textId="77777777" w:rsidR="00E403D6" w:rsidRPr="00F10391" w:rsidRDefault="00E403D6" w:rsidP="0063065F">
            <w:pPr>
              <w:jc w:val="left"/>
            </w:pPr>
            <w:r w:rsidRPr="00F10391">
              <w:t>01/11/08</w:t>
            </w:r>
          </w:p>
        </w:tc>
        <w:tc>
          <w:tcPr>
            <w:tcW w:w="2720" w:type="dxa"/>
            <w:tcBorders>
              <w:top w:val="nil"/>
              <w:left w:val="nil"/>
              <w:bottom w:val="single" w:sz="4" w:space="0" w:color="auto"/>
              <w:right w:val="single" w:sz="4" w:space="0" w:color="auto"/>
            </w:tcBorders>
            <w:shd w:val="clear" w:color="auto" w:fill="auto"/>
            <w:vAlign w:val="center"/>
            <w:hideMark/>
          </w:tcPr>
          <w:p w14:paraId="13784A87" w14:textId="77777777" w:rsidR="00E403D6" w:rsidRPr="00F10391" w:rsidRDefault="00E403D6" w:rsidP="0063065F">
            <w:pPr>
              <w:jc w:val="left"/>
            </w:pPr>
            <w:r w:rsidRPr="00F10391">
              <w:t>Gis-Based Approach For Optimized Siting Of Municipal Solid Waste Landfill</w:t>
            </w:r>
          </w:p>
        </w:tc>
        <w:tc>
          <w:tcPr>
            <w:tcW w:w="1985" w:type="dxa"/>
            <w:tcBorders>
              <w:top w:val="nil"/>
              <w:left w:val="nil"/>
              <w:bottom w:val="single" w:sz="4" w:space="0" w:color="auto"/>
              <w:right w:val="single" w:sz="4" w:space="0" w:color="auto"/>
            </w:tcBorders>
            <w:shd w:val="clear" w:color="auto" w:fill="auto"/>
            <w:vAlign w:val="center"/>
            <w:hideMark/>
          </w:tcPr>
          <w:p w14:paraId="08CFD0F9" w14:textId="77777777" w:rsidR="00E403D6" w:rsidRPr="00F10391" w:rsidRDefault="00E403D6" w:rsidP="0063065F">
            <w:pPr>
              <w:jc w:val="left"/>
            </w:pPr>
            <w:r w:rsidRPr="00F10391">
              <w:t>Sumathi, V. R.; Natesan, Usha; Sarkar, Chinmoy</w:t>
            </w:r>
          </w:p>
        </w:tc>
        <w:tc>
          <w:tcPr>
            <w:tcW w:w="2078" w:type="dxa"/>
            <w:tcBorders>
              <w:top w:val="nil"/>
              <w:left w:val="nil"/>
              <w:bottom w:val="single" w:sz="4" w:space="0" w:color="auto"/>
              <w:right w:val="single" w:sz="4" w:space="0" w:color="auto"/>
            </w:tcBorders>
            <w:shd w:val="clear" w:color="auto" w:fill="auto"/>
            <w:vAlign w:val="center"/>
            <w:hideMark/>
          </w:tcPr>
          <w:p w14:paraId="27908F37" w14:textId="77777777" w:rsidR="00E403D6" w:rsidRPr="00F10391" w:rsidRDefault="00E403D6" w:rsidP="0063065F">
            <w:pPr>
              <w:jc w:val="left"/>
            </w:pPr>
            <w:r w:rsidRPr="00F10391">
              <w:t>Waste Management. 2008;28(11):2146-2160</w:t>
            </w:r>
          </w:p>
        </w:tc>
        <w:tc>
          <w:tcPr>
            <w:tcW w:w="862" w:type="dxa"/>
            <w:tcBorders>
              <w:top w:val="nil"/>
              <w:left w:val="nil"/>
              <w:bottom w:val="single" w:sz="4" w:space="0" w:color="auto"/>
              <w:right w:val="single" w:sz="4" w:space="0" w:color="auto"/>
            </w:tcBorders>
            <w:shd w:val="clear" w:color="auto" w:fill="auto"/>
            <w:noWrap/>
            <w:vAlign w:val="center"/>
            <w:hideMark/>
          </w:tcPr>
          <w:p w14:paraId="6FD2F1A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A8D176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1C81AA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4B2FD5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ACC9F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CCC014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959319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DD06E48" w14:textId="77777777" w:rsidR="00E403D6" w:rsidRPr="00F10391" w:rsidRDefault="00E403D6">
            <w:r w:rsidRPr="00F10391">
              <w:t>Excluded</w:t>
            </w:r>
          </w:p>
        </w:tc>
      </w:tr>
      <w:tr w:rsidR="00E403D6" w:rsidRPr="00F10391" w14:paraId="62F477D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2C04752" w14:textId="77777777" w:rsidR="00E403D6" w:rsidRPr="00F10391" w:rsidRDefault="00E403D6" w:rsidP="0063065F">
            <w:pPr>
              <w:jc w:val="left"/>
            </w:pPr>
            <w:r w:rsidRPr="00F10391">
              <w:t>01/11/08</w:t>
            </w:r>
          </w:p>
        </w:tc>
        <w:tc>
          <w:tcPr>
            <w:tcW w:w="2720" w:type="dxa"/>
            <w:tcBorders>
              <w:top w:val="nil"/>
              <w:left w:val="nil"/>
              <w:bottom w:val="single" w:sz="4" w:space="0" w:color="auto"/>
              <w:right w:val="single" w:sz="4" w:space="0" w:color="auto"/>
            </w:tcBorders>
            <w:shd w:val="clear" w:color="auto" w:fill="auto"/>
            <w:vAlign w:val="center"/>
            <w:hideMark/>
          </w:tcPr>
          <w:p w14:paraId="557D0A80" w14:textId="77777777" w:rsidR="00E403D6" w:rsidRPr="00F10391" w:rsidRDefault="00E403D6" w:rsidP="0063065F">
            <w:pPr>
              <w:jc w:val="left"/>
            </w:pPr>
            <w:r w:rsidRPr="00F10391">
              <w:t>Application Of Multi-Criteria Decision-Making On Strategic Municipal Solid Waste Management In Dalmatia, Croatia</w:t>
            </w:r>
          </w:p>
        </w:tc>
        <w:tc>
          <w:tcPr>
            <w:tcW w:w="1985" w:type="dxa"/>
            <w:tcBorders>
              <w:top w:val="nil"/>
              <w:left w:val="nil"/>
              <w:bottom w:val="single" w:sz="4" w:space="0" w:color="auto"/>
              <w:right w:val="single" w:sz="4" w:space="0" w:color="auto"/>
            </w:tcBorders>
            <w:shd w:val="clear" w:color="auto" w:fill="auto"/>
            <w:vAlign w:val="center"/>
            <w:hideMark/>
          </w:tcPr>
          <w:p w14:paraId="3908C683" w14:textId="77777777" w:rsidR="00E403D6" w:rsidRPr="00F10391" w:rsidRDefault="00E403D6" w:rsidP="0063065F">
            <w:pPr>
              <w:jc w:val="left"/>
            </w:pPr>
            <w:r w:rsidRPr="00F10391">
              <w:t>Vego, Goran; Kucar-Dragicevic, Savka; Koprivartac, Natalija</w:t>
            </w:r>
          </w:p>
        </w:tc>
        <w:tc>
          <w:tcPr>
            <w:tcW w:w="2078" w:type="dxa"/>
            <w:tcBorders>
              <w:top w:val="nil"/>
              <w:left w:val="nil"/>
              <w:bottom w:val="single" w:sz="4" w:space="0" w:color="auto"/>
              <w:right w:val="single" w:sz="4" w:space="0" w:color="auto"/>
            </w:tcBorders>
            <w:shd w:val="clear" w:color="auto" w:fill="auto"/>
            <w:vAlign w:val="center"/>
            <w:hideMark/>
          </w:tcPr>
          <w:p w14:paraId="20B46CA7" w14:textId="77777777" w:rsidR="00E403D6" w:rsidRPr="00F10391" w:rsidRDefault="00E403D6" w:rsidP="0063065F">
            <w:pPr>
              <w:jc w:val="left"/>
            </w:pPr>
            <w:r w:rsidRPr="00F10391">
              <w:t>Waste Management. 2008;28(11):2192-2201</w:t>
            </w:r>
          </w:p>
        </w:tc>
        <w:tc>
          <w:tcPr>
            <w:tcW w:w="862" w:type="dxa"/>
            <w:tcBorders>
              <w:top w:val="nil"/>
              <w:left w:val="nil"/>
              <w:bottom w:val="single" w:sz="4" w:space="0" w:color="auto"/>
              <w:right w:val="single" w:sz="4" w:space="0" w:color="auto"/>
            </w:tcBorders>
            <w:shd w:val="clear" w:color="auto" w:fill="auto"/>
            <w:noWrap/>
            <w:vAlign w:val="center"/>
            <w:hideMark/>
          </w:tcPr>
          <w:p w14:paraId="44B90D1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A37538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78CB37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BCDD0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1BF94D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DBCFAA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5E7D12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94E7BE9" w14:textId="77777777" w:rsidR="00E403D6" w:rsidRPr="00F10391" w:rsidRDefault="00E403D6">
            <w:r w:rsidRPr="00F10391">
              <w:t>Excluded</w:t>
            </w:r>
          </w:p>
        </w:tc>
      </w:tr>
      <w:tr w:rsidR="00E403D6" w:rsidRPr="00F10391" w14:paraId="5E94E81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7A5E637" w14:textId="77777777" w:rsidR="00E403D6" w:rsidRPr="00F10391" w:rsidRDefault="00E403D6" w:rsidP="0063065F">
            <w:pPr>
              <w:jc w:val="left"/>
            </w:pPr>
            <w:r w:rsidRPr="00F10391">
              <w:t>22/11/08</w:t>
            </w:r>
          </w:p>
        </w:tc>
        <w:tc>
          <w:tcPr>
            <w:tcW w:w="2720" w:type="dxa"/>
            <w:tcBorders>
              <w:top w:val="nil"/>
              <w:left w:val="nil"/>
              <w:bottom w:val="single" w:sz="4" w:space="0" w:color="auto"/>
              <w:right w:val="single" w:sz="4" w:space="0" w:color="auto"/>
            </w:tcBorders>
            <w:shd w:val="clear" w:color="auto" w:fill="auto"/>
            <w:vAlign w:val="center"/>
            <w:hideMark/>
          </w:tcPr>
          <w:p w14:paraId="127DC2E5" w14:textId="77777777" w:rsidR="00E403D6" w:rsidRPr="00F10391" w:rsidRDefault="00E403D6" w:rsidP="0063065F">
            <w:pPr>
              <w:jc w:val="left"/>
            </w:pPr>
            <w:r w:rsidRPr="00F10391">
              <w:t>Application Of Systematic Review Methodology To The Field Of Nutrition.</w:t>
            </w:r>
          </w:p>
        </w:tc>
        <w:tc>
          <w:tcPr>
            <w:tcW w:w="1985" w:type="dxa"/>
            <w:tcBorders>
              <w:top w:val="nil"/>
              <w:left w:val="nil"/>
              <w:bottom w:val="single" w:sz="4" w:space="0" w:color="auto"/>
              <w:right w:val="single" w:sz="4" w:space="0" w:color="auto"/>
            </w:tcBorders>
            <w:shd w:val="clear" w:color="auto" w:fill="auto"/>
            <w:vAlign w:val="center"/>
            <w:hideMark/>
          </w:tcPr>
          <w:p w14:paraId="7DAA88C7" w14:textId="77777777" w:rsidR="00E403D6" w:rsidRPr="005D7324" w:rsidRDefault="00E403D6" w:rsidP="0063065F">
            <w:pPr>
              <w:jc w:val="left"/>
            </w:pPr>
            <w:r w:rsidRPr="005D7324">
              <w:t>Lichtenstein Ah, Yetley Ea, Lau J.</w:t>
            </w:r>
          </w:p>
        </w:tc>
        <w:tc>
          <w:tcPr>
            <w:tcW w:w="2078" w:type="dxa"/>
            <w:tcBorders>
              <w:top w:val="nil"/>
              <w:left w:val="nil"/>
              <w:bottom w:val="single" w:sz="4" w:space="0" w:color="auto"/>
              <w:right w:val="single" w:sz="4" w:space="0" w:color="auto"/>
            </w:tcBorders>
            <w:shd w:val="clear" w:color="auto" w:fill="auto"/>
            <w:vAlign w:val="center"/>
            <w:hideMark/>
          </w:tcPr>
          <w:p w14:paraId="124E4656" w14:textId="77777777" w:rsidR="00E403D6" w:rsidRPr="00F10391" w:rsidRDefault="00E403D6" w:rsidP="0063065F">
            <w:pPr>
              <w:jc w:val="left"/>
            </w:pPr>
            <w:r w:rsidRPr="00F10391">
              <w:t>J Nutr. 2008 Dec;138(12):2297-306. Doi: 10.3945/Jn.108.097154. Review.</w:t>
            </w:r>
          </w:p>
        </w:tc>
        <w:tc>
          <w:tcPr>
            <w:tcW w:w="862" w:type="dxa"/>
            <w:tcBorders>
              <w:top w:val="nil"/>
              <w:left w:val="nil"/>
              <w:bottom w:val="single" w:sz="4" w:space="0" w:color="auto"/>
              <w:right w:val="single" w:sz="4" w:space="0" w:color="auto"/>
            </w:tcBorders>
            <w:shd w:val="clear" w:color="auto" w:fill="auto"/>
            <w:noWrap/>
            <w:vAlign w:val="center"/>
            <w:hideMark/>
          </w:tcPr>
          <w:p w14:paraId="5FED177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5A9783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174820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AC65E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9CD835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C3389B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03678C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4C3976D" w14:textId="77777777" w:rsidR="00E403D6" w:rsidRPr="00F10391" w:rsidRDefault="00E403D6">
            <w:r w:rsidRPr="00F10391">
              <w:t>Not found</w:t>
            </w:r>
          </w:p>
        </w:tc>
      </w:tr>
      <w:tr w:rsidR="00E403D6" w:rsidRPr="00F10391" w14:paraId="54FB47B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199B798" w14:textId="77777777" w:rsidR="00E403D6" w:rsidRPr="00F10391" w:rsidRDefault="00E403D6" w:rsidP="0063065F">
            <w:pPr>
              <w:jc w:val="left"/>
            </w:pPr>
            <w:r w:rsidRPr="00F10391">
              <w:t>03/12/08</w:t>
            </w:r>
          </w:p>
        </w:tc>
        <w:tc>
          <w:tcPr>
            <w:tcW w:w="2720" w:type="dxa"/>
            <w:tcBorders>
              <w:top w:val="nil"/>
              <w:left w:val="nil"/>
              <w:bottom w:val="single" w:sz="4" w:space="0" w:color="auto"/>
              <w:right w:val="single" w:sz="4" w:space="0" w:color="auto"/>
            </w:tcBorders>
            <w:shd w:val="clear" w:color="auto" w:fill="auto"/>
            <w:vAlign w:val="center"/>
            <w:hideMark/>
          </w:tcPr>
          <w:p w14:paraId="5124FCE3" w14:textId="77777777" w:rsidR="00E403D6" w:rsidRPr="00F10391" w:rsidRDefault="00E403D6" w:rsidP="0063065F">
            <w:pPr>
              <w:jc w:val="left"/>
            </w:pPr>
            <w:r w:rsidRPr="00F10391">
              <w:t>Choices, Choices: The Application Of Multi-Criteria Decision Analysis To A Food Safety Decision-Making Problem.</w:t>
            </w:r>
          </w:p>
        </w:tc>
        <w:tc>
          <w:tcPr>
            <w:tcW w:w="1985" w:type="dxa"/>
            <w:tcBorders>
              <w:top w:val="nil"/>
              <w:left w:val="nil"/>
              <w:bottom w:val="single" w:sz="4" w:space="0" w:color="auto"/>
              <w:right w:val="single" w:sz="4" w:space="0" w:color="auto"/>
            </w:tcBorders>
            <w:shd w:val="clear" w:color="auto" w:fill="auto"/>
            <w:vAlign w:val="center"/>
            <w:hideMark/>
          </w:tcPr>
          <w:p w14:paraId="130672EC" w14:textId="77777777" w:rsidR="00E403D6" w:rsidRPr="00F10391" w:rsidRDefault="00E403D6" w:rsidP="0063065F">
            <w:pPr>
              <w:jc w:val="left"/>
            </w:pPr>
            <w:r w:rsidRPr="00F10391">
              <w:t>Fazil A, Rajic A, Sanchez J, Mcewen S.</w:t>
            </w:r>
          </w:p>
        </w:tc>
        <w:tc>
          <w:tcPr>
            <w:tcW w:w="2078" w:type="dxa"/>
            <w:tcBorders>
              <w:top w:val="nil"/>
              <w:left w:val="nil"/>
              <w:bottom w:val="single" w:sz="4" w:space="0" w:color="auto"/>
              <w:right w:val="single" w:sz="4" w:space="0" w:color="auto"/>
            </w:tcBorders>
            <w:shd w:val="clear" w:color="auto" w:fill="auto"/>
            <w:vAlign w:val="center"/>
            <w:hideMark/>
          </w:tcPr>
          <w:p w14:paraId="79739522" w14:textId="77777777" w:rsidR="00E403D6" w:rsidRPr="00F10391" w:rsidRDefault="00E403D6" w:rsidP="0063065F">
            <w:pPr>
              <w:jc w:val="left"/>
            </w:pPr>
            <w:r w:rsidRPr="00F10391">
              <w:t>J Food Prot. 2008 Nov;71(11):2323-33.</w:t>
            </w:r>
          </w:p>
        </w:tc>
        <w:tc>
          <w:tcPr>
            <w:tcW w:w="862" w:type="dxa"/>
            <w:tcBorders>
              <w:top w:val="nil"/>
              <w:left w:val="nil"/>
              <w:bottom w:val="single" w:sz="4" w:space="0" w:color="auto"/>
              <w:right w:val="single" w:sz="4" w:space="0" w:color="auto"/>
            </w:tcBorders>
            <w:shd w:val="clear" w:color="auto" w:fill="auto"/>
            <w:noWrap/>
            <w:vAlign w:val="center"/>
            <w:hideMark/>
          </w:tcPr>
          <w:p w14:paraId="622D2B8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9EC467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85739C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51B59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AB0DB7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DF599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C7DB48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D836661" w14:textId="77777777" w:rsidR="00E403D6" w:rsidRPr="00F10391" w:rsidRDefault="00E403D6">
            <w:r w:rsidRPr="00F10391">
              <w:t>Not found</w:t>
            </w:r>
          </w:p>
        </w:tc>
      </w:tr>
      <w:tr w:rsidR="00E403D6" w:rsidRPr="00F10391" w14:paraId="62AB471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6FB2553" w14:textId="77777777" w:rsidR="00E403D6" w:rsidRPr="00F10391" w:rsidRDefault="00E403D6" w:rsidP="0063065F">
            <w:pPr>
              <w:jc w:val="left"/>
            </w:pPr>
            <w:r w:rsidRPr="00F10391">
              <w:t>23/12/08</w:t>
            </w:r>
          </w:p>
        </w:tc>
        <w:tc>
          <w:tcPr>
            <w:tcW w:w="2720" w:type="dxa"/>
            <w:tcBorders>
              <w:top w:val="nil"/>
              <w:left w:val="nil"/>
              <w:bottom w:val="single" w:sz="4" w:space="0" w:color="auto"/>
              <w:right w:val="single" w:sz="4" w:space="0" w:color="auto"/>
            </w:tcBorders>
            <w:shd w:val="clear" w:color="auto" w:fill="auto"/>
            <w:vAlign w:val="center"/>
            <w:hideMark/>
          </w:tcPr>
          <w:p w14:paraId="2BD3C5EF" w14:textId="77777777" w:rsidR="00E403D6" w:rsidRPr="00F10391" w:rsidRDefault="00E403D6" w:rsidP="0063065F">
            <w:pPr>
              <w:jc w:val="left"/>
            </w:pPr>
            <w:r w:rsidRPr="00F10391">
              <w:t>Evaluation Of A Microbiological Multi-Residue System On The Detection Of Antibacterial Substances In Ewe Milk.</w:t>
            </w:r>
          </w:p>
        </w:tc>
        <w:tc>
          <w:tcPr>
            <w:tcW w:w="1985" w:type="dxa"/>
            <w:tcBorders>
              <w:top w:val="nil"/>
              <w:left w:val="nil"/>
              <w:bottom w:val="single" w:sz="4" w:space="0" w:color="auto"/>
              <w:right w:val="single" w:sz="4" w:space="0" w:color="auto"/>
            </w:tcBorders>
            <w:shd w:val="clear" w:color="auto" w:fill="auto"/>
            <w:vAlign w:val="center"/>
            <w:hideMark/>
          </w:tcPr>
          <w:p w14:paraId="765D2110" w14:textId="77777777" w:rsidR="00E403D6" w:rsidRPr="005D7324" w:rsidRDefault="00E403D6" w:rsidP="0063065F">
            <w:pPr>
              <w:jc w:val="left"/>
            </w:pPr>
            <w:r w:rsidRPr="005D7324">
              <w:t>Althaus R, Berruga Mi, Montero A, Roca M, Molina Mp.</w:t>
            </w:r>
          </w:p>
        </w:tc>
        <w:tc>
          <w:tcPr>
            <w:tcW w:w="2078" w:type="dxa"/>
            <w:tcBorders>
              <w:top w:val="nil"/>
              <w:left w:val="nil"/>
              <w:bottom w:val="single" w:sz="4" w:space="0" w:color="auto"/>
              <w:right w:val="single" w:sz="4" w:space="0" w:color="auto"/>
            </w:tcBorders>
            <w:shd w:val="clear" w:color="auto" w:fill="auto"/>
            <w:vAlign w:val="center"/>
            <w:hideMark/>
          </w:tcPr>
          <w:p w14:paraId="6DCA4856" w14:textId="77777777" w:rsidR="00E403D6" w:rsidRPr="00F10391" w:rsidRDefault="00E403D6" w:rsidP="0063065F">
            <w:pPr>
              <w:jc w:val="left"/>
            </w:pPr>
            <w:r w:rsidRPr="00F10391">
              <w:t>Anal Chim Acta. 2009 Jan 19;632(1):156-62. Doi: 10.1016/J.Aca.2008.10.058. Epub 2008 Nov 5.</w:t>
            </w:r>
          </w:p>
        </w:tc>
        <w:tc>
          <w:tcPr>
            <w:tcW w:w="862" w:type="dxa"/>
            <w:tcBorders>
              <w:top w:val="nil"/>
              <w:left w:val="nil"/>
              <w:bottom w:val="single" w:sz="4" w:space="0" w:color="auto"/>
              <w:right w:val="single" w:sz="4" w:space="0" w:color="auto"/>
            </w:tcBorders>
            <w:shd w:val="clear" w:color="auto" w:fill="auto"/>
            <w:noWrap/>
            <w:vAlign w:val="center"/>
            <w:hideMark/>
          </w:tcPr>
          <w:p w14:paraId="0446103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EE9DDE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CF20C4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CCFBB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E0AC9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C49D6E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7C7132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B3746FE" w14:textId="77777777" w:rsidR="00E403D6" w:rsidRPr="00F10391" w:rsidRDefault="00E403D6">
            <w:r w:rsidRPr="00F10391">
              <w:t>Not found</w:t>
            </w:r>
          </w:p>
        </w:tc>
      </w:tr>
      <w:tr w:rsidR="00E403D6" w:rsidRPr="00F10391" w14:paraId="1233CE9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D39F90" w14:textId="77777777" w:rsidR="00E403D6" w:rsidRPr="00F10391" w:rsidRDefault="00E403D6" w:rsidP="0063065F">
            <w:pPr>
              <w:jc w:val="left"/>
            </w:pPr>
            <w:r w:rsidRPr="00F10391">
              <w:t>21/01/09</w:t>
            </w:r>
          </w:p>
        </w:tc>
        <w:tc>
          <w:tcPr>
            <w:tcW w:w="2720" w:type="dxa"/>
            <w:tcBorders>
              <w:top w:val="nil"/>
              <w:left w:val="nil"/>
              <w:bottom w:val="single" w:sz="4" w:space="0" w:color="auto"/>
              <w:right w:val="single" w:sz="4" w:space="0" w:color="auto"/>
            </w:tcBorders>
            <w:shd w:val="clear" w:color="auto" w:fill="auto"/>
            <w:vAlign w:val="center"/>
            <w:hideMark/>
          </w:tcPr>
          <w:p w14:paraId="549D3F76" w14:textId="77777777" w:rsidR="00E403D6" w:rsidRPr="00F10391" w:rsidRDefault="00E403D6" w:rsidP="0063065F">
            <w:pPr>
              <w:jc w:val="left"/>
            </w:pPr>
            <w:r w:rsidRPr="00F10391">
              <w:t>Who Should Receive Life Support During A Public Health Emergency? Using Ethical Principles To Improve Allocation Decisions.</w:t>
            </w:r>
          </w:p>
        </w:tc>
        <w:tc>
          <w:tcPr>
            <w:tcW w:w="1985" w:type="dxa"/>
            <w:tcBorders>
              <w:top w:val="nil"/>
              <w:left w:val="nil"/>
              <w:bottom w:val="single" w:sz="4" w:space="0" w:color="auto"/>
              <w:right w:val="single" w:sz="4" w:space="0" w:color="auto"/>
            </w:tcBorders>
            <w:shd w:val="clear" w:color="auto" w:fill="auto"/>
            <w:vAlign w:val="center"/>
            <w:hideMark/>
          </w:tcPr>
          <w:p w14:paraId="2F987E24" w14:textId="77777777" w:rsidR="00E403D6" w:rsidRPr="00F10391" w:rsidRDefault="00E403D6" w:rsidP="0063065F">
            <w:pPr>
              <w:jc w:val="left"/>
            </w:pPr>
            <w:r w:rsidRPr="00F10391">
              <w:t>White Db, Katz Mh, Luce Jm, Lo B.</w:t>
            </w:r>
          </w:p>
        </w:tc>
        <w:tc>
          <w:tcPr>
            <w:tcW w:w="2078" w:type="dxa"/>
            <w:tcBorders>
              <w:top w:val="nil"/>
              <w:left w:val="nil"/>
              <w:bottom w:val="single" w:sz="4" w:space="0" w:color="auto"/>
              <w:right w:val="single" w:sz="4" w:space="0" w:color="auto"/>
            </w:tcBorders>
            <w:shd w:val="clear" w:color="auto" w:fill="auto"/>
            <w:vAlign w:val="center"/>
            <w:hideMark/>
          </w:tcPr>
          <w:p w14:paraId="082BF09E" w14:textId="77777777" w:rsidR="00E403D6" w:rsidRPr="00F10391" w:rsidRDefault="00E403D6" w:rsidP="0063065F">
            <w:pPr>
              <w:jc w:val="left"/>
            </w:pPr>
            <w:r w:rsidRPr="00F10391">
              <w:t>Ann Intern Med. 2009 Jan 20;150(2):132-8.</w:t>
            </w:r>
          </w:p>
        </w:tc>
        <w:tc>
          <w:tcPr>
            <w:tcW w:w="862" w:type="dxa"/>
            <w:tcBorders>
              <w:top w:val="nil"/>
              <w:left w:val="nil"/>
              <w:bottom w:val="single" w:sz="4" w:space="0" w:color="auto"/>
              <w:right w:val="single" w:sz="4" w:space="0" w:color="auto"/>
            </w:tcBorders>
            <w:shd w:val="clear" w:color="auto" w:fill="auto"/>
            <w:noWrap/>
            <w:vAlign w:val="center"/>
            <w:hideMark/>
          </w:tcPr>
          <w:p w14:paraId="18BA801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5D0D00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6C9053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DAE28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03242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33E095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DF90B8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63BE102" w14:textId="77777777" w:rsidR="00E403D6" w:rsidRPr="00F10391" w:rsidRDefault="00E403D6">
            <w:r w:rsidRPr="00F10391">
              <w:t>Not found</w:t>
            </w:r>
          </w:p>
        </w:tc>
      </w:tr>
      <w:tr w:rsidR="00E403D6" w:rsidRPr="00F10391" w14:paraId="7D13121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889278F" w14:textId="77777777" w:rsidR="00E403D6" w:rsidRPr="00F10391" w:rsidRDefault="00E403D6" w:rsidP="0063065F">
            <w:pPr>
              <w:jc w:val="left"/>
            </w:pPr>
            <w:r w:rsidRPr="00F10391">
              <w:t>27/02/09</w:t>
            </w:r>
          </w:p>
        </w:tc>
        <w:tc>
          <w:tcPr>
            <w:tcW w:w="2720" w:type="dxa"/>
            <w:tcBorders>
              <w:top w:val="nil"/>
              <w:left w:val="nil"/>
              <w:bottom w:val="single" w:sz="4" w:space="0" w:color="auto"/>
              <w:right w:val="single" w:sz="4" w:space="0" w:color="auto"/>
            </w:tcBorders>
            <w:shd w:val="clear" w:color="auto" w:fill="auto"/>
            <w:vAlign w:val="center"/>
            <w:hideMark/>
          </w:tcPr>
          <w:p w14:paraId="70BF7555" w14:textId="77777777" w:rsidR="00E403D6" w:rsidRPr="00F10391" w:rsidRDefault="00E403D6" w:rsidP="0063065F">
            <w:pPr>
              <w:jc w:val="left"/>
            </w:pPr>
            <w:r w:rsidRPr="00F10391">
              <w:t>Risk Assessment And Cost-Effectiveness/Utility Analysis.</w:t>
            </w:r>
          </w:p>
        </w:tc>
        <w:tc>
          <w:tcPr>
            <w:tcW w:w="1985" w:type="dxa"/>
            <w:tcBorders>
              <w:top w:val="nil"/>
              <w:left w:val="nil"/>
              <w:bottom w:val="single" w:sz="4" w:space="0" w:color="auto"/>
              <w:right w:val="single" w:sz="4" w:space="0" w:color="auto"/>
            </w:tcBorders>
            <w:shd w:val="clear" w:color="auto" w:fill="auto"/>
            <w:vAlign w:val="center"/>
            <w:hideMark/>
          </w:tcPr>
          <w:p w14:paraId="7C053CA7" w14:textId="77777777" w:rsidR="00E403D6" w:rsidRPr="00F10391" w:rsidRDefault="00E403D6" w:rsidP="0063065F">
            <w:pPr>
              <w:jc w:val="left"/>
            </w:pPr>
            <w:r w:rsidRPr="00F10391">
              <w:t>Busch M, Walderhaug M, Custer B, Allain Jp, Reddy R, Mcdonough B.</w:t>
            </w:r>
          </w:p>
        </w:tc>
        <w:tc>
          <w:tcPr>
            <w:tcW w:w="2078" w:type="dxa"/>
            <w:tcBorders>
              <w:top w:val="nil"/>
              <w:left w:val="nil"/>
              <w:bottom w:val="single" w:sz="4" w:space="0" w:color="auto"/>
              <w:right w:val="single" w:sz="4" w:space="0" w:color="auto"/>
            </w:tcBorders>
            <w:shd w:val="clear" w:color="auto" w:fill="auto"/>
            <w:vAlign w:val="center"/>
            <w:hideMark/>
          </w:tcPr>
          <w:p w14:paraId="6FF4DFC1" w14:textId="77777777" w:rsidR="00E403D6" w:rsidRPr="00F10391" w:rsidRDefault="00E403D6" w:rsidP="0063065F">
            <w:pPr>
              <w:jc w:val="left"/>
            </w:pPr>
            <w:r w:rsidRPr="00F10391">
              <w:t>Biologicals. 2009 Apr;37(2):78-87. Doi: 10.1016/J.Biologicals.2009.01.007. Epub 2009 Feb 24. Review.</w:t>
            </w:r>
          </w:p>
        </w:tc>
        <w:tc>
          <w:tcPr>
            <w:tcW w:w="862" w:type="dxa"/>
            <w:tcBorders>
              <w:top w:val="nil"/>
              <w:left w:val="nil"/>
              <w:bottom w:val="single" w:sz="4" w:space="0" w:color="auto"/>
              <w:right w:val="single" w:sz="4" w:space="0" w:color="auto"/>
            </w:tcBorders>
            <w:shd w:val="clear" w:color="auto" w:fill="auto"/>
            <w:noWrap/>
            <w:vAlign w:val="center"/>
            <w:hideMark/>
          </w:tcPr>
          <w:p w14:paraId="2038F08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36FC61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20FBE9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0F9D5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130CE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8E404D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E9B7C9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E083CD8" w14:textId="77777777" w:rsidR="00E403D6" w:rsidRPr="00F10391" w:rsidRDefault="00E403D6">
            <w:r w:rsidRPr="00F10391">
              <w:t>Not found</w:t>
            </w:r>
          </w:p>
        </w:tc>
      </w:tr>
      <w:tr w:rsidR="00E403D6" w:rsidRPr="00F10391" w14:paraId="123EB81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AA0493" w14:textId="77777777" w:rsidR="00E403D6" w:rsidRPr="00F10391" w:rsidRDefault="00E403D6" w:rsidP="0063065F">
            <w:pPr>
              <w:jc w:val="left"/>
            </w:pPr>
            <w:r w:rsidRPr="00F10391">
              <w:t>28/03/09</w:t>
            </w:r>
          </w:p>
        </w:tc>
        <w:tc>
          <w:tcPr>
            <w:tcW w:w="2720" w:type="dxa"/>
            <w:tcBorders>
              <w:top w:val="nil"/>
              <w:left w:val="nil"/>
              <w:bottom w:val="single" w:sz="4" w:space="0" w:color="auto"/>
              <w:right w:val="single" w:sz="4" w:space="0" w:color="auto"/>
            </w:tcBorders>
            <w:shd w:val="clear" w:color="auto" w:fill="auto"/>
            <w:vAlign w:val="center"/>
            <w:hideMark/>
          </w:tcPr>
          <w:p w14:paraId="187E5DF0" w14:textId="77777777" w:rsidR="00E403D6" w:rsidRPr="00F10391" w:rsidRDefault="00E403D6" w:rsidP="0063065F">
            <w:pPr>
              <w:jc w:val="left"/>
            </w:pPr>
            <w:r w:rsidRPr="00F10391">
              <w:t>Development Of A Risk-Ranking Framework To Evaluate Potential High-Threat Microorganisms, Toxins, And Chemicals In Food.</w:t>
            </w:r>
          </w:p>
        </w:tc>
        <w:tc>
          <w:tcPr>
            <w:tcW w:w="1985" w:type="dxa"/>
            <w:tcBorders>
              <w:top w:val="nil"/>
              <w:left w:val="nil"/>
              <w:bottom w:val="single" w:sz="4" w:space="0" w:color="auto"/>
              <w:right w:val="single" w:sz="4" w:space="0" w:color="auto"/>
            </w:tcBorders>
            <w:shd w:val="clear" w:color="auto" w:fill="auto"/>
            <w:vAlign w:val="center"/>
            <w:hideMark/>
          </w:tcPr>
          <w:p w14:paraId="42E66E32" w14:textId="77777777" w:rsidR="00E403D6" w:rsidRPr="00F10391" w:rsidRDefault="00E403D6" w:rsidP="0063065F">
            <w:pPr>
              <w:jc w:val="left"/>
            </w:pPr>
            <w:r w:rsidRPr="00F10391">
              <w:t>Newsome R, Tran N, Paoli Gm, Jaykus La, Tompkin B, Miliotis M, Ruthman T, Hartnett E, Busta Ff, Petersen B, Shank F, Mcentire J, Hotchkiss J, Wagner M, Schaffner Dw.</w:t>
            </w:r>
          </w:p>
        </w:tc>
        <w:tc>
          <w:tcPr>
            <w:tcW w:w="2078" w:type="dxa"/>
            <w:tcBorders>
              <w:top w:val="nil"/>
              <w:left w:val="nil"/>
              <w:bottom w:val="single" w:sz="4" w:space="0" w:color="auto"/>
              <w:right w:val="single" w:sz="4" w:space="0" w:color="auto"/>
            </w:tcBorders>
            <w:shd w:val="clear" w:color="auto" w:fill="auto"/>
            <w:vAlign w:val="center"/>
            <w:hideMark/>
          </w:tcPr>
          <w:p w14:paraId="1D1E3BDF" w14:textId="77777777" w:rsidR="00E403D6" w:rsidRPr="00F10391" w:rsidRDefault="00E403D6" w:rsidP="0063065F">
            <w:pPr>
              <w:jc w:val="left"/>
            </w:pPr>
            <w:r w:rsidRPr="00F10391">
              <w:t>J Food Sci. 2009 Mar;74(2):R39-45. Doi: 10.1111/J.1750-3841.2008.01042.X.</w:t>
            </w:r>
          </w:p>
        </w:tc>
        <w:tc>
          <w:tcPr>
            <w:tcW w:w="862" w:type="dxa"/>
            <w:tcBorders>
              <w:top w:val="nil"/>
              <w:left w:val="nil"/>
              <w:bottom w:val="single" w:sz="4" w:space="0" w:color="auto"/>
              <w:right w:val="single" w:sz="4" w:space="0" w:color="auto"/>
            </w:tcBorders>
            <w:shd w:val="clear" w:color="auto" w:fill="auto"/>
            <w:noWrap/>
            <w:vAlign w:val="center"/>
            <w:hideMark/>
          </w:tcPr>
          <w:p w14:paraId="2BEBAD5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B656F1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D64B88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08CD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B5A89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10D0F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C2D6B1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5726FFC" w14:textId="77777777" w:rsidR="00E403D6" w:rsidRPr="00F10391" w:rsidRDefault="00E403D6">
            <w:r w:rsidRPr="00F10391">
              <w:t>Not found</w:t>
            </w:r>
          </w:p>
        </w:tc>
      </w:tr>
      <w:tr w:rsidR="00E403D6" w:rsidRPr="00F10391" w14:paraId="74230B6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2A18C4" w14:textId="77777777" w:rsidR="00E403D6" w:rsidRPr="00F10391" w:rsidRDefault="00E403D6" w:rsidP="0063065F">
            <w:pPr>
              <w:jc w:val="left"/>
            </w:pPr>
            <w:r w:rsidRPr="00F10391">
              <w:t>01/04/09</w:t>
            </w:r>
          </w:p>
        </w:tc>
        <w:tc>
          <w:tcPr>
            <w:tcW w:w="2720" w:type="dxa"/>
            <w:tcBorders>
              <w:top w:val="nil"/>
              <w:left w:val="nil"/>
              <w:bottom w:val="single" w:sz="4" w:space="0" w:color="auto"/>
              <w:right w:val="single" w:sz="4" w:space="0" w:color="auto"/>
            </w:tcBorders>
            <w:shd w:val="clear" w:color="auto" w:fill="auto"/>
            <w:vAlign w:val="center"/>
            <w:hideMark/>
          </w:tcPr>
          <w:p w14:paraId="6904BDB7" w14:textId="77777777" w:rsidR="00E403D6" w:rsidRPr="00F10391" w:rsidRDefault="00E403D6" w:rsidP="0063065F">
            <w:pPr>
              <w:jc w:val="left"/>
            </w:pPr>
            <w:r w:rsidRPr="00F10391">
              <w:t>Priority Setting In Practice: What Is The Best Way To Compare Costs And Benefits?</w:t>
            </w:r>
          </w:p>
        </w:tc>
        <w:tc>
          <w:tcPr>
            <w:tcW w:w="1985" w:type="dxa"/>
            <w:tcBorders>
              <w:top w:val="nil"/>
              <w:left w:val="nil"/>
              <w:bottom w:val="single" w:sz="4" w:space="0" w:color="auto"/>
              <w:right w:val="single" w:sz="4" w:space="0" w:color="auto"/>
            </w:tcBorders>
            <w:shd w:val="clear" w:color="auto" w:fill="auto"/>
            <w:vAlign w:val="center"/>
            <w:hideMark/>
          </w:tcPr>
          <w:p w14:paraId="75EEFD41" w14:textId="77777777" w:rsidR="00E403D6" w:rsidRPr="00F10391" w:rsidRDefault="00E403D6" w:rsidP="0063065F">
            <w:pPr>
              <w:jc w:val="left"/>
            </w:pPr>
            <w:r w:rsidRPr="00F10391">
              <w:t>Wilson, Edward C. F.; Peacock, Stuart J.; Ruta, Danny</w:t>
            </w:r>
          </w:p>
        </w:tc>
        <w:tc>
          <w:tcPr>
            <w:tcW w:w="2078" w:type="dxa"/>
            <w:tcBorders>
              <w:top w:val="nil"/>
              <w:left w:val="nil"/>
              <w:bottom w:val="single" w:sz="4" w:space="0" w:color="auto"/>
              <w:right w:val="single" w:sz="4" w:space="0" w:color="auto"/>
            </w:tcBorders>
            <w:shd w:val="clear" w:color="auto" w:fill="auto"/>
            <w:vAlign w:val="center"/>
            <w:hideMark/>
          </w:tcPr>
          <w:p w14:paraId="6C769667" w14:textId="77777777" w:rsidR="00E403D6" w:rsidRPr="00F10391" w:rsidRDefault="00E403D6" w:rsidP="0063065F">
            <w:pPr>
              <w:jc w:val="left"/>
            </w:pPr>
            <w:r w:rsidRPr="00F10391">
              <w:t>Health Economics. 2009;18(4):467-478</w:t>
            </w:r>
          </w:p>
        </w:tc>
        <w:tc>
          <w:tcPr>
            <w:tcW w:w="862" w:type="dxa"/>
            <w:tcBorders>
              <w:top w:val="nil"/>
              <w:left w:val="nil"/>
              <w:bottom w:val="single" w:sz="4" w:space="0" w:color="auto"/>
              <w:right w:val="single" w:sz="4" w:space="0" w:color="auto"/>
            </w:tcBorders>
            <w:shd w:val="clear" w:color="auto" w:fill="auto"/>
            <w:noWrap/>
            <w:vAlign w:val="center"/>
            <w:hideMark/>
          </w:tcPr>
          <w:p w14:paraId="1C74EDE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CD83DF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ECF092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79EC26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94F42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68983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0A3B05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2B2102B" w14:textId="77777777" w:rsidR="00E403D6" w:rsidRPr="00F10391" w:rsidRDefault="00E403D6">
            <w:r w:rsidRPr="00F10391">
              <w:t>Included</w:t>
            </w:r>
          </w:p>
        </w:tc>
      </w:tr>
      <w:tr w:rsidR="00E403D6" w:rsidRPr="00F10391" w14:paraId="7B8A04A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F7A2B36" w14:textId="77777777" w:rsidR="00E403D6" w:rsidRPr="00F10391" w:rsidRDefault="00E403D6" w:rsidP="0063065F">
            <w:pPr>
              <w:jc w:val="left"/>
            </w:pPr>
            <w:r w:rsidRPr="00F10391">
              <w:t>15/05/09</w:t>
            </w:r>
          </w:p>
        </w:tc>
        <w:tc>
          <w:tcPr>
            <w:tcW w:w="2720" w:type="dxa"/>
            <w:tcBorders>
              <w:top w:val="nil"/>
              <w:left w:val="nil"/>
              <w:bottom w:val="single" w:sz="4" w:space="0" w:color="auto"/>
              <w:right w:val="single" w:sz="4" w:space="0" w:color="auto"/>
            </w:tcBorders>
            <w:shd w:val="clear" w:color="auto" w:fill="auto"/>
            <w:vAlign w:val="center"/>
            <w:hideMark/>
          </w:tcPr>
          <w:p w14:paraId="0CD8B5EC" w14:textId="77777777" w:rsidR="00E403D6" w:rsidRPr="00F10391" w:rsidRDefault="00E403D6" w:rsidP="0063065F">
            <w:pPr>
              <w:jc w:val="left"/>
            </w:pPr>
            <w:r w:rsidRPr="00F10391">
              <w:t>Application Of Multicriteria Decision Analysis To Jar-Test Results For Chemicals Selection In The Physical-Chemical Treatment Of Textile Wastewater</w:t>
            </w:r>
          </w:p>
        </w:tc>
        <w:tc>
          <w:tcPr>
            <w:tcW w:w="1985" w:type="dxa"/>
            <w:tcBorders>
              <w:top w:val="nil"/>
              <w:left w:val="nil"/>
              <w:bottom w:val="single" w:sz="4" w:space="0" w:color="auto"/>
              <w:right w:val="single" w:sz="4" w:space="0" w:color="auto"/>
            </w:tcBorders>
            <w:shd w:val="clear" w:color="auto" w:fill="auto"/>
            <w:vAlign w:val="center"/>
            <w:hideMark/>
          </w:tcPr>
          <w:p w14:paraId="70C7E996" w14:textId="77777777" w:rsidR="00E403D6" w:rsidRPr="005D7324" w:rsidRDefault="00E403D6" w:rsidP="0063065F">
            <w:pPr>
              <w:jc w:val="left"/>
            </w:pPr>
            <w:r w:rsidRPr="005D7324">
              <w:t>Aragones-Beltran, P.; Mendoza-Roca, J. A.; Bes-Pia, A.; Garcia-Melon, M.; Parra-Ruiz, E.</w:t>
            </w:r>
          </w:p>
        </w:tc>
        <w:tc>
          <w:tcPr>
            <w:tcW w:w="2078" w:type="dxa"/>
            <w:tcBorders>
              <w:top w:val="nil"/>
              <w:left w:val="nil"/>
              <w:bottom w:val="single" w:sz="4" w:space="0" w:color="auto"/>
              <w:right w:val="single" w:sz="4" w:space="0" w:color="auto"/>
            </w:tcBorders>
            <w:shd w:val="clear" w:color="auto" w:fill="auto"/>
            <w:vAlign w:val="center"/>
            <w:hideMark/>
          </w:tcPr>
          <w:p w14:paraId="40590AF1" w14:textId="77777777" w:rsidR="00E403D6" w:rsidRPr="00F10391" w:rsidRDefault="00E403D6" w:rsidP="0063065F">
            <w:pPr>
              <w:jc w:val="left"/>
            </w:pPr>
            <w:r w:rsidRPr="00F10391">
              <w:t>Journal Of Hazardous Materials. 2009;164(1):288-295</w:t>
            </w:r>
          </w:p>
        </w:tc>
        <w:tc>
          <w:tcPr>
            <w:tcW w:w="862" w:type="dxa"/>
            <w:tcBorders>
              <w:top w:val="nil"/>
              <w:left w:val="nil"/>
              <w:bottom w:val="single" w:sz="4" w:space="0" w:color="auto"/>
              <w:right w:val="single" w:sz="4" w:space="0" w:color="auto"/>
            </w:tcBorders>
            <w:shd w:val="clear" w:color="auto" w:fill="auto"/>
            <w:noWrap/>
            <w:vAlign w:val="center"/>
            <w:hideMark/>
          </w:tcPr>
          <w:p w14:paraId="3305854F"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5D805A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B5DF5B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EA7644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6BF2E6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F63A56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CCDD3B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F3FBEDD" w14:textId="77777777" w:rsidR="00E403D6" w:rsidRPr="00F10391" w:rsidRDefault="00E403D6">
            <w:r w:rsidRPr="00F10391">
              <w:t>Excluded</w:t>
            </w:r>
          </w:p>
        </w:tc>
      </w:tr>
      <w:tr w:rsidR="00E403D6" w:rsidRPr="00F10391" w14:paraId="3412C0A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8E0F831" w14:textId="77777777" w:rsidR="00E403D6" w:rsidRPr="00F10391" w:rsidRDefault="00E403D6" w:rsidP="0063065F">
            <w:pPr>
              <w:jc w:val="left"/>
            </w:pPr>
            <w:r w:rsidRPr="00F10391">
              <w:t>25/06/09</w:t>
            </w:r>
          </w:p>
        </w:tc>
        <w:tc>
          <w:tcPr>
            <w:tcW w:w="2720" w:type="dxa"/>
            <w:tcBorders>
              <w:top w:val="nil"/>
              <w:left w:val="nil"/>
              <w:bottom w:val="single" w:sz="4" w:space="0" w:color="auto"/>
              <w:right w:val="single" w:sz="4" w:space="0" w:color="auto"/>
            </w:tcBorders>
            <w:shd w:val="clear" w:color="auto" w:fill="auto"/>
            <w:vAlign w:val="center"/>
            <w:hideMark/>
          </w:tcPr>
          <w:p w14:paraId="699E704D" w14:textId="77777777" w:rsidR="00E403D6" w:rsidRPr="00F10391" w:rsidRDefault="00E403D6" w:rsidP="0063065F">
            <w:pPr>
              <w:jc w:val="left"/>
            </w:pPr>
            <w:r w:rsidRPr="00F10391">
              <w:t>Using Multiple Criteria Decision Analysis For Supporting Decisions Of Solid Waste Management</w:t>
            </w:r>
          </w:p>
        </w:tc>
        <w:tc>
          <w:tcPr>
            <w:tcW w:w="1985" w:type="dxa"/>
            <w:tcBorders>
              <w:top w:val="nil"/>
              <w:left w:val="nil"/>
              <w:bottom w:val="single" w:sz="4" w:space="0" w:color="auto"/>
              <w:right w:val="single" w:sz="4" w:space="0" w:color="auto"/>
            </w:tcBorders>
            <w:shd w:val="clear" w:color="auto" w:fill="auto"/>
            <w:vAlign w:val="center"/>
            <w:hideMark/>
          </w:tcPr>
          <w:p w14:paraId="7E472797" w14:textId="77777777" w:rsidR="00E403D6" w:rsidRPr="00F10391" w:rsidRDefault="00E403D6" w:rsidP="0063065F">
            <w:pPr>
              <w:jc w:val="left"/>
            </w:pPr>
            <w:r w:rsidRPr="00F10391">
              <w:t>Cheng, S; Chan, Cw; Huang, Gh</w:t>
            </w:r>
          </w:p>
        </w:tc>
        <w:tc>
          <w:tcPr>
            <w:tcW w:w="2078" w:type="dxa"/>
            <w:tcBorders>
              <w:top w:val="nil"/>
              <w:left w:val="nil"/>
              <w:bottom w:val="single" w:sz="4" w:space="0" w:color="auto"/>
              <w:right w:val="single" w:sz="4" w:space="0" w:color="auto"/>
            </w:tcBorders>
            <w:shd w:val="clear" w:color="auto" w:fill="auto"/>
            <w:vAlign w:val="center"/>
            <w:hideMark/>
          </w:tcPr>
          <w:p w14:paraId="0AC6C219" w14:textId="77777777" w:rsidR="00E403D6" w:rsidRPr="00F10391" w:rsidRDefault="00E403D6" w:rsidP="0063065F">
            <w:pPr>
              <w:jc w:val="left"/>
            </w:pPr>
            <w:r w:rsidRPr="00F10391">
              <w:t>Journal Of Environmental Science And Health Part A-Toxic/Hazardous Substances &amp; Environmental Engineering. 2002;37(6):975-990</w:t>
            </w:r>
          </w:p>
        </w:tc>
        <w:tc>
          <w:tcPr>
            <w:tcW w:w="862" w:type="dxa"/>
            <w:tcBorders>
              <w:top w:val="nil"/>
              <w:left w:val="nil"/>
              <w:bottom w:val="single" w:sz="4" w:space="0" w:color="auto"/>
              <w:right w:val="single" w:sz="4" w:space="0" w:color="auto"/>
            </w:tcBorders>
            <w:shd w:val="clear" w:color="auto" w:fill="auto"/>
            <w:noWrap/>
            <w:vAlign w:val="center"/>
            <w:hideMark/>
          </w:tcPr>
          <w:p w14:paraId="0610DE7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03393E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5BF18B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23AC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94CF1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D8D70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ABF150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F97227D" w14:textId="77777777" w:rsidR="00E403D6" w:rsidRPr="00F10391" w:rsidRDefault="00E403D6">
            <w:r w:rsidRPr="00F10391">
              <w:t>Excluded</w:t>
            </w:r>
          </w:p>
        </w:tc>
      </w:tr>
      <w:tr w:rsidR="00E403D6" w:rsidRPr="00F10391" w14:paraId="619F0EA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E754C5D" w14:textId="77777777" w:rsidR="00E403D6" w:rsidRPr="00F10391" w:rsidRDefault="00E403D6" w:rsidP="0063065F">
            <w:pPr>
              <w:jc w:val="left"/>
            </w:pPr>
            <w:r w:rsidRPr="00F10391">
              <w:t>26/06/09</w:t>
            </w:r>
          </w:p>
        </w:tc>
        <w:tc>
          <w:tcPr>
            <w:tcW w:w="2720" w:type="dxa"/>
            <w:tcBorders>
              <w:top w:val="nil"/>
              <w:left w:val="nil"/>
              <w:bottom w:val="single" w:sz="4" w:space="0" w:color="auto"/>
              <w:right w:val="single" w:sz="4" w:space="0" w:color="auto"/>
            </w:tcBorders>
            <w:shd w:val="clear" w:color="auto" w:fill="auto"/>
            <w:vAlign w:val="center"/>
            <w:hideMark/>
          </w:tcPr>
          <w:p w14:paraId="04FF5E23" w14:textId="77777777" w:rsidR="00E403D6" w:rsidRPr="00F10391" w:rsidRDefault="00E403D6" w:rsidP="0063065F">
            <w:pPr>
              <w:jc w:val="left"/>
            </w:pPr>
            <w:r w:rsidRPr="00F10391">
              <w:t>Evaluating Alternative Strategies For Wastewater Recycling And Reuse In The Mediterranean Area</w:t>
            </w:r>
          </w:p>
        </w:tc>
        <w:tc>
          <w:tcPr>
            <w:tcW w:w="1985" w:type="dxa"/>
            <w:tcBorders>
              <w:top w:val="nil"/>
              <w:left w:val="nil"/>
              <w:bottom w:val="single" w:sz="4" w:space="0" w:color="auto"/>
              <w:right w:val="single" w:sz="4" w:space="0" w:color="auto"/>
            </w:tcBorders>
            <w:shd w:val="clear" w:color="auto" w:fill="auto"/>
            <w:vAlign w:val="center"/>
            <w:hideMark/>
          </w:tcPr>
          <w:p w14:paraId="53CB09BB" w14:textId="77777777" w:rsidR="00E403D6" w:rsidRPr="00F10391" w:rsidRDefault="00E403D6" w:rsidP="0063065F">
            <w:pPr>
              <w:jc w:val="left"/>
            </w:pPr>
            <w:r w:rsidRPr="00F10391">
              <w:t>Ganoulis, J</w:t>
            </w:r>
          </w:p>
        </w:tc>
        <w:tc>
          <w:tcPr>
            <w:tcW w:w="2078" w:type="dxa"/>
            <w:tcBorders>
              <w:top w:val="nil"/>
              <w:left w:val="nil"/>
              <w:bottom w:val="single" w:sz="4" w:space="0" w:color="auto"/>
              <w:right w:val="single" w:sz="4" w:space="0" w:color="auto"/>
            </w:tcBorders>
            <w:shd w:val="clear" w:color="auto" w:fill="auto"/>
            <w:vAlign w:val="center"/>
            <w:hideMark/>
          </w:tcPr>
          <w:p w14:paraId="2F411A6F" w14:textId="77777777" w:rsidR="00E403D6" w:rsidRPr="00F10391" w:rsidRDefault="00E403D6" w:rsidP="0063065F">
            <w:pPr>
              <w:jc w:val="left"/>
            </w:pPr>
            <w:r w:rsidRPr="00F10391">
              <w:t>Water Recycling In The Mediterranean Region. 2003;3(4):11-19</w:t>
            </w:r>
          </w:p>
        </w:tc>
        <w:tc>
          <w:tcPr>
            <w:tcW w:w="862" w:type="dxa"/>
            <w:tcBorders>
              <w:top w:val="nil"/>
              <w:left w:val="nil"/>
              <w:bottom w:val="single" w:sz="4" w:space="0" w:color="auto"/>
              <w:right w:val="single" w:sz="4" w:space="0" w:color="auto"/>
            </w:tcBorders>
            <w:shd w:val="clear" w:color="auto" w:fill="auto"/>
            <w:noWrap/>
            <w:vAlign w:val="center"/>
            <w:hideMark/>
          </w:tcPr>
          <w:p w14:paraId="6F9FE37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3E5856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73C678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35DC54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66C14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410FA3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A5BBF6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CAF82A" w14:textId="77777777" w:rsidR="00E403D6" w:rsidRPr="00F10391" w:rsidRDefault="00E403D6">
            <w:r w:rsidRPr="00F10391">
              <w:t>Excluded</w:t>
            </w:r>
          </w:p>
        </w:tc>
      </w:tr>
      <w:tr w:rsidR="00E403D6" w:rsidRPr="00F10391" w14:paraId="7311032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E0189F0" w14:textId="77777777" w:rsidR="00E403D6" w:rsidRPr="00F10391" w:rsidRDefault="00E403D6" w:rsidP="0063065F">
            <w:pPr>
              <w:jc w:val="left"/>
            </w:pPr>
            <w:r w:rsidRPr="00F10391">
              <w:t>27/06/09</w:t>
            </w:r>
          </w:p>
        </w:tc>
        <w:tc>
          <w:tcPr>
            <w:tcW w:w="2720" w:type="dxa"/>
            <w:tcBorders>
              <w:top w:val="nil"/>
              <w:left w:val="nil"/>
              <w:bottom w:val="single" w:sz="4" w:space="0" w:color="auto"/>
              <w:right w:val="single" w:sz="4" w:space="0" w:color="auto"/>
            </w:tcBorders>
            <w:shd w:val="clear" w:color="auto" w:fill="auto"/>
            <w:vAlign w:val="center"/>
            <w:hideMark/>
          </w:tcPr>
          <w:p w14:paraId="0C15864C" w14:textId="77777777" w:rsidR="00E403D6" w:rsidRPr="00F10391" w:rsidRDefault="00E403D6" w:rsidP="0063065F">
            <w:pPr>
              <w:jc w:val="left"/>
            </w:pPr>
            <w:r w:rsidRPr="00F10391">
              <w:t>Multicriteria Decision Making (Mcdm) Model For Regional Sustainable Shrimp Farming Development In Northwest Mexico</w:t>
            </w:r>
          </w:p>
        </w:tc>
        <w:tc>
          <w:tcPr>
            <w:tcW w:w="1985" w:type="dxa"/>
            <w:tcBorders>
              <w:top w:val="nil"/>
              <w:left w:val="nil"/>
              <w:bottom w:val="single" w:sz="4" w:space="0" w:color="auto"/>
              <w:right w:val="single" w:sz="4" w:space="0" w:color="auto"/>
            </w:tcBorders>
            <w:shd w:val="clear" w:color="auto" w:fill="auto"/>
            <w:vAlign w:val="center"/>
            <w:hideMark/>
          </w:tcPr>
          <w:p w14:paraId="30CDB760" w14:textId="77777777" w:rsidR="00E403D6" w:rsidRPr="005D7324" w:rsidRDefault="00E403D6" w:rsidP="0063065F">
            <w:pPr>
              <w:jc w:val="left"/>
            </w:pPr>
            <w:r w:rsidRPr="005D7324">
              <w:t>Martinez-Cordero, Francisco J.; Leung, P. S.</w:t>
            </w:r>
          </w:p>
        </w:tc>
        <w:tc>
          <w:tcPr>
            <w:tcW w:w="2078" w:type="dxa"/>
            <w:tcBorders>
              <w:top w:val="nil"/>
              <w:left w:val="nil"/>
              <w:bottom w:val="single" w:sz="4" w:space="0" w:color="auto"/>
              <w:right w:val="single" w:sz="4" w:space="0" w:color="auto"/>
            </w:tcBorders>
            <w:shd w:val="clear" w:color="auto" w:fill="auto"/>
            <w:vAlign w:val="center"/>
            <w:hideMark/>
          </w:tcPr>
          <w:p w14:paraId="5F00A654" w14:textId="77777777" w:rsidR="00E403D6" w:rsidRPr="00F10391" w:rsidRDefault="00E403D6" w:rsidP="0063065F">
            <w:pPr>
              <w:jc w:val="left"/>
            </w:pPr>
            <w:r w:rsidRPr="00F10391">
              <w:t>Aquaculture Economics And Management. 2004;8(40270):179-192</w:t>
            </w:r>
          </w:p>
        </w:tc>
        <w:tc>
          <w:tcPr>
            <w:tcW w:w="862" w:type="dxa"/>
            <w:tcBorders>
              <w:top w:val="nil"/>
              <w:left w:val="nil"/>
              <w:bottom w:val="single" w:sz="4" w:space="0" w:color="auto"/>
              <w:right w:val="single" w:sz="4" w:space="0" w:color="auto"/>
            </w:tcBorders>
            <w:shd w:val="clear" w:color="auto" w:fill="auto"/>
            <w:noWrap/>
            <w:vAlign w:val="center"/>
            <w:hideMark/>
          </w:tcPr>
          <w:p w14:paraId="36F9D72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9BFEFE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3641B2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271BE7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A5CB2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36E856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201C20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87C4934" w14:textId="77777777" w:rsidR="00E403D6" w:rsidRPr="00F10391" w:rsidRDefault="00E403D6">
            <w:r w:rsidRPr="00F10391">
              <w:t>Not found</w:t>
            </w:r>
          </w:p>
        </w:tc>
      </w:tr>
      <w:tr w:rsidR="00E403D6" w:rsidRPr="00F10391" w14:paraId="4AF71BE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EB27635" w14:textId="77777777" w:rsidR="00E403D6" w:rsidRPr="00F10391" w:rsidRDefault="00E403D6" w:rsidP="0063065F">
            <w:pPr>
              <w:jc w:val="left"/>
            </w:pPr>
            <w:r w:rsidRPr="00F10391">
              <w:t>30/06/09</w:t>
            </w:r>
          </w:p>
        </w:tc>
        <w:tc>
          <w:tcPr>
            <w:tcW w:w="2720" w:type="dxa"/>
            <w:tcBorders>
              <w:top w:val="nil"/>
              <w:left w:val="nil"/>
              <w:bottom w:val="single" w:sz="4" w:space="0" w:color="auto"/>
              <w:right w:val="single" w:sz="4" w:space="0" w:color="auto"/>
            </w:tcBorders>
            <w:shd w:val="clear" w:color="auto" w:fill="auto"/>
            <w:vAlign w:val="center"/>
            <w:hideMark/>
          </w:tcPr>
          <w:p w14:paraId="4F6DD274" w14:textId="77777777" w:rsidR="00E403D6" w:rsidRPr="00F10391" w:rsidRDefault="00E403D6" w:rsidP="0063065F">
            <w:pPr>
              <w:jc w:val="left"/>
            </w:pPr>
            <w:r w:rsidRPr="00F10391">
              <w:t>A Novel Sustainable Decision Making Model For Municipal Solid Waste Management</w:t>
            </w:r>
          </w:p>
        </w:tc>
        <w:tc>
          <w:tcPr>
            <w:tcW w:w="1985" w:type="dxa"/>
            <w:tcBorders>
              <w:top w:val="nil"/>
              <w:left w:val="nil"/>
              <w:bottom w:val="single" w:sz="4" w:space="0" w:color="auto"/>
              <w:right w:val="single" w:sz="4" w:space="0" w:color="auto"/>
            </w:tcBorders>
            <w:shd w:val="clear" w:color="auto" w:fill="auto"/>
            <w:vAlign w:val="center"/>
            <w:hideMark/>
          </w:tcPr>
          <w:p w14:paraId="432F8814" w14:textId="77777777" w:rsidR="00E403D6" w:rsidRPr="005D7324" w:rsidRDefault="00E403D6" w:rsidP="0063065F">
            <w:pPr>
              <w:jc w:val="left"/>
            </w:pPr>
            <w:r w:rsidRPr="005D7324">
              <w:t>Hung, Ming-Lung; Ma, Hwong-Wen; Yang, Wan-Fa</w:t>
            </w:r>
          </w:p>
        </w:tc>
        <w:tc>
          <w:tcPr>
            <w:tcW w:w="2078" w:type="dxa"/>
            <w:tcBorders>
              <w:top w:val="nil"/>
              <w:left w:val="nil"/>
              <w:bottom w:val="single" w:sz="4" w:space="0" w:color="auto"/>
              <w:right w:val="single" w:sz="4" w:space="0" w:color="auto"/>
            </w:tcBorders>
            <w:shd w:val="clear" w:color="auto" w:fill="auto"/>
            <w:vAlign w:val="center"/>
            <w:hideMark/>
          </w:tcPr>
          <w:p w14:paraId="11843C3D" w14:textId="77777777" w:rsidR="00E403D6" w:rsidRPr="00F10391" w:rsidRDefault="00E403D6" w:rsidP="0063065F">
            <w:pPr>
              <w:jc w:val="left"/>
            </w:pPr>
            <w:r w:rsidRPr="00F10391">
              <w:t>Waste Management. 2007;27(2):209-219</w:t>
            </w:r>
          </w:p>
        </w:tc>
        <w:tc>
          <w:tcPr>
            <w:tcW w:w="862" w:type="dxa"/>
            <w:tcBorders>
              <w:top w:val="nil"/>
              <w:left w:val="nil"/>
              <w:bottom w:val="single" w:sz="4" w:space="0" w:color="auto"/>
              <w:right w:val="single" w:sz="4" w:space="0" w:color="auto"/>
            </w:tcBorders>
            <w:shd w:val="clear" w:color="auto" w:fill="auto"/>
            <w:noWrap/>
            <w:vAlign w:val="center"/>
            <w:hideMark/>
          </w:tcPr>
          <w:p w14:paraId="1907A2E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500B72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7803BF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88A3C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DFF121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D6589D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B65F19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0F3259F" w14:textId="77777777" w:rsidR="00E403D6" w:rsidRPr="00F10391" w:rsidRDefault="00E403D6">
            <w:r w:rsidRPr="00F10391">
              <w:t>Not found</w:t>
            </w:r>
          </w:p>
        </w:tc>
      </w:tr>
      <w:tr w:rsidR="00E403D6" w:rsidRPr="00F10391" w14:paraId="1FD1E7F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4F65047" w14:textId="77777777" w:rsidR="00E403D6" w:rsidRPr="00F10391" w:rsidRDefault="00E403D6" w:rsidP="0063065F">
            <w:pPr>
              <w:jc w:val="left"/>
            </w:pPr>
            <w:r w:rsidRPr="00F10391">
              <w:t>01/07/09</w:t>
            </w:r>
          </w:p>
        </w:tc>
        <w:tc>
          <w:tcPr>
            <w:tcW w:w="2720" w:type="dxa"/>
            <w:tcBorders>
              <w:top w:val="nil"/>
              <w:left w:val="nil"/>
              <w:bottom w:val="single" w:sz="4" w:space="0" w:color="auto"/>
              <w:right w:val="single" w:sz="4" w:space="0" w:color="auto"/>
            </w:tcBorders>
            <w:shd w:val="clear" w:color="auto" w:fill="auto"/>
            <w:vAlign w:val="center"/>
            <w:hideMark/>
          </w:tcPr>
          <w:p w14:paraId="787261B9" w14:textId="77777777" w:rsidR="00E403D6" w:rsidRPr="00F10391" w:rsidRDefault="00E403D6" w:rsidP="0063065F">
            <w:pPr>
              <w:jc w:val="left"/>
            </w:pPr>
            <w:r w:rsidRPr="00F10391">
              <w:t>A Fuzzy Mcdm Framework For The Environmental Pollution Potential Of Industries Focusing On Air Pollution</w:t>
            </w:r>
          </w:p>
        </w:tc>
        <w:tc>
          <w:tcPr>
            <w:tcW w:w="1985" w:type="dxa"/>
            <w:tcBorders>
              <w:top w:val="nil"/>
              <w:left w:val="nil"/>
              <w:bottom w:val="single" w:sz="4" w:space="0" w:color="auto"/>
              <w:right w:val="single" w:sz="4" w:space="0" w:color="auto"/>
            </w:tcBorders>
            <w:shd w:val="clear" w:color="auto" w:fill="auto"/>
            <w:vAlign w:val="center"/>
            <w:hideMark/>
          </w:tcPr>
          <w:p w14:paraId="571BDD4F" w14:textId="77777777" w:rsidR="00E403D6" w:rsidRPr="00F10391" w:rsidRDefault="00E403D6" w:rsidP="0063065F">
            <w:pPr>
              <w:jc w:val="left"/>
            </w:pPr>
            <w:r w:rsidRPr="00F10391">
              <w:t>Lad, R. K.; Christian, R. A.; Deshpande, A. W.</w:t>
            </w:r>
          </w:p>
        </w:tc>
        <w:tc>
          <w:tcPr>
            <w:tcW w:w="2078" w:type="dxa"/>
            <w:tcBorders>
              <w:top w:val="nil"/>
              <w:left w:val="nil"/>
              <w:bottom w:val="single" w:sz="4" w:space="0" w:color="auto"/>
              <w:right w:val="single" w:sz="4" w:space="0" w:color="auto"/>
            </w:tcBorders>
            <w:shd w:val="clear" w:color="auto" w:fill="auto"/>
            <w:vAlign w:val="center"/>
            <w:hideMark/>
          </w:tcPr>
          <w:p w14:paraId="6305F724" w14:textId="77777777" w:rsidR="00E403D6" w:rsidRPr="00F10391" w:rsidRDefault="00E403D6" w:rsidP="0063065F">
            <w:pPr>
              <w:jc w:val="left"/>
            </w:pPr>
            <w:r w:rsidRPr="00F10391">
              <w:t>Air Pollution Xvi. 2008;116():617-626</w:t>
            </w:r>
          </w:p>
        </w:tc>
        <w:tc>
          <w:tcPr>
            <w:tcW w:w="862" w:type="dxa"/>
            <w:tcBorders>
              <w:top w:val="nil"/>
              <w:left w:val="nil"/>
              <w:bottom w:val="single" w:sz="4" w:space="0" w:color="auto"/>
              <w:right w:val="single" w:sz="4" w:space="0" w:color="auto"/>
            </w:tcBorders>
            <w:shd w:val="clear" w:color="auto" w:fill="auto"/>
            <w:noWrap/>
            <w:vAlign w:val="center"/>
            <w:hideMark/>
          </w:tcPr>
          <w:p w14:paraId="76E6F8F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5E91FB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B72E4E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C382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6F5EA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F8ED20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51D558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165F76C" w14:textId="77777777" w:rsidR="00E403D6" w:rsidRPr="00F10391" w:rsidRDefault="00E403D6">
            <w:r w:rsidRPr="00F10391">
              <w:t>Excluded</w:t>
            </w:r>
          </w:p>
        </w:tc>
      </w:tr>
      <w:tr w:rsidR="00E403D6" w:rsidRPr="00F10391" w14:paraId="2401323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2BCC0A0" w14:textId="77777777" w:rsidR="00E403D6" w:rsidRPr="00F10391" w:rsidRDefault="00E403D6" w:rsidP="0063065F">
            <w:pPr>
              <w:jc w:val="left"/>
            </w:pPr>
            <w:r w:rsidRPr="00F10391">
              <w:t>01/07/09</w:t>
            </w:r>
          </w:p>
        </w:tc>
        <w:tc>
          <w:tcPr>
            <w:tcW w:w="2720" w:type="dxa"/>
            <w:tcBorders>
              <w:top w:val="nil"/>
              <w:left w:val="nil"/>
              <w:bottom w:val="single" w:sz="4" w:space="0" w:color="auto"/>
              <w:right w:val="single" w:sz="4" w:space="0" w:color="auto"/>
            </w:tcBorders>
            <w:shd w:val="clear" w:color="auto" w:fill="auto"/>
            <w:vAlign w:val="center"/>
            <w:hideMark/>
          </w:tcPr>
          <w:p w14:paraId="2E36A86C" w14:textId="77777777" w:rsidR="00E403D6" w:rsidRPr="00F10391" w:rsidRDefault="00FC1DDE" w:rsidP="0063065F">
            <w:pPr>
              <w:jc w:val="left"/>
            </w:pPr>
            <w:r w:rsidRPr="00F10391">
              <w:t>Transshipment Site Selection Using The AHP And TOPSIS Approaches Under Fuzzy Environment</w:t>
            </w:r>
          </w:p>
        </w:tc>
        <w:tc>
          <w:tcPr>
            <w:tcW w:w="1985" w:type="dxa"/>
            <w:tcBorders>
              <w:top w:val="nil"/>
              <w:left w:val="nil"/>
              <w:bottom w:val="single" w:sz="4" w:space="0" w:color="auto"/>
              <w:right w:val="single" w:sz="4" w:space="0" w:color="auto"/>
            </w:tcBorders>
            <w:shd w:val="clear" w:color="auto" w:fill="auto"/>
            <w:vAlign w:val="center"/>
            <w:hideMark/>
          </w:tcPr>
          <w:p w14:paraId="01E7F91A" w14:textId="77777777" w:rsidR="00E403D6" w:rsidRPr="00F10391" w:rsidRDefault="00E403D6" w:rsidP="0063065F">
            <w:pPr>
              <w:jc w:val="left"/>
            </w:pPr>
            <w:r w:rsidRPr="00F10391">
              <w:t>Oenuet, Semih; Soner, Selin</w:t>
            </w:r>
          </w:p>
        </w:tc>
        <w:tc>
          <w:tcPr>
            <w:tcW w:w="2078" w:type="dxa"/>
            <w:tcBorders>
              <w:top w:val="nil"/>
              <w:left w:val="nil"/>
              <w:bottom w:val="single" w:sz="4" w:space="0" w:color="auto"/>
              <w:right w:val="single" w:sz="4" w:space="0" w:color="auto"/>
            </w:tcBorders>
            <w:shd w:val="clear" w:color="auto" w:fill="auto"/>
            <w:vAlign w:val="center"/>
            <w:hideMark/>
          </w:tcPr>
          <w:p w14:paraId="3B4C00F6" w14:textId="77777777" w:rsidR="00E403D6" w:rsidRPr="00F10391" w:rsidRDefault="00E403D6" w:rsidP="0063065F">
            <w:pPr>
              <w:jc w:val="left"/>
            </w:pPr>
            <w:r w:rsidRPr="00F10391">
              <w:t>Waste Management. 2008;28(9):1552-1559</w:t>
            </w:r>
          </w:p>
        </w:tc>
        <w:tc>
          <w:tcPr>
            <w:tcW w:w="862" w:type="dxa"/>
            <w:tcBorders>
              <w:top w:val="nil"/>
              <w:left w:val="nil"/>
              <w:bottom w:val="single" w:sz="4" w:space="0" w:color="auto"/>
              <w:right w:val="single" w:sz="4" w:space="0" w:color="auto"/>
            </w:tcBorders>
            <w:shd w:val="clear" w:color="auto" w:fill="auto"/>
            <w:noWrap/>
            <w:vAlign w:val="center"/>
            <w:hideMark/>
          </w:tcPr>
          <w:p w14:paraId="6DCD9EC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4513F1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BEE268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47F1D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51589D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654E00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1245DB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B2C0D26" w14:textId="77777777" w:rsidR="00E403D6" w:rsidRPr="00F10391" w:rsidRDefault="00E403D6">
            <w:r w:rsidRPr="00F10391">
              <w:t>Excluded</w:t>
            </w:r>
          </w:p>
        </w:tc>
      </w:tr>
      <w:tr w:rsidR="00E403D6" w:rsidRPr="00F10391" w14:paraId="14A098B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CF01F6D" w14:textId="77777777" w:rsidR="00E403D6" w:rsidRPr="00F10391" w:rsidRDefault="00E403D6" w:rsidP="0063065F">
            <w:pPr>
              <w:jc w:val="left"/>
            </w:pPr>
            <w:r w:rsidRPr="00F10391">
              <w:t>01/07/09</w:t>
            </w:r>
          </w:p>
        </w:tc>
        <w:tc>
          <w:tcPr>
            <w:tcW w:w="2720" w:type="dxa"/>
            <w:tcBorders>
              <w:top w:val="nil"/>
              <w:left w:val="nil"/>
              <w:bottom w:val="single" w:sz="4" w:space="0" w:color="auto"/>
              <w:right w:val="single" w:sz="4" w:space="0" w:color="auto"/>
            </w:tcBorders>
            <w:shd w:val="clear" w:color="auto" w:fill="auto"/>
            <w:vAlign w:val="center"/>
            <w:hideMark/>
          </w:tcPr>
          <w:p w14:paraId="02F28253" w14:textId="77777777" w:rsidR="00E403D6" w:rsidRPr="00F10391" w:rsidRDefault="00E403D6" w:rsidP="0063065F">
            <w:pPr>
              <w:jc w:val="left"/>
            </w:pPr>
            <w:r w:rsidRPr="00F10391">
              <w:t>Multi-Criteria Analysis For The Determination Of The Best Weee Management Scenario In Cyprus</w:t>
            </w:r>
          </w:p>
        </w:tc>
        <w:tc>
          <w:tcPr>
            <w:tcW w:w="1985" w:type="dxa"/>
            <w:tcBorders>
              <w:top w:val="nil"/>
              <w:left w:val="nil"/>
              <w:bottom w:val="single" w:sz="4" w:space="0" w:color="auto"/>
              <w:right w:val="single" w:sz="4" w:space="0" w:color="auto"/>
            </w:tcBorders>
            <w:shd w:val="clear" w:color="auto" w:fill="auto"/>
            <w:vAlign w:val="center"/>
            <w:hideMark/>
          </w:tcPr>
          <w:p w14:paraId="2C7E68F2" w14:textId="77777777" w:rsidR="00E403D6" w:rsidRPr="005D7324" w:rsidRDefault="00E403D6" w:rsidP="0063065F">
            <w:pPr>
              <w:jc w:val="left"/>
            </w:pPr>
            <w:r w:rsidRPr="005D7324">
              <w:t>Rousis, K.; Moustakas, K.; Malamis, S.; Papadopoulos, A.; Loizidou, M.</w:t>
            </w:r>
          </w:p>
        </w:tc>
        <w:tc>
          <w:tcPr>
            <w:tcW w:w="2078" w:type="dxa"/>
            <w:tcBorders>
              <w:top w:val="nil"/>
              <w:left w:val="nil"/>
              <w:bottom w:val="single" w:sz="4" w:space="0" w:color="auto"/>
              <w:right w:val="single" w:sz="4" w:space="0" w:color="auto"/>
            </w:tcBorders>
            <w:shd w:val="clear" w:color="auto" w:fill="auto"/>
            <w:vAlign w:val="center"/>
            <w:hideMark/>
          </w:tcPr>
          <w:p w14:paraId="088CC7A3" w14:textId="77777777" w:rsidR="00E403D6" w:rsidRPr="00F10391" w:rsidRDefault="00E403D6" w:rsidP="0063065F">
            <w:pPr>
              <w:jc w:val="left"/>
            </w:pPr>
            <w:r w:rsidRPr="00F10391">
              <w:t>Waste Management. 2008;28(10):1941-1954</w:t>
            </w:r>
          </w:p>
        </w:tc>
        <w:tc>
          <w:tcPr>
            <w:tcW w:w="862" w:type="dxa"/>
            <w:tcBorders>
              <w:top w:val="nil"/>
              <w:left w:val="nil"/>
              <w:bottom w:val="single" w:sz="4" w:space="0" w:color="auto"/>
              <w:right w:val="single" w:sz="4" w:space="0" w:color="auto"/>
            </w:tcBorders>
            <w:shd w:val="clear" w:color="auto" w:fill="auto"/>
            <w:noWrap/>
            <w:vAlign w:val="center"/>
            <w:hideMark/>
          </w:tcPr>
          <w:p w14:paraId="1BD379C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AF39EA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F1A8B4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5E84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019A9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193C64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D2A799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1869F78" w14:textId="77777777" w:rsidR="00E403D6" w:rsidRPr="00F10391" w:rsidRDefault="00E403D6">
            <w:r w:rsidRPr="00F10391">
              <w:t>Excluded</w:t>
            </w:r>
          </w:p>
        </w:tc>
      </w:tr>
      <w:tr w:rsidR="00E403D6" w:rsidRPr="00F10391" w14:paraId="160D344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0102B7A" w14:textId="77777777" w:rsidR="00E403D6" w:rsidRPr="00F10391" w:rsidRDefault="00E403D6" w:rsidP="0063065F">
            <w:pPr>
              <w:jc w:val="left"/>
            </w:pPr>
            <w:r w:rsidRPr="00F10391">
              <w:t>02/07/09</w:t>
            </w:r>
          </w:p>
        </w:tc>
        <w:tc>
          <w:tcPr>
            <w:tcW w:w="2720" w:type="dxa"/>
            <w:tcBorders>
              <w:top w:val="nil"/>
              <w:left w:val="nil"/>
              <w:bottom w:val="single" w:sz="4" w:space="0" w:color="auto"/>
              <w:right w:val="single" w:sz="4" w:space="0" w:color="auto"/>
            </w:tcBorders>
            <w:shd w:val="clear" w:color="auto" w:fill="auto"/>
            <w:vAlign w:val="center"/>
            <w:hideMark/>
          </w:tcPr>
          <w:p w14:paraId="3760D697" w14:textId="77777777" w:rsidR="00E403D6" w:rsidRPr="00F10391" w:rsidRDefault="00E403D6" w:rsidP="0063065F">
            <w:pPr>
              <w:jc w:val="left"/>
            </w:pPr>
            <w:r w:rsidRPr="00F10391">
              <w:t>Integrating Decision Tree And Hidden Markov Model (Hmm) For Subtype Prediction Of Human Influenza A Virus</w:t>
            </w:r>
          </w:p>
        </w:tc>
        <w:tc>
          <w:tcPr>
            <w:tcW w:w="1985" w:type="dxa"/>
            <w:tcBorders>
              <w:top w:val="nil"/>
              <w:left w:val="nil"/>
              <w:bottom w:val="single" w:sz="4" w:space="0" w:color="auto"/>
              <w:right w:val="single" w:sz="4" w:space="0" w:color="auto"/>
            </w:tcBorders>
            <w:shd w:val="clear" w:color="auto" w:fill="auto"/>
            <w:vAlign w:val="center"/>
            <w:hideMark/>
          </w:tcPr>
          <w:p w14:paraId="19152EA8" w14:textId="77777777" w:rsidR="00E403D6" w:rsidRPr="00F10391" w:rsidRDefault="00E403D6" w:rsidP="0063065F">
            <w:pPr>
              <w:jc w:val="left"/>
            </w:pPr>
            <w:r w:rsidRPr="00F10391">
              <w:t>Attaluri, Pavan K.; Chen, Zhengxin; Weerakoon, Aruna M.; Lu, Guoqing</w:t>
            </w:r>
          </w:p>
        </w:tc>
        <w:tc>
          <w:tcPr>
            <w:tcW w:w="2078" w:type="dxa"/>
            <w:tcBorders>
              <w:top w:val="nil"/>
              <w:left w:val="nil"/>
              <w:bottom w:val="single" w:sz="4" w:space="0" w:color="auto"/>
              <w:right w:val="single" w:sz="4" w:space="0" w:color="auto"/>
            </w:tcBorders>
            <w:shd w:val="clear" w:color="auto" w:fill="auto"/>
            <w:vAlign w:val="center"/>
            <w:hideMark/>
          </w:tcPr>
          <w:p w14:paraId="5CABA7AA" w14:textId="77777777" w:rsidR="00E403D6" w:rsidRPr="00F10391" w:rsidRDefault="00E403D6" w:rsidP="0063065F">
            <w:pPr>
              <w:jc w:val="left"/>
            </w:pPr>
            <w:r w:rsidRPr="00F10391">
              <w:t>Cutting-Edge Research Topics On Multiple Criteria Decision Making, Proceedings. 2009;35():52-58</w:t>
            </w:r>
          </w:p>
        </w:tc>
        <w:tc>
          <w:tcPr>
            <w:tcW w:w="862" w:type="dxa"/>
            <w:tcBorders>
              <w:top w:val="nil"/>
              <w:left w:val="nil"/>
              <w:bottom w:val="single" w:sz="4" w:space="0" w:color="auto"/>
              <w:right w:val="single" w:sz="4" w:space="0" w:color="auto"/>
            </w:tcBorders>
            <w:shd w:val="clear" w:color="auto" w:fill="auto"/>
            <w:noWrap/>
            <w:vAlign w:val="center"/>
            <w:hideMark/>
          </w:tcPr>
          <w:p w14:paraId="404C0D4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0A66BE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B867A9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19245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C939CE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5F83E5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F7B5EE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AF57819" w14:textId="77777777" w:rsidR="00E403D6" w:rsidRPr="00F10391" w:rsidRDefault="00E403D6">
            <w:r w:rsidRPr="00F10391">
              <w:t>Excluded</w:t>
            </w:r>
          </w:p>
        </w:tc>
      </w:tr>
      <w:tr w:rsidR="00E403D6" w:rsidRPr="00F10391" w14:paraId="4904977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39BF997" w14:textId="77777777" w:rsidR="00E403D6" w:rsidRPr="00F10391" w:rsidRDefault="00E403D6" w:rsidP="0063065F">
            <w:pPr>
              <w:jc w:val="left"/>
            </w:pPr>
            <w:r w:rsidRPr="00F10391">
              <w:t>02/07/09</w:t>
            </w:r>
          </w:p>
        </w:tc>
        <w:tc>
          <w:tcPr>
            <w:tcW w:w="2720" w:type="dxa"/>
            <w:tcBorders>
              <w:top w:val="nil"/>
              <w:left w:val="nil"/>
              <w:bottom w:val="single" w:sz="4" w:space="0" w:color="auto"/>
              <w:right w:val="single" w:sz="4" w:space="0" w:color="auto"/>
            </w:tcBorders>
            <w:shd w:val="clear" w:color="auto" w:fill="auto"/>
            <w:vAlign w:val="center"/>
            <w:hideMark/>
          </w:tcPr>
          <w:p w14:paraId="61C2CF40" w14:textId="77777777" w:rsidR="00E403D6" w:rsidRPr="00F10391" w:rsidRDefault="00E403D6" w:rsidP="0063065F">
            <w:pPr>
              <w:jc w:val="left"/>
            </w:pPr>
            <w:r w:rsidRPr="00F10391">
              <w:t xml:space="preserve">Decision Support Systems And Environment: Role Of </w:t>
            </w:r>
            <w:r w:rsidR="00FC1DDE" w:rsidRPr="00F10391">
              <w:t>MCDA</w:t>
            </w:r>
          </w:p>
        </w:tc>
        <w:tc>
          <w:tcPr>
            <w:tcW w:w="1985" w:type="dxa"/>
            <w:tcBorders>
              <w:top w:val="nil"/>
              <w:left w:val="nil"/>
              <w:bottom w:val="single" w:sz="4" w:space="0" w:color="auto"/>
              <w:right w:val="single" w:sz="4" w:space="0" w:color="auto"/>
            </w:tcBorders>
            <w:shd w:val="clear" w:color="auto" w:fill="auto"/>
            <w:vAlign w:val="center"/>
            <w:hideMark/>
          </w:tcPr>
          <w:p w14:paraId="0995A956" w14:textId="77777777" w:rsidR="00E403D6" w:rsidRPr="005D7324" w:rsidRDefault="00E403D6" w:rsidP="0063065F">
            <w:pPr>
              <w:jc w:val="left"/>
            </w:pPr>
            <w:r w:rsidRPr="005D7324">
              <w:t>Giove, Silvio; Brancia, Adriana; Satterstrom, F. Kyle; Linkov, Igor</w:t>
            </w:r>
          </w:p>
        </w:tc>
        <w:tc>
          <w:tcPr>
            <w:tcW w:w="2078" w:type="dxa"/>
            <w:tcBorders>
              <w:top w:val="nil"/>
              <w:left w:val="nil"/>
              <w:bottom w:val="single" w:sz="4" w:space="0" w:color="auto"/>
              <w:right w:val="single" w:sz="4" w:space="0" w:color="auto"/>
            </w:tcBorders>
            <w:shd w:val="clear" w:color="auto" w:fill="auto"/>
            <w:vAlign w:val="center"/>
            <w:hideMark/>
          </w:tcPr>
          <w:p w14:paraId="4D8E0EF9" w14:textId="77777777" w:rsidR="00E403D6" w:rsidRPr="00F10391" w:rsidRDefault="00E403D6" w:rsidP="0063065F">
            <w:pPr>
              <w:jc w:val="left"/>
            </w:pPr>
            <w:r w:rsidRPr="00F10391">
              <w:t>Decision Support Systems For Risk-Based Management Of Contaminated Sites. 2009;():53-73</w:t>
            </w:r>
          </w:p>
        </w:tc>
        <w:tc>
          <w:tcPr>
            <w:tcW w:w="862" w:type="dxa"/>
            <w:tcBorders>
              <w:top w:val="nil"/>
              <w:left w:val="nil"/>
              <w:bottom w:val="single" w:sz="4" w:space="0" w:color="auto"/>
              <w:right w:val="single" w:sz="4" w:space="0" w:color="auto"/>
            </w:tcBorders>
            <w:shd w:val="clear" w:color="auto" w:fill="auto"/>
            <w:noWrap/>
            <w:vAlign w:val="center"/>
            <w:hideMark/>
          </w:tcPr>
          <w:p w14:paraId="5DE1524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81E563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EDF6A4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BFE0DC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62494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1A304E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60034E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0F9C4ED" w14:textId="77777777" w:rsidR="00E403D6" w:rsidRPr="00F10391" w:rsidRDefault="00E403D6">
            <w:r w:rsidRPr="00F10391">
              <w:t>Excluded</w:t>
            </w:r>
          </w:p>
        </w:tc>
      </w:tr>
      <w:tr w:rsidR="00E403D6" w:rsidRPr="00F10391" w14:paraId="144B286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0342C4A" w14:textId="77777777" w:rsidR="00E403D6" w:rsidRPr="00F10391" w:rsidRDefault="00E403D6" w:rsidP="0063065F">
            <w:pPr>
              <w:jc w:val="left"/>
            </w:pPr>
            <w:r w:rsidRPr="00F10391">
              <w:t>03/07/09</w:t>
            </w:r>
          </w:p>
        </w:tc>
        <w:tc>
          <w:tcPr>
            <w:tcW w:w="2720" w:type="dxa"/>
            <w:tcBorders>
              <w:top w:val="nil"/>
              <w:left w:val="nil"/>
              <w:bottom w:val="single" w:sz="4" w:space="0" w:color="auto"/>
              <w:right w:val="single" w:sz="4" w:space="0" w:color="auto"/>
            </w:tcBorders>
            <w:shd w:val="clear" w:color="auto" w:fill="auto"/>
            <w:vAlign w:val="center"/>
            <w:hideMark/>
          </w:tcPr>
          <w:p w14:paraId="7C93EE38" w14:textId="77777777" w:rsidR="00E403D6" w:rsidRPr="00F10391" w:rsidRDefault="00E403D6" w:rsidP="0063065F">
            <w:pPr>
              <w:jc w:val="left"/>
            </w:pPr>
            <w:r w:rsidRPr="00F10391">
              <w:t>The Effect Of Standardization In Multicriteria Decision Analysis On Health Policy Outcomes</w:t>
            </w:r>
          </w:p>
        </w:tc>
        <w:tc>
          <w:tcPr>
            <w:tcW w:w="1985" w:type="dxa"/>
            <w:tcBorders>
              <w:top w:val="nil"/>
              <w:left w:val="nil"/>
              <w:bottom w:val="single" w:sz="4" w:space="0" w:color="auto"/>
              <w:right w:val="single" w:sz="4" w:space="0" w:color="auto"/>
            </w:tcBorders>
            <w:shd w:val="clear" w:color="auto" w:fill="auto"/>
            <w:vAlign w:val="center"/>
            <w:hideMark/>
          </w:tcPr>
          <w:p w14:paraId="5226C44B" w14:textId="77777777" w:rsidR="00E403D6" w:rsidRPr="00F10391" w:rsidRDefault="00E403D6" w:rsidP="0063065F">
            <w:pPr>
              <w:jc w:val="left"/>
            </w:pPr>
            <w:r w:rsidRPr="00F10391">
              <w:t>Young, Jacqueline; Rinner, Claus; Patychuk, Dianne</w:t>
            </w:r>
          </w:p>
        </w:tc>
        <w:tc>
          <w:tcPr>
            <w:tcW w:w="2078" w:type="dxa"/>
            <w:tcBorders>
              <w:top w:val="nil"/>
              <w:left w:val="nil"/>
              <w:bottom w:val="single" w:sz="4" w:space="0" w:color="auto"/>
              <w:right w:val="single" w:sz="4" w:space="0" w:color="auto"/>
            </w:tcBorders>
            <w:shd w:val="clear" w:color="auto" w:fill="auto"/>
            <w:vAlign w:val="center"/>
            <w:hideMark/>
          </w:tcPr>
          <w:p w14:paraId="34454518" w14:textId="77777777" w:rsidR="00E403D6" w:rsidRPr="00F10391" w:rsidRDefault="00E403D6" w:rsidP="0063065F">
            <w:pPr>
              <w:jc w:val="left"/>
            </w:pPr>
            <w:r w:rsidRPr="00F10391">
              <w:t>Advances In Intelligent Decision Technologies. 2010;4():299-307</w:t>
            </w:r>
          </w:p>
        </w:tc>
        <w:tc>
          <w:tcPr>
            <w:tcW w:w="862" w:type="dxa"/>
            <w:tcBorders>
              <w:top w:val="nil"/>
              <w:left w:val="nil"/>
              <w:bottom w:val="single" w:sz="4" w:space="0" w:color="auto"/>
              <w:right w:val="single" w:sz="4" w:space="0" w:color="auto"/>
            </w:tcBorders>
            <w:shd w:val="clear" w:color="auto" w:fill="auto"/>
            <w:noWrap/>
            <w:vAlign w:val="center"/>
            <w:hideMark/>
          </w:tcPr>
          <w:p w14:paraId="6078670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614A7E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179D2C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999282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3A5B7D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78B310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E5165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C97BD6E" w14:textId="77777777" w:rsidR="00E403D6" w:rsidRPr="00F10391" w:rsidRDefault="00E403D6">
            <w:r w:rsidRPr="00F10391">
              <w:t>Not found</w:t>
            </w:r>
          </w:p>
        </w:tc>
      </w:tr>
      <w:tr w:rsidR="00E403D6" w:rsidRPr="00F10391" w14:paraId="11A47CD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2592885" w14:textId="77777777" w:rsidR="00E403D6" w:rsidRPr="00F10391" w:rsidRDefault="00E403D6" w:rsidP="0063065F">
            <w:pPr>
              <w:jc w:val="left"/>
            </w:pPr>
            <w:r w:rsidRPr="00F10391">
              <w:t>03/07/09</w:t>
            </w:r>
          </w:p>
        </w:tc>
        <w:tc>
          <w:tcPr>
            <w:tcW w:w="2720" w:type="dxa"/>
            <w:tcBorders>
              <w:top w:val="nil"/>
              <w:left w:val="nil"/>
              <w:bottom w:val="single" w:sz="4" w:space="0" w:color="auto"/>
              <w:right w:val="single" w:sz="4" w:space="0" w:color="auto"/>
            </w:tcBorders>
            <w:shd w:val="clear" w:color="auto" w:fill="auto"/>
            <w:vAlign w:val="center"/>
            <w:hideMark/>
          </w:tcPr>
          <w:p w14:paraId="517445E4" w14:textId="77777777" w:rsidR="00E403D6" w:rsidRPr="00F10391" w:rsidRDefault="00E403D6" w:rsidP="0063065F">
            <w:pPr>
              <w:jc w:val="left"/>
            </w:pPr>
            <w:r w:rsidRPr="00F10391">
              <w:t>Developing A Strategy Evaluation System For Healthcare Organisations</w:t>
            </w:r>
          </w:p>
        </w:tc>
        <w:tc>
          <w:tcPr>
            <w:tcW w:w="1985" w:type="dxa"/>
            <w:tcBorders>
              <w:top w:val="nil"/>
              <w:left w:val="nil"/>
              <w:bottom w:val="single" w:sz="4" w:space="0" w:color="auto"/>
              <w:right w:val="single" w:sz="4" w:space="0" w:color="auto"/>
            </w:tcBorders>
            <w:shd w:val="clear" w:color="auto" w:fill="auto"/>
            <w:vAlign w:val="center"/>
            <w:hideMark/>
          </w:tcPr>
          <w:p w14:paraId="74AA11EB" w14:textId="77777777" w:rsidR="00E403D6" w:rsidRPr="00F10391" w:rsidRDefault="00E403D6" w:rsidP="0063065F">
            <w:pPr>
              <w:jc w:val="left"/>
            </w:pPr>
            <w:r w:rsidRPr="00F10391">
              <w:t>Grigoroudis, E.; Orfanoudaki, E.; Zopounidis, C.</w:t>
            </w:r>
          </w:p>
        </w:tc>
        <w:tc>
          <w:tcPr>
            <w:tcW w:w="2078" w:type="dxa"/>
            <w:tcBorders>
              <w:top w:val="nil"/>
              <w:left w:val="nil"/>
              <w:bottom w:val="single" w:sz="4" w:space="0" w:color="auto"/>
              <w:right w:val="single" w:sz="4" w:space="0" w:color="auto"/>
            </w:tcBorders>
            <w:shd w:val="clear" w:color="auto" w:fill="auto"/>
            <w:vAlign w:val="center"/>
            <w:hideMark/>
          </w:tcPr>
          <w:p w14:paraId="3B7E5943" w14:textId="77777777" w:rsidR="00E403D6" w:rsidRPr="00F10391" w:rsidRDefault="00E403D6" w:rsidP="0063065F">
            <w:pPr>
              <w:jc w:val="left"/>
            </w:pPr>
            <w:r w:rsidRPr="00F10391">
              <w:t>Multiple Criteria Decision Aiding. 2010;():139-174</w:t>
            </w:r>
          </w:p>
        </w:tc>
        <w:tc>
          <w:tcPr>
            <w:tcW w:w="862" w:type="dxa"/>
            <w:tcBorders>
              <w:top w:val="nil"/>
              <w:left w:val="nil"/>
              <w:bottom w:val="single" w:sz="4" w:space="0" w:color="auto"/>
              <w:right w:val="single" w:sz="4" w:space="0" w:color="auto"/>
            </w:tcBorders>
            <w:shd w:val="clear" w:color="auto" w:fill="auto"/>
            <w:noWrap/>
            <w:vAlign w:val="center"/>
            <w:hideMark/>
          </w:tcPr>
          <w:p w14:paraId="7933209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97695C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55DBC0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80246B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60620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9C93A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7DA79D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3800749" w14:textId="77777777" w:rsidR="00E403D6" w:rsidRPr="00F10391" w:rsidRDefault="00E403D6">
            <w:r w:rsidRPr="00F10391">
              <w:t>Not found</w:t>
            </w:r>
          </w:p>
        </w:tc>
      </w:tr>
      <w:tr w:rsidR="00E403D6" w:rsidRPr="00F10391" w14:paraId="1561385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E565816" w14:textId="77777777" w:rsidR="00E403D6" w:rsidRPr="00F10391" w:rsidRDefault="00E403D6" w:rsidP="0063065F">
            <w:pPr>
              <w:jc w:val="left"/>
            </w:pPr>
            <w:r w:rsidRPr="00F10391">
              <w:t>05/07/09</w:t>
            </w:r>
          </w:p>
        </w:tc>
        <w:tc>
          <w:tcPr>
            <w:tcW w:w="2720" w:type="dxa"/>
            <w:tcBorders>
              <w:top w:val="nil"/>
              <w:left w:val="nil"/>
              <w:bottom w:val="single" w:sz="4" w:space="0" w:color="auto"/>
              <w:right w:val="single" w:sz="4" w:space="0" w:color="auto"/>
            </w:tcBorders>
            <w:shd w:val="clear" w:color="auto" w:fill="auto"/>
            <w:vAlign w:val="center"/>
            <w:hideMark/>
          </w:tcPr>
          <w:p w14:paraId="017E3A3C" w14:textId="77777777" w:rsidR="00E403D6" w:rsidRPr="00F10391" w:rsidRDefault="00E403D6" w:rsidP="0063065F">
            <w:pPr>
              <w:jc w:val="left"/>
            </w:pPr>
            <w:r w:rsidRPr="00F10391">
              <w:t>Prioritization Of Rehabilitation Interventions For Urban Water Assets Using Multiple Criteria Decision-Aid Methods</w:t>
            </w:r>
          </w:p>
        </w:tc>
        <w:tc>
          <w:tcPr>
            <w:tcW w:w="1985" w:type="dxa"/>
            <w:tcBorders>
              <w:top w:val="nil"/>
              <w:left w:val="nil"/>
              <w:bottom w:val="single" w:sz="4" w:space="0" w:color="auto"/>
              <w:right w:val="single" w:sz="4" w:space="0" w:color="auto"/>
            </w:tcBorders>
            <w:shd w:val="clear" w:color="auto" w:fill="auto"/>
            <w:vAlign w:val="center"/>
            <w:hideMark/>
          </w:tcPr>
          <w:p w14:paraId="628CB52F" w14:textId="77777777" w:rsidR="00E403D6" w:rsidRPr="005D7324" w:rsidRDefault="00E403D6" w:rsidP="0063065F">
            <w:pPr>
              <w:jc w:val="left"/>
            </w:pPr>
            <w:r w:rsidRPr="005D7324">
              <w:t>Carrico, N.; Covas, D. I. C.; Ceu Almeida, M.; Leitao, J. P.; Alegre, H.</w:t>
            </w:r>
          </w:p>
        </w:tc>
        <w:tc>
          <w:tcPr>
            <w:tcW w:w="2078" w:type="dxa"/>
            <w:tcBorders>
              <w:top w:val="nil"/>
              <w:left w:val="nil"/>
              <w:bottom w:val="single" w:sz="4" w:space="0" w:color="auto"/>
              <w:right w:val="single" w:sz="4" w:space="0" w:color="auto"/>
            </w:tcBorders>
            <w:shd w:val="clear" w:color="auto" w:fill="auto"/>
            <w:vAlign w:val="center"/>
            <w:hideMark/>
          </w:tcPr>
          <w:p w14:paraId="4B0FBE6A" w14:textId="77777777" w:rsidR="00E403D6" w:rsidRPr="00F10391" w:rsidRDefault="00E403D6" w:rsidP="0063065F">
            <w:pPr>
              <w:jc w:val="left"/>
            </w:pPr>
            <w:r w:rsidRPr="00F10391">
              <w:t>Water Science And Technology. 2012;66(5):1007-1014</w:t>
            </w:r>
          </w:p>
        </w:tc>
        <w:tc>
          <w:tcPr>
            <w:tcW w:w="862" w:type="dxa"/>
            <w:tcBorders>
              <w:top w:val="nil"/>
              <w:left w:val="nil"/>
              <w:bottom w:val="single" w:sz="4" w:space="0" w:color="auto"/>
              <w:right w:val="single" w:sz="4" w:space="0" w:color="auto"/>
            </w:tcBorders>
            <w:shd w:val="clear" w:color="auto" w:fill="auto"/>
            <w:noWrap/>
            <w:vAlign w:val="center"/>
            <w:hideMark/>
          </w:tcPr>
          <w:p w14:paraId="3608D4DB"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BDAA21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8804B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2AF1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87C947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E59CB4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5D8B92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6444D95" w14:textId="77777777" w:rsidR="00E403D6" w:rsidRPr="00F10391" w:rsidRDefault="00E403D6">
            <w:r w:rsidRPr="00F10391">
              <w:t>Not found</w:t>
            </w:r>
          </w:p>
        </w:tc>
      </w:tr>
      <w:tr w:rsidR="00E403D6" w:rsidRPr="00F10391" w14:paraId="1DDF755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DBBABC3" w14:textId="77777777" w:rsidR="00E403D6" w:rsidRPr="00F10391" w:rsidRDefault="00E403D6" w:rsidP="0063065F">
            <w:pPr>
              <w:jc w:val="left"/>
            </w:pPr>
            <w:r w:rsidRPr="00F10391">
              <w:t>05/07/09</w:t>
            </w:r>
          </w:p>
        </w:tc>
        <w:tc>
          <w:tcPr>
            <w:tcW w:w="2720" w:type="dxa"/>
            <w:tcBorders>
              <w:top w:val="nil"/>
              <w:left w:val="nil"/>
              <w:bottom w:val="single" w:sz="4" w:space="0" w:color="auto"/>
              <w:right w:val="single" w:sz="4" w:space="0" w:color="auto"/>
            </w:tcBorders>
            <w:shd w:val="clear" w:color="auto" w:fill="auto"/>
            <w:vAlign w:val="center"/>
            <w:hideMark/>
          </w:tcPr>
          <w:p w14:paraId="33B9343A" w14:textId="77777777" w:rsidR="00E403D6" w:rsidRPr="00F10391" w:rsidRDefault="00E403D6" w:rsidP="0063065F">
            <w:pPr>
              <w:jc w:val="left"/>
            </w:pPr>
            <w:r w:rsidRPr="00F10391">
              <w:t>Raw Water Quality Weight Factors: Vaal Basin, South Africa</w:t>
            </w:r>
          </w:p>
        </w:tc>
        <w:tc>
          <w:tcPr>
            <w:tcW w:w="1985" w:type="dxa"/>
            <w:tcBorders>
              <w:top w:val="nil"/>
              <w:left w:val="nil"/>
              <w:bottom w:val="single" w:sz="4" w:space="0" w:color="auto"/>
              <w:right w:val="single" w:sz="4" w:space="0" w:color="auto"/>
            </w:tcBorders>
            <w:shd w:val="clear" w:color="auto" w:fill="auto"/>
            <w:vAlign w:val="center"/>
            <w:hideMark/>
          </w:tcPr>
          <w:p w14:paraId="63156D7C" w14:textId="77777777" w:rsidR="00E403D6" w:rsidRPr="005D7324" w:rsidRDefault="00E403D6" w:rsidP="0063065F">
            <w:pPr>
              <w:jc w:val="left"/>
            </w:pPr>
            <w:r w:rsidRPr="005D7324">
              <w:t>Dzwairo, B.; Otieno, F. A. O.; Ochieng, G. M.; Bezuidenhout, J. J.</w:t>
            </w:r>
          </w:p>
        </w:tc>
        <w:tc>
          <w:tcPr>
            <w:tcW w:w="2078" w:type="dxa"/>
            <w:tcBorders>
              <w:top w:val="nil"/>
              <w:left w:val="nil"/>
              <w:bottom w:val="single" w:sz="4" w:space="0" w:color="auto"/>
              <w:right w:val="single" w:sz="4" w:space="0" w:color="auto"/>
            </w:tcBorders>
            <w:shd w:val="clear" w:color="auto" w:fill="auto"/>
            <w:vAlign w:val="center"/>
            <w:hideMark/>
          </w:tcPr>
          <w:p w14:paraId="481614C6" w14:textId="77777777" w:rsidR="00E403D6" w:rsidRPr="00F10391" w:rsidRDefault="00E403D6" w:rsidP="0063065F">
            <w:pPr>
              <w:jc w:val="left"/>
            </w:pPr>
            <w:r w:rsidRPr="00F10391">
              <w:t>Water Science And Technology. 2012;66(5):1061-1068</w:t>
            </w:r>
          </w:p>
        </w:tc>
        <w:tc>
          <w:tcPr>
            <w:tcW w:w="862" w:type="dxa"/>
            <w:tcBorders>
              <w:top w:val="nil"/>
              <w:left w:val="nil"/>
              <w:bottom w:val="single" w:sz="4" w:space="0" w:color="auto"/>
              <w:right w:val="single" w:sz="4" w:space="0" w:color="auto"/>
            </w:tcBorders>
            <w:shd w:val="clear" w:color="auto" w:fill="auto"/>
            <w:noWrap/>
            <w:vAlign w:val="center"/>
            <w:hideMark/>
          </w:tcPr>
          <w:p w14:paraId="1227CAE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B9F7A4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0239DE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6DC77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B8AEA1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B4257F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B361A6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5A0335D" w14:textId="77777777" w:rsidR="00E403D6" w:rsidRPr="00F10391" w:rsidRDefault="00E403D6">
            <w:r w:rsidRPr="00F10391">
              <w:t>Not found</w:t>
            </w:r>
          </w:p>
        </w:tc>
      </w:tr>
      <w:tr w:rsidR="00E403D6" w:rsidRPr="00F10391" w14:paraId="4698347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0A55C81" w14:textId="77777777" w:rsidR="00E403D6" w:rsidRPr="00F10391" w:rsidRDefault="00E403D6" w:rsidP="0063065F">
            <w:pPr>
              <w:jc w:val="left"/>
            </w:pPr>
            <w:r w:rsidRPr="00F10391">
              <w:t>05/07/09</w:t>
            </w:r>
          </w:p>
        </w:tc>
        <w:tc>
          <w:tcPr>
            <w:tcW w:w="2720" w:type="dxa"/>
            <w:tcBorders>
              <w:top w:val="nil"/>
              <w:left w:val="nil"/>
              <w:bottom w:val="single" w:sz="4" w:space="0" w:color="auto"/>
              <w:right w:val="single" w:sz="4" w:space="0" w:color="auto"/>
            </w:tcBorders>
            <w:shd w:val="clear" w:color="auto" w:fill="auto"/>
            <w:vAlign w:val="center"/>
            <w:hideMark/>
          </w:tcPr>
          <w:p w14:paraId="02DA88CC" w14:textId="77777777" w:rsidR="00E403D6" w:rsidRPr="00F10391" w:rsidRDefault="00E403D6" w:rsidP="0063065F">
            <w:pPr>
              <w:jc w:val="left"/>
            </w:pPr>
            <w:r w:rsidRPr="00F10391">
              <w:t>Employing Multi-Criteria Decision Analysis To Select Sustainable Point-Of-Use And Point-Of-Entry Water Treatment Systems</w:t>
            </w:r>
          </w:p>
        </w:tc>
        <w:tc>
          <w:tcPr>
            <w:tcW w:w="1985" w:type="dxa"/>
            <w:tcBorders>
              <w:top w:val="nil"/>
              <w:left w:val="nil"/>
              <w:bottom w:val="single" w:sz="4" w:space="0" w:color="auto"/>
              <w:right w:val="single" w:sz="4" w:space="0" w:color="auto"/>
            </w:tcBorders>
            <w:shd w:val="clear" w:color="auto" w:fill="auto"/>
            <w:vAlign w:val="center"/>
            <w:hideMark/>
          </w:tcPr>
          <w:p w14:paraId="14BEBBF9" w14:textId="77777777" w:rsidR="00E403D6" w:rsidRPr="00F10391" w:rsidRDefault="00E403D6" w:rsidP="0063065F">
            <w:pPr>
              <w:jc w:val="left"/>
            </w:pPr>
            <w:r w:rsidRPr="00F10391">
              <w:t>Hamouda, M. A.; Anderson, W. B.; Huck, P. M.</w:t>
            </w:r>
          </w:p>
        </w:tc>
        <w:tc>
          <w:tcPr>
            <w:tcW w:w="2078" w:type="dxa"/>
            <w:tcBorders>
              <w:top w:val="nil"/>
              <w:left w:val="nil"/>
              <w:bottom w:val="single" w:sz="4" w:space="0" w:color="auto"/>
              <w:right w:val="single" w:sz="4" w:space="0" w:color="auto"/>
            </w:tcBorders>
            <w:shd w:val="clear" w:color="auto" w:fill="auto"/>
            <w:vAlign w:val="center"/>
            <w:hideMark/>
          </w:tcPr>
          <w:p w14:paraId="743E0C55" w14:textId="77777777" w:rsidR="00E403D6" w:rsidRPr="00F10391" w:rsidRDefault="00E403D6" w:rsidP="0063065F">
            <w:pPr>
              <w:jc w:val="left"/>
            </w:pPr>
            <w:r w:rsidRPr="00F10391">
              <w:t>Water Science And Technology-Water Supply. 2012;12(5):637-647</w:t>
            </w:r>
          </w:p>
        </w:tc>
        <w:tc>
          <w:tcPr>
            <w:tcW w:w="862" w:type="dxa"/>
            <w:tcBorders>
              <w:top w:val="nil"/>
              <w:left w:val="nil"/>
              <w:bottom w:val="single" w:sz="4" w:space="0" w:color="auto"/>
              <w:right w:val="single" w:sz="4" w:space="0" w:color="auto"/>
            </w:tcBorders>
            <w:shd w:val="clear" w:color="auto" w:fill="auto"/>
            <w:noWrap/>
            <w:vAlign w:val="center"/>
            <w:hideMark/>
          </w:tcPr>
          <w:p w14:paraId="0B6C17A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CD46EC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CA9E37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872D2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DC3FD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489A23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F21485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AE1E196" w14:textId="77777777" w:rsidR="00E403D6" w:rsidRPr="00F10391" w:rsidRDefault="00E403D6">
            <w:r w:rsidRPr="00F10391">
              <w:t>Not found</w:t>
            </w:r>
          </w:p>
        </w:tc>
      </w:tr>
      <w:tr w:rsidR="00E403D6" w:rsidRPr="00F10391" w14:paraId="38F7AB2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821DEE5" w14:textId="77777777" w:rsidR="00E403D6" w:rsidRPr="00F10391" w:rsidRDefault="00E403D6" w:rsidP="0063065F">
            <w:pPr>
              <w:jc w:val="left"/>
            </w:pPr>
            <w:r w:rsidRPr="00F10391">
              <w:t>05/07/09</w:t>
            </w:r>
          </w:p>
        </w:tc>
        <w:tc>
          <w:tcPr>
            <w:tcW w:w="2720" w:type="dxa"/>
            <w:tcBorders>
              <w:top w:val="nil"/>
              <w:left w:val="nil"/>
              <w:bottom w:val="single" w:sz="4" w:space="0" w:color="auto"/>
              <w:right w:val="single" w:sz="4" w:space="0" w:color="auto"/>
            </w:tcBorders>
            <w:shd w:val="clear" w:color="auto" w:fill="auto"/>
            <w:vAlign w:val="center"/>
            <w:hideMark/>
          </w:tcPr>
          <w:p w14:paraId="2670E856" w14:textId="77777777" w:rsidR="00E403D6" w:rsidRPr="00F10391" w:rsidRDefault="00E403D6" w:rsidP="0063065F">
            <w:pPr>
              <w:jc w:val="left"/>
            </w:pPr>
            <w:r w:rsidRPr="00F10391">
              <w:t>Integrated Environmental Performance Assessment Of Basic Oxygen Furnace Steelmaking</w:t>
            </w:r>
          </w:p>
        </w:tc>
        <w:tc>
          <w:tcPr>
            <w:tcW w:w="1985" w:type="dxa"/>
            <w:tcBorders>
              <w:top w:val="nil"/>
              <w:left w:val="nil"/>
              <w:bottom w:val="single" w:sz="4" w:space="0" w:color="auto"/>
              <w:right w:val="single" w:sz="4" w:space="0" w:color="auto"/>
            </w:tcBorders>
            <w:shd w:val="clear" w:color="auto" w:fill="auto"/>
            <w:vAlign w:val="center"/>
            <w:hideMark/>
          </w:tcPr>
          <w:p w14:paraId="548DE95B" w14:textId="77777777" w:rsidR="00E403D6" w:rsidRPr="00F10391" w:rsidRDefault="00E403D6" w:rsidP="0063065F">
            <w:pPr>
              <w:jc w:val="left"/>
            </w:pPr>
            <w:r w:rsidRPr="00F10391">
              <w:t>Jiang, Zhigang; Zhang, Hua; Yan, Wei; Zhou, Min; Li, Gongfa; Huang, Geng</w:t>
            </w:r>
          </w:p>
        </w:tc>
        <w:tc>
          <w:tcPr>
            <w:tcW w:w="2078" w:type="dxa"/>
            <w:tcBorders>
              <w:top w:val="nil"/>
              <w:left w:val="nil"/>
              <w:bottom w:val="single" w:sz="4" w:space="0" w:color="auto"/>
              <w:right w:val="single" w:sz="4" w:space="0" w:color="auto"/>
            </w:tcBorders>
            <w:shd w:val="clear" w:color="auto" w:fill="auto"/>
            <w:vAlign w:val="center"/>
            <w:hideMark/>
          </w:tcPr>
          <w:p w14:paraId="633E3826" w14:textId="77777777" w:rsidR="00E403D6" w:rsidRPr="00F10391" w:rsidRDefault="00E403D6" w:rsidP="0063065F">
            <w:pPr>
              <w:jc w:val="left"/>
            </w:pPr>
            <w:r w:rsidRPr="00F10391">
              <w:t>Polish Journal Of Environmental Studies. 2012;21(5):1237-1242</w:t>
            </w:r>
          </w:p>
        </w:tc>
        <w:tc>
          <w:tcPr>
            <w:tcW w:w="862" w:type="dxa"/>
            <w:tcBorders>
              <w:top w:val="nil"/>
              <w:left w:val="nil"/>
              <w:bottom w:val="single" w:sz="4" w:space="0" w:color="auto"/>
              <w:right w:val="single" w:sz="4" w:space="0" w:color="auto"/>
            </w:tcBorders>
            <w:shd w:val="clear" w:color="auto" w:fill="auto"/>
            <w:noWrap/>
            <w:vAlign w:val="center"/>
            <w:hideMark/>
          </w:tcPr>
          <w:p w14:paraId="64FCFFD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8EED1F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CFAA15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60B621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DBDDE2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800259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8AE8D7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B74C008" w14:textId="77777777" w:rsidR="00E403D6" w:rsidRPr="00F10391" w:rsidRDefault="00E403D6">
            <w:r w:rsidRPr="00F10391">
              <w:t>Not found</w:t>
            </w:r>
          </w:p>
        </w:tc>
      </w:tr>
      <w:tr w:rsidR="00E403D6" w:rsidRPr="00F10391" w14:paraId="60A2DB2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6EC700" w14:textId="77777777" w:rsidR="00E403D6" w:rsidRPr="00F10391" w:rsidRDefault="00E403D6" w:rsidP="0063065F">
            <w:pPr>
              <w:jc w:val="left"/>
            </w:pPr>
            <w:r w:rsidRPr="00F10391">
              <w:t>06/07/09</w:t>
            </w:r>
          </w:p>
        </w:tc>
        <w:tc>
          <w:tcPr>
            <w:tcW w:w="2720" w:type="dxa"/>
            <w:tcBorders>
              <w:top w:val="nil"/>
              <w:left w:val="nil"/>
              <w:bottom w:val="single" w:sz="4" w:space="0" w:color="auto"/>
              <w:right w:val="single" w:sz="4" w:space="0" w:color="auto"/>
            </w:tcBorders>
            <w:shd w:val="clear" w:color="auto" w:fill="auto"/>
            <w:vAlign w:val="center"/>
            <w:hideMark/>
          </w:tcPr>
          <w:p w14:paraId="04D502D3" w14:textId="77777777" w:rsidR="00E403D6" w:rsidRPr="005D7324" w:rsidRDefault="00FC1DDE" w:rsidP="0063065F">
            <w:pPr>
              <w:jc w:val="left"/>
            </w:pPr>
            <w:r w:rsidRPr="005D7324">
              <w:rPr>
                <w:lang w:eastAsia="en-US"/>
              </w:rPr>
              <w:t xml:space="preserve">Uso da MCDA na identificação e mensuração da </w:t>
            </w:r>
            <w:r w:rsidRPr="005D7324">
              <w:rPr>
                <w:i/>
                <w:iCs/>
                <w:lang w:eastAsia="en-US"/>
              </w:rPr>
              <w:t>performance</w:t>
            </w:r>
            <w:r w:rsidRPr="005D7324">
              <w:rPr>
                <w:lang w:eastAsia="en-US"/>
              </w:rPr>
              <w:t xml:space="preserve"> dos critérios para a certificação dos hospitais de ensino no âmbito do SUS</w:t>
            </w:r>
          </w:p>
        </w:tc>
        <w:tc>
          <w:tcPr>
            <w:tcW w:w="1985" w:type="dxa"/>
            <w:tcBorders>
              <w:top w:val="nil"/>
              <w:left w:val="nil"/>
              <w:bottom w:val="single" w:sz="4" w:space="0" w:color="auto"/>
              <w:right w:val="single" w:sz="4" w:space="0" w:color="auto"/>
            </w:tcBorders>
            <w:shd w:val="clear" w:color="auto" w:fill="auto"/>
            <w:vAlign w:val="center"/>
            <w:hideMark/>
          </w:tcPr>
          <w:p w14:paraId="7ADA187D" w14:textId="77777777" w:rsidR="00E403D6" w:rsidRPr="00F10391" w:rsidRDefault="00E403D6" w:rsidP="0063065F">
            <w:pPr>
              <w:jc w:val="left"/>
            </w:pPr>
            <w:r w:rsidRPr="00F10391">
              <w:t xml:space="preserve">Longaray, </w:t>
            </w:r>
            <w:r w:rsidR="00FC1DDE" w:rsidRPr="00F10391">
              <w:t>AA</w:t>
            </w:r>
            <w:r w:rsidRPr="00F10391">
              <w:t>; Ensslin, Leonardo</w:t>
            </w:r>
          </w:p>
        </w:tc>
        <w:tc>
          <w:tcPr>
            <w:tcW w:w="2078" w:type="dxa"/>
            <w:tcBorders>
              <w:top w:val="nil"/>
              <w:left w:val="nil"/>
              <w:bottom w:val="single" w:sz="4" w:space="0" w:color="auto"/>
              <w:right w:val="single" w:sz="4" w:space="0" w:color="auto"/>
            </w:tcBorders>
            <w:shd w:val="clear" w:color="auto" w:fill="auto"/>
            <w:vAlign w:val="center"/>
            <w:hideMark/>
          </w:tcPr>
          <w:p w14:paraId="1BEA6A53" w14:textId="77777777" w:rsidR="00E403D6" w:rsidRPr="00F10391" w:rsidRDefault="00E403D6" w:rsidP="0063065F">
            <w:pPr>
              <w:jc w:val="left"/>
            </w:pPr>
            <w:r w:rsidRPr="00F10391">
              <w:t>ProduÊo. 2013;(Ahead):0-0</w:t>
            </w:r>
          </w:p>
        </w:tc>
        <w:tc>
          <w:tcPr>
            <w:tcW w:w="862" w:type="dxa"/>
            <w:tcBorders>
              <w:top w:val="nil"/>
              <w:left w:val="nil"/>
              <w:bottom w:val="single" w:sz="4" w:space="0" w:color="auto"/>
              <w:right w:val="single" w:sz="4" w:space="0" w:color="auto"/>
            </w:tcBorders>
            <w:shd w:val="clear" w:color="auto" w:fill="auto"/>
            <w:noWrap/>
            <w:vAlign w:val="center"/>
            <w:hideMark/>
          </w:tcPr>
          <w:p w14:paraId="0AFDAFD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14ED19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7CAB66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C4DB5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91EB85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A92125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0D619F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0AF5029" w14:textId="77777777" w:rsidR="00E403D6" w:rsidRPr="00F10391" w:rsidRDefault="00E403D6">
            <w:r w:rsidRPr="00F10391">
              <w:t>Not found</w:t>
            </w:r>
          </w:p>
        </w:tc>
      </w:tr>
      <w:tr w:rsidR="00E403D6" w:rsidRPr="00F10391" w14:paraId="11A541A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2BF6CF2" w14:textId="77777777" w:rsidR="00E403D6" w:rsidRPr="00F10391" w:rsidRDefault="00E403D6" w:rsidP="0063065F">
            <w:pPr>
              <w:jc w:val="left"/>
            </w:pPr>
            <w:r w:rsidRPr="00F10391">
              <w:t>15/07/09</w:t>
            </w:r>
          </w:p>
        </w:tc>
        <w:tc>
          <w:tcPr>
            <w:tcW w:w="2720" w:type="dxa"/>
            <w:tcBorders>
              <w:top w:val="nil"/>
              <w:left w:val="nil"/>
              <w:bottom w:val="single" w:sz="4" w:space="0" w:color="auto"/>
              <w:right w:val="single" w:sz="4" w:space="0" w:color="auto"/>
            </w:tcBorders>
            <w:shd w:val="clear" w:color="auto" w:fill="auto"/>
            <w:vAlign w:val="center"/>
            <w:hideMark/>
          </w:tcPr>
          <w:p w14:paraId="64C3612B" w14:textId="77777777" w:rsidR="00E403D6" w:rsidRPr="00F10391" w:rsidRDefault="00E403D6" w:rsidP="0063065F">
            <w:pPr>
              <w:jc w:val="left"/>
            </w:pPr>
            <w:r w:rsidRPr="00F10391">
              <w:t>Assessment Of Yellow Fever Epidemic Risk: An Original Multi-Criteria Modeling Approach.</w:t>
            </w:r>
          </w:p>
        </w:tc>
        <w:tc>
          <w:tcPr>
            <w:tcW w:w="1985" w:type="dxa"/>
            <w:tcBorders>
              <w:top w:val="nil"/>
              <w:left w:val="nil"/>
              <w:bottom w:val="single" w:sz="4" w:space="0" w:color="auto"/>
              <w:right w:val="single" w:sz="4" w:space="0" w:color="auto"/>
            </w:tcBorders>
            <w:shd w:val="clear" w:color="auto" w:fill="auto"/>
            <w:vAlign w:val="center"/>
            <w:hideMark/>
          </w:tcPr>
          <w:p w14:paraId="3673A5FC" w14:textId="77777777" w:rsidR="00E403D6" w:rsidRPr="00F10391" w:rsidRDefault="00E403D6" w:rsidP="0063065F">
            <w:pPr>
              <w:jc w:val="left"/>
            </w:pPr>
            <w:r w:rsidRPr="00F10391">
              <w:t>Briand S, Beresniak A, Nguyen T, Yonli T, Duru G, Kambire C, Perea W; Yellow Fever Risk Assessment Group (Yf-Rag).</w:t>
            </w:r>
          </w:p>
        </w:tc>
        <w:tc>
          <w:tcPr>
            <w:tcW w:w="2078" w:type="dxa"/>
            <w:tcBorders>
              <w:top w:val="nil"/>
              <w:left w:val="nil"/>
              <w:bottom w:val="single" w:sz="4" w:space="0" w:color="auto"/>
              <w:right w:val="single" w:sz="4" w:space="0" w:color="auto"/>
            </w:tcBorders>
            <w:shd w:val="clear" w:color="auto" w:fill="auto"/>
            <w:vAlign w:val="center"/>
            <w:hideMark/>
          </w:tcPr>
          <w:p w14:paraId="0DB37597" w14:textId="77777777" w:rsidR="00E403D6" w:rsidRPr="00F10391" w:rsidRDefault="00E403D6" w:rsidP="0063065F">
            <w:pPr>
              <w:jc w:val="left"/>
            </w:pPr>
            <w:r w:rsidRPr="005D7324">
              <w:t xml:space="preserve">Plos Negl Trop Dis. 2009 Jul 14;3(7):E483. </w:t>
            </w:r>
            <w:r w:rsidRPr="00F10391">
              <w:t>Doi: 10.1371/Journal.Pntd.0000483.</w:t>
            </w:r>
          </w:p>
        </w:tc>
        <w:tc>
          <w:tcPr>
            <w:tcW w:w="862" w:type="dxa"/>
            <w:tcBorders>
              <w:top w:val="nil"/>
              <w:left w:val="nil"/>
              <w:bottom w:val="single" w:sz="4" w:space="0" w:color="auto"/>
              <w:right w:val="single" w:sz="4" w:space="0" w:color="auto"/>
            </w:tcBorders>
            <w:shd w:val="clear" w:color="auto" w:fill="auto"/>
            <w:noWrap/>
            <w:vAlign w:val="center"/>
            <w:hideMark/>
          </w:tcPr>
          <w:p w14:paraId="38B2C87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DC085C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DD9A8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21EEB6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38F8A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A6ECC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1D6D2F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968B99C" w14:textId="77777777" w:rsidR="00E403D6" w:rsidRPr="00F10391" w:rsidRDefault="00E403D6">
            <w:r w:rsidRPr="00F10391">
              <w:t>Not found</w:t>
            </w:r>
          </w:p>
        </w:tc>
      </w:tr>
      <w:tr w:rsidR="00E403D6" w:rsidRPr="00F10391" w14:paraId="535B2D4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D4956A" w14:textId="77777777" w:rsidR="00E403D6" w:rsidRPr="00F10391" w:rsidRDefault="00E403D6" w:rsidP="0063065F">
            <w:pPr>
              <w:jc w:val="left"/>
            </w:pPr>
            <w:r w:rsidRPr="00F10391">
              <w:t>31/07/09</w:t>
            </w:r>
          </w:p>
        </w:tc>
        <w:tc>
          <w:tcPr>
            <w:tcW w:w="2720" w:type="dxa"/>
            <w:tcBorders>
              <w:top w:val="nil"/>
              <w:left w:val="nil"/>
              <w:bottom w:val="single" w:sz="4" w:space="0" w:color="auto"/>
              <w:right w:val="single" w:sz="4" w:space="0" w:color="auto"/>
            </w:tcBorders>
            <w:shd w:val="clear" w:color="auto" w:fill="auto"/>
            <w:vAlign w:val="center"/>
            <w:hideMark/>
          </w:tcPr>
          <w:p w14:paraId="7574ACA4" w14:textId="77777777" w:rsidR="00E403D6" w:rsidRPr="00F10391" w:rsidRDefault="00E403D6" w:rsidP="0063065F">
            <w:pPr>
              <w:jc w:val="left"/>
            </w:pPr>
            <w:r w:rsidRPr="00F10391">
              <w:t>National Authority For Health: France.</w:t>
            </w:r>
          </w:p>
        </w:tc>
        <w:tc>
          <w:tcPr>
            <w:tcW w:w="1985" w:type="dxa"/>
            <w:tcBorders>
              <w:top w:val="nil"/>
              <w:left w:val="nil"/>
              <w:bottom w:val="single" w:sz="4" w:space="0" w:color="auto"/>
              <w:right w:val="single" w:sz="4" w:space="0" w:color="auto"/>
            </w:tcBorders>
            <w:shd w:val="clear" w:color="auto" w:fill="auto"/>
            <w:vAlign w:val="center"/>
            <w:hideMark/>
          </w:tcPr>
          <w:p w14:paraId="18100512" w14:textId="77777777" w:rsidR="00E403D6" w:rsidRPr="00F10391" w:rsidRDefault="00E403D6" w:rsidP="0063065F">
            <w:pPr>
              <w:jc w:val="left"/>
            </w:pPr>
            <w:r w:rsidRPr="00F10391">
              <w:t>Rochaix L, Xerri B.</w:t>
            </w:r>
          </w:p>
        </w:tc>
        <w:tc>
          <w:tcPr>
            <w:tcW w:w="2078" w:type="dxa"/>
            <w:tcBorders>
              <w:top w:val="nil"/>
              <w:left w:val="nil"/>
              <w:bottom w:val="single" w:sz="4" w:space="0" w:color="auto"/>
              <w:right w:val="single" w:sz="4" w:space="0" w:color="auto"/>
            </w:tcBorders>
            <w:shd w:val="clear" w:color="auto" w:fill="auto"/>
            <w:vAlign w:val="center"/>
            <w:hideMark/>
          </w:tcPr>
          <w:p w14:paraId="399F2FD3" w14:textId="77777777" w:rsidR="00E403D6" w:rsidRPr="00F10391" w:rsidRDefault="00E403D6" w:rsidP="0063065F">
            <w:pPr>
              <w:jc w:val="left"/>
            </w:pPr>
            <w:r w:rsidRPr="00F10391">
              <w:t>Issue Brief (Commonw Fund). 2009 Jul;58:1-9.</w:t>
            </w:r>
          </w:p>
        </w:tc>
        <w:tc>
          <w:tcPr>
            <w:tcW w:w="862" w:type="dxa"/>
            <w:tcBorders>
              <w:top w:val="nil"/>
              <w:left w:val="nil"/>
              <w:bottom w:val="single" w:sz="4" w:space="0" w:color="auto"/>
              <w:right w:val="single" w:sz="4" w:space="0" w:color="auto"/>
            </w:tcBorders>
            <w:shd w:val="clear" w:color="auto" w:fill="auto"/>
            <w:noWrap/>
            <w:vAlign w:val="center"/>
            <w:hideMark/>
          </w:tcPr>
          <w:p w14:paraId="2AFA728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508FD8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4F25B3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A2118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87BCB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5E98C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6191F9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CDD5D8F" w14:textId="77777777" w:rsidR="00E403D6" w:rsidRPr="00F10391" w:rsidRDefault="00E403D6">
            <w:r w:rsidRPr="00F10391">
              <w:t>Not found</w:t>
            </w:r>
          </w:p>
        </w:tc>
      </w:tr>
      <w:tr w:rsidR="00E403D6" w:rsidRPr="00F10391" w14:paraId="2B54559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E435FC" w14:textId="77777777" w:rsidR="00E403D6" w:rsidRPr="00F10391" w:rsidRDefault="00E403D6" w:rsidP="0063065F">
            <w:pPr>
              <w:jc w:val="left"/>
            </w:pPr>
            <w:r w:rsidRPr="00F10391">
              <w:t>01/08/09</w:t>
            </w:r>
          </w:p>
        </w:tc>
        <w:tc>
          <w:tcPr>
            <w:tcW w:w="2720" w:type="dxa"/>
            <w:tcBorders>
              <w:top w:val="nil"/>
              <w:left w:val="nil"/>
              <w:bottom w:val="single" w:sz="4" w:space="0" w:color="auto"/>
              <w:right w:val="single" w:sz="4" w:space="0" w:color="auto"/>
            </w:tcBorders>
            <w:shd w:val="clear" w:color="auto" w:fill="auto"/>
            <w:vAlign w:val="center"/>
            <w:hideMark/>
          </w:tcPr>
          <w:p w14:paraId="2CF7EBCD" w14:textId="77777777" w:rsidR="00E403D6" w:rsidRPr="00F10391" w:rsidRDefault="00E403D6" w:rsidP="0063065F">
            <w:pPr>
              <w:jc w:val="left"/>
            </w:pPr>
            <w:r w:rsidRPr="00F10391">
              <w:t>Gene And Antigen Markers Of Shiga-Toxin Producing E. Coli From Michigan And Indiana River Water: Occurrence And Relation To Recreational Water Quality Criteria.</w:t>
            </w:r>
          </w:p>
        </w:tc>
        <w:tc>
          <w:tcPr>
            <w:tcW w:w="1985" w:type="dxa"/>
            <w:tcBorders>
              <w:top w:val="nil"/>
              <w:left w:val="nil"/>
              <w:bottom w:val="single" w:sz="4" w:space="0" w:color="auto"/>
              <w:right w:val="single" w:sz="4" w:space="0" w:color="auto"/>
            </w:tcBorders>
            <w:shd w:val="clear" w:color="auto" w:fill="auto"/>
            <w:vAlign w:val="center"/>
            <w:hideMark/>
          </w:tcPr>
          <w:p w14:paraId="3E1DD6A3" w14:textId="77777777" w:rsidR="00E403D6" w:rsidRPr="00F10391" w:rsidRDefault="00E403D6" w:rsidP="0063065F">
            <w:pPr>
              <w:jc w:val="left"/>
            </w:pPr>
            <w:r w:rsidRPr="00F10391">
              <w:t>Duris Jw, Haack Sk, Fogarty Lr.</w:t>
            </w:r>
          </w:p>
        </w:tc>
        <w:tc>
          <w:tcPr>
            <w:tcW w:w="2078" w:type="dxa"/>
            <w:tcBorders>
              <w:top w:val="nil"/>
              <w:left w:val="nil"/>
              <w:bottom w:val="single" w:sz="4" w:space="0" w:color="auto"/>
              <w:right w:val="single" w:sz="4" w:space="0" w:color="auto"/>
            </w:tcBorders>
            <w:shd w:val="clear" w:color="auto" w:fill="auto"/>
            <w:vAlign w:val="center"/>
            <w:hideMark/>
          </w:tcPr>
          <w:p w14:paraId="19C009C7" w14:textId="77777777" w:rsidR="00E403D6" w:rsidRPr="00F10391" w:rsidRDefault="00E403D6" w:rsidP="0063065F">
            <w:pPr>
              <w:jc w:val="left"/>
            </w:pPr>
            <w:r w:rsidRPr="005D7324">
              <w:t xml:space="preserve">J Environ Qual. 2009 Jul 23;38(5):1878-86. Doi: 10.2134/Jeq2008.0225. </w:t>
            </w:r>
            <w:r w:rsidRPr="00F10391">
              <w:t>Print 2009 Sep-Oct.</w:t>
            </w:r>
          </w:p>
        </w:tc>
        <w:tc>
          <w:tcPr>
            <w:tcW w:w="862" w:type="dxa"/>
            <w:tcBorders>
              <w:top w:val="nil"/>
              <w:left w:val="nil"/>
              <w:bottom w:val="single" w:sz="4" w:space="0" w:color="auto"/>
              <w:right w:val="single" w:sz="4" w:space="0" w:color="auto"/>
            </w:tcBorders>
            <w:shd w:val="clear" w:color="auto" w:fill="auto"/>
            <w:noWrap/>
            <w:vAlign w:val="center"/>
            <w:hideMark/>
          </w:tcPr>
          <w:p w14:paraId="7743D39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019E9F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D3201A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76116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856FD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821188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8B7AA9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9181115" w14:textId="77777777" w:rsidR="00E403D6" w:rsidRPr="00F10391" w:rsidRDefault="00E403D6">
            <w:r w:rsidRPr="00F10391">
              <w:t>Not found</w:t>
            </w:r>
          </w:p>
        </w:tc>
      </w:tr>
      <w:tr w:rsidR="00E403D6" w:rsidRPr="00F10391" w14:paraId="3B97499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D64E244" w14:textId="77777777" w:rsidR="00E403D6" w:rsidRPr="00F10391" w:rsidRDefault="00E403D6" w:rsidP="0063065F">
            <w:pPr>
              <w:jc w:val="left"/>
            </w:pPr>
            <w:r w:rsidRPr="00F10391">
              <w:t>13/08/09</w:t>
            </w:r>
          </w:p>
        </w:tc>
        <w:tc>
          <w:tcPr>
            <w:tcW w:w="2720" w:type="dxa"/>
            <w:tcBorders>
              <w:top w:val="nil"/>
              <w:left w:val="nil"/>
              <w:bottom w:val="single" w:sz="4" w:space="0" w:color="auto"/>
              <w:right w:val="single" w:sz="4" w:space="0" w:color="auto"/>
            </w:tcBorders>
            <w:shd w:val="clear" w:color="auto" w:fill="auto"/>
            <w:vAlign w:val="center"/>
            <w:hideMark/>
          </w:tcPr>
          <w:p w14:paraId="02492512" w14:textId="77777777" w:rsidR="00E403D6" w:rsidRPr="00F10391" w:rsidRDefault="00E403D6" w:rsidP="0063065F">
            <w:pPr>
              <w:jc w:val="left"/>
            </w:pPr>
            <w:r w:rsidRPr="00F10391">
              <w:t>A Multifactorial Risk Prioritization Framework For Foodborne Pathogens.</w:t>
            </w:r>
          </w:p>
        </w:tc>
        <w:tc>
          <w:tcPr>
            <w:tcW w:w="1985" w:type="dxa"/>
            <w:tcBorders>
              <w:top w:val="nil"/>
              <w:left w:val="nil"/>
              <w:bottom w:val="single" w:sz="4" w:space="0" w:color="auto"/>
              <w:right w:val="single" w:sz="4" w:space="0" w:color="auto"/>
            </w:tcBorders>
            <w:shd w:val="clear" w:color="auto" w:fill="auto"/>
            <w:vAlign w:val="center"/>
            <w:hideMark/>
          </w:tcPr>
          <w:p w14:paraId="4B1FD943" w14:textId="77777777" w:rsidR="00E403D6" w:rsidRPr="00F10391" w:rsidRDefault="00E403D6" w:rsidP="0063065F">
            <w:pPr>
              <w:jc w:val="left"/>
            </w:pPr>
            <w:r w:rsidRPr="00F10391">
              <w:t>Ruzante Jm, Davidson Vj, Caswell J, Fazil A, Cranfield Ja, Henson Sj, Anders Sm, Schmidt C, Farber Jm.</w:t>
            </w:r>
          </w:p>
        </w:tc>
        <w:tc>
          <w:tcPr>
            <w:tcW w:w="2078" w:type="dxa"/>
            <w:tcBorders>
              <w:top w:val="nil"/>
              <w:left w:val="nil"/>
              <w:bottom w:val="single" w:sz="4" w:space="0" w:color="auto"/>
              <w:right w:val="single" w:sz="4" w:space="0" w:color="auto"/>
            </w:tcBorders>
            <w:shd w:val="clear" w:color="auto" w:fill="auto"/>
            <w:vAlign w:val="center"/>
            <w:hideMark/>
          </w:tcPr>
          <w:p w14:paraId="1FDEC240" w14:textId="77777777" w:rsidR="00E403D6" w:rsidRPr="00F10391" w:rsidRDefault="00E403D6" w:rsidP="0063065F">
            <w:pPr>
              <w:jc w:val="left"/>
            </w:pPr>
            <w:r w:rsidRPr="00F10391">
              <w:t>Risk Anal. 2010 May;30(5):724-42. Doi: 10.1111/J.1539-6924.2009.01278.X. Epub 2009 Aug 10.</w:t>
            </w:r>
          </w:p>
        </w:tc>
        <w:tc>
          <w:tcPr>
            <w:tcW w:w="862" w:type="dxa"/>
            <w:tcBorders>
              <w:top w:val="nil"/>
              <w:left w:val="nil"/>
              <w:bottom w:val="single" w:sz="4" w:space="0" w:color="auto"/>
              <w:right w:val="single" w:sz="4" w:space="0" w:color="auto"/>
            </w:tcBorders>
            <w:shd w:val="clear" w:color="auto" w:fill="auto"/>
            <w:noWrap/>
            <w:vAlign w:val="center"/>
            <w:hideMark/>
          </w:tcPr>
          <w:p w14:paraId="3FCED2B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C776D0E"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0C9FAE7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4F4F92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507128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B5F8CB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BA5BB4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00F0748" w14:textId="77777777" w:rsidR="00E403D6" w:rsidRPr="00F10391" w:rsidRDefault="00E403D6">
            <w:r w:rsidRPr="00F10391">
              <w:t>Excluded</w:t>
            </w:r>
          </w:p>
        </w:tc>
      </w:tr>
      <w:tr w:rsidR="00E403D6" w:rsidRPr="00F10391" w14:paraId="19857AE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5EF3066" w14:textId="77777777" w:rsidR="00E403D6" w:rsidRPr="00F10391" w:rsidRDefault="00E403D6" w:rsidP="0063065F">
            <w:pPr>
              <w:jc w:val="left"/>
            </w:pPr>
            <w:r w:rsidRPr="00F10391">
              <w:t>01/09/09</w:t>
            </w:r>
          </w:p>
        </w:tc>
        <w:tc>
          <w:tcPr>
            <w:tcW w:w="2720" w:type="dxa"/>
            <w:tcBorders>
              <w:top w:val="nil"/>
              <w:left w:val="nil"/>
              <w:bottom w:val="single" w:sz="4" w:space="0" w:color="auto"/>
              <w:right w:val="single" w:sz="4" w:space="0" w:color="auto"/>
            </w:tcBorders>
            <w:shd w:val="clear" w:color="auto" w:fill="auto"/>
            <w:vAlign w:val="center"/>
            <w:hideMark/>
          </w:tcPr>
          <w:p w14:paraId="34208D46" w14:textId="77777777" w:rsidR="00E403D6" w:rsidRPr="00F10391" w:rsidRDefault="00E403D6" w:rsidP="0063065F">
            <w:pPr>
              <w:jc w:val="left"/>
            </w:pPr>
            <w:r w:rsidRPr="00F10391">
              <w:t>Application Of Anp And Dematel To Evaluate The Decision-Making Of Municipal Solid Waste Management In Metro Manila</w:t>
            </w:r>
          </w:p>
        </w:tc>
        <w:tc>
          <w:tcPr>
            <w:tcW w:w="1985" w:type="dxa"/>
            <w:tcBorders>
              <w:top w:val="nil"/>
              <w:left w:val="nil"/>
              <w:bottom w:val="single" w:sz="4" w:space="0" w:color="auto"/>
              <w:right w:val="single" w:sz="4" w:space="0" w:color="auto"/>
            </w:tcBorders>
            <w:shd w:val="clear" w:color="auto" w:fill="auto"/>
            <w:vAlign w:val="center"/>
            <w:hideMark/>
          </w:tcPr>
          <w:p w14:paraId="5FD89690" w14:textId="77777777" w:rsidR="00E403D6" w:rsidRPr="00F10391" w:rsidRDefault="00E403D6" w:rsidP="0063065F">
            <w:pPr>
              <w:jc w:val="left"/>
            </w:pPr>
            <w:r w:rsidRPr="00F10391">
              <w:t>Tseng, Ming-Lang</w:t>
            </w:r>
          </w:p>
        </w:tc>
        <w:tc>
          <w:tcPr>
            <w:tcW w:w="2078" w:type="dxa"/>
            <w:tcBorders>
              <w:top w:val="nil"/>
              <w:left w:val="nil"/>
              <w:bottom w:val="single" w:sz="4" w:space="0" w:color="auto"/>
              <w:right w:val="single" w:sz="4" w:space="0" w:color="auto"/>
            </w:tcBorders>
            <w:shd w:val="clear" w:color="auto" w:fill="auto"/>
            <w:vAlign w:val="center"/>
            <w:hideMark/>
          </w:tcPr>
          <w:p w14:paraId="1314EDE1" w14:textId="77777777" w:rsidR="00E403D6" w:rsidRPr="00F10391" w:rsidRDefault="00E403D6" w:rsidP="0063065F">
            <w:pPr>
              <w:jc w:val="left"/>
            </w:pPr>
            <w:r w:rsidRPr="00F10391">
              <w:t>Environmental Monitoring And Assessment. 2009;156(40268):181-197</w:t>
            </w:r>
          </w:p>
        </w:tc>
        <w:tc>
          <w:tcPr>
            <w:tcW w:w="862" w:type="dxa"/>
            <w:tcBorders>
              <w:top w:val="nil"/>
              <w:left w:val="nil"/>
              <w:bottom w:val="single" w:sz="4" w:space="0" w:color="auto"/>
              <w:right w:val="single" w:sz="4" w:space="0" w:color="auto"/>
            </w:tcBorders>
            <w:shd w:val="clear" w:color="auto" w:fill="auto"/>
            <w:noWrap/>
            <w:vAlign w:val="center"/>
            <w:hideMark/>
          </w:tcPr>
          <w:p w14:paraId="24F682DE"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00745F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214850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840250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FD93BF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BDE0BA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072FEB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6A24032" w14:textId="77777777" w:rsidR="00E403D6" w:rsidRPr="00F10391" w:rsidRDefault="00E403D6">
            <w:r w:rsidRPr="00F10391">
              <w:t>Excluded</w:t>
            </w:r>
          </w:p>
        </w:tc>
      </w:tr>
      <w:tr w:rsidR="00E403D6" w:rsidRPr="00F10391" w14:paraId="4B4BFFD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0C9E237" w14:textId="77777777" w:rsidR="00E403D6" w:rsidRPr="00F10391" w:rsidRDefault="00E403D6" w:rsidP="0063065F">
            <w:pPr>
              <w:jc w:val="left"/>
            </w:pPr>
            <w:r w:rsidRPr="00F10391">
              <w:t>23/09/09</w:t>
            </w:r>
          </w:p>
        </w:tc>
        <w:tc>
          <w:tcPr>
            <w:tcW w:w="2720" w:type="dxa"/>
            <w:tcBorders>
              <w:top w:val="nil"/>
              <w:left w:val="nil"/>
              <w:bottom w:val="single" w:sz="4" w:space="0" w:color="auto"/>
              <w:right w:val="single" w:sz="4" w:space="0" w:color="auto"/>
            </w:tcBorders>
            <w:shd w:val="clear" w:color="auto" w:fill="auto"/>
            <w:vAlign w:val="center"/>
            <w:hideMark/>
          </w:tcPr>
          <w:p w14:paraId="4BF82515" w14:textId="77777777" w:rsidR="00E403D6" w:rsidRPr="00F10391" w:rsidRDefault="00E403D6" w:rsidP="0063065F">
            <w:pPr>
              <w:jc w:val="left"/>
            </w:pPr>
            <w:r w:rsidRPr="00F10391">
              <w:t>Evaluation Of The Impact Of Program Budgeting And Marginal Analysis In Vancouver Island Health Authority.</w:t>
            </w:r>
          </w:p>
        </w:tc>
        <w:tc>
          <w:tcPr>
            <w:tcW w:w="1985" w:type="dxa"/>
            <w:tcBorders>
              <w:top w:val="nil"/>
              <w:left w:val="nil"/>
              <w:bottom w:val="single" w:sz="4" w:space="0" w:color="auto"/>
              <w:right w:val="single" w:sz="4" w:space="0" w:color="auto"/>
            </w:tcBorders>
            <w:shd w:val="clear" w:color="auto" w:fill="auto"/>
            <w:vAlign w:val="center"/>
            <w:hideMark/>
          </w:tcPr>
          <w:p w14:paraId="09B36CF3" w14:textId="77777777" w:rsidR="00E403D6" w:rsidRPr="00F10391" w:rsidRDefault="00E403D6" w:rsidP="0063065F">
            <w:pPr>
              <w:jc w:val="left"/>
            </w:pPr>
            <w:r w:rsidRPr="00F10391">
              <w:t>Dionne F, Mitton C, Smith N, Donaldson C.</w:t>
            </w:r>
          </w:p>
        </w:tc>
        <w:tc>
          <w:tcPr>
            <w:tcW w:w="2078" w:type="dxa"/>
            <w:tcBorders>
              <w:top w:val="nil"/>
              <w:left w:val="nil"/>
              <w:bottom w:val="single" w:sz="4" w:space="0" w:color="auto"/>
              <w:right w:val="single" w:sz="4" w:space="0" w:color="auto"/>
            </w:tcBorders>
            <w:shd w:val="clear" w:color="auto" w:fill="auto"/>
            <w:vAlign w:val="center"/>
            <w:hideMark/>
          </w:tcPr>
          <w:p w14:paraId="43676358" w14:textId="77777777" w:rsidR="00E403D6" w:rsidRPr="00F10391" w:rsidRDefault="00E403D6" w:rsidP="0063065F">
            <w:pPr>
              <w:jc w:val="left"/>
            </w:pPr>
            <w:r w:rsidRPr="00F10391">
              <w:t>J Health Serv Res Policy. 2009 Oct;14(4):234-42. Doi: 10.1258/Jhsrp.2009.008182.</w:t>
            </w:r>
          </w:p>
        </w:tc>
        <w:tc>
          <w:tcPr>
            <w:tcW w:w="862" w:type="dxa"/>
            <w:tcBorders>
              <w:top w:val="nil"/>
              <w:left w:val="nil"/>
              <w:bottom w:val="single" w:sz="4" w:space="0" w:color="auto"/>
              <w:right w:val="single" w:sz="4" w:space="0" w:color="auto"/>
            </w:tcBorders>
            <w:shd w:val="clear" w:color="auto" w:fill="auto"/>
            <w:noWrap/>
            <w:vAlign w:val="center"/>
            <w:hideMark/>
          </w:tcPr>
          <w:p w14:paraId="705B023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E71746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18BDE6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DFCB7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D8C867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30F69F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60B6F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6580F34" w14:textId="77777777" w:rsidR="00E403D6" w:rsidRPr="00F10391" w:rsidRDefault="00E403D6">
            <w:r w:rsidRPr="00F10391">
              <w:t>Not found</w:t>
            </w:r>
          </w:p>
        </w:tc>
      </w:tr>
      <w:tr w:rsidR="00E403D6" w:rsidRPr="00F10391" w14:paraId="3B78D51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DA23BDC" w14:textId="77777777" w:rsidR="00E403D6" w:rsidRPr="00F10391" w:rsidRDefault="00E403D6" w:rsidP="0063065F">
            <w:pPr>
              <w:jc w:val="left"/>
            </w:pPr>
            <w:r w:rsidRPr="00F10391">
              <w:t>24/09/09</w:t>
            </w:r>
          </w:p>
        </w:tc>
        <w:tc>
          <w:tcPr>
            <w:tcW w:w="2720" w:type="dxa"/>
            <w:tcBorders>
              <w:top w:val="nil"/>
              <w:left w:val="nil"/>
              <w:bottom w:val="single" w:sz="4" w:space="0" w:color="auto"/>
              <w:right w:val="single" w:sz="4" w:space="0" w:color="auto"/>
            </w:tcBorders>
            <w:shd w:val="clear" w:color="auto" w:fill="auto"/>
            <w:vAlign w:val="center"/>
            <w:hideMark/>
          </w:tcPr>
          <w:p w14:paraId="13DF4A94" w14:textId="77777777" w:rsidR="00E403D6" w:rsidRPr="00F10391" w:rsidRDefault="00E403D6" w:rsidP="0063065F">
            <w:pPr>
              <w:jc w:val="left"/>
            </w:pPr>
            <w:r w:rsidRPr="00F10391">
              <w:t>Incorporating Multiple Interventions In Meta-Analysis: An Evaluation Of The Mixed Treatment Comparison With The Adjusted Indirect Comparison.</w:t>
            </w:r>
          </w:p>
        </w:tc>
        <w:tc>
          <w:tcPr>
            <w:tcW w:w="1985" w:type="dxa"/>
            <w:tcBorders>
              <w:top w:val="nil"/>
              <w:left w:val="nil"/>
              <w:bottom w:val="single" w:sz="4" w:space="0" w:color="auto"/>
              <w:right w:val="single" w:sz="4" w:space="0" w:color="auto"/>
            </w:tcBorders>
            <w:shd w:val="clear" w:color="auto" w:fill="auto"/>
            <w:vAlign w:val="center"/>
            <w:hideMark/>
          </w:tcPr>
          <w:p w14:paraId="783CD991" w14:textId="77777777" w:rsidR="00E403D6" w:rsidRPr="00F10391" w:rsidRDefault="00E403D6" w:rsidP="0063065F">
            <w:pPr>
              <w:jc w:val="left"/>
            </w:pPr>
            <w:r w:rsidRPr="00F10391">
              <w:t>O'Regan C, Ghement I, Eyawo O, Guyatt Gh, Mills Ej.</w:t>
            </w:r>
          </w:p>
        </w:tc>
        <w:tc>
          <w:tcPr>
            <w:tcW w:w="2078" w:type="dxa"/>
            <w:tcBorders>
              <w:top w:val="nil"/>
              <w:left w:val="nil"/>
              <w:bottom w:val="single" w:sz="4" w:space="0" w:color="auto"/>
              <w:right w:val="single" w:sz="4" w:space="0" w:color="auto"/>
            </w:tcBorders>
            <w:shd w:val="clear" w:color="auto" w:fill="auto"/>
            <w:vAlign w:val="center"/>
            <w:hideMark/>
          </w:tcPr>
          <w:p w14:paraId="51738CA8" w14:textId="77777777" w:rsidR="00E403D6" w:rsidRPr="00F10391" w:rsidRDefault="00E403D6" w:rsidP="0063065F">
            <w:pPr>
              <w:jc w:val="left"/>
            </w:pPr>
            <w:r w:rsidRPr="00F10391">
              <w:t>Trials. 2009 Sep 21;10:86. Doi: 10.1186/1745-6215-10-86.</w:t>
            </w:r>
          </w:p>
        </w:tc>
        <w:tc>
          <w:tcPr>
            <w:tcW w:w="862" w:type="dxa"/>
            <w:tcBorders>
              <w:top w:val="nil"/>
              <w:left w:val="nil"/>
              <w:bottom w:val="single" w:sz="4" w:space="0" w:color="auto"/>
              <w:right w:val="single" w:sz="4" w:space="0" w:color="auto"/>
            </w:tcBorders>
            <w:shd w:val="clear" w:color="auto" w:fill="auto"/>
            <w:noWrap/>
            <w:vAlign w:val="center"/>
            <w:hideMark/>
          </w:tcPr>
          <w:p w14:paraId="58E7E1F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2D4D83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A785A4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2C1F8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5C2275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6B9E9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FAF5E2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5BC7F9F" w14:textId="77777777" w:rsidR="00E403D6" w:rsidRPr="00F10391" w:rsidRDefault="00E403D6">
            <w:r w:rsidRPr="00F10391">
              <w:t>Not found</w:t>
            </w:r>
          </w:p>
        </w:tc>
      </w:tr>
      <w:tr w:rsidR="00E403D6" w:rsidRPr="00F10391" w14:paraId="75DE43F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593EDDC" w14:textId="77777777" w:rsidR="00E403D6" w:rsidRPr="00F10391" w:rsidRDefault="00E403D6" w:rsidP="0063065F">
            <w:pPr>
              <w:jc w:val="left"/>
            </w:pPr>
            <w:r w:rsidRPr="00F10391">
              <w:t>01/10/09</w:t>
            </w:r>
          </w:p>
        </w:tc>
        <w:tc>
          <w:tcPr>
            <w:tcW w:w="2720" w:type="dxa"/>
            <w:tcBorders>
              <w:top w:val="nil"/>
              <w:left w:val="nil"/>
              <w:bottom w:val="single" w:sz="4" w:space="0" w:color="auto"/>
              <w:right w:val="single" w:sz="4" w:space="0" w:color="auto"/>
            </w:tcBorders>
            <w:shd w:val="clear" w:color="auto" w:fill="auto"/>
            <w:vAlign w:val="center"/>
            <w:hideMark/>
          </w:tcPr>
          <w:p w14:paraId="3718D93B" w14:textId="77777777" w:rsidR="00E403D6" w:rsidRPr="00F10391" w:rsidRDefault="00E403D6" w:rsidP="0063065F">
            <w:pPr>
              <w:jc w:val="left"/>
            </w:pPr>
            <w:r w:rsidRPr="00F10391">
              <w:t>Integrating Multi-Criteria Decision Analysis For A Gis-Based Hazardous Waste Landfill Sitting In Kurdistan Province, Western Iran</w:t>
            </w:r>
          </w:p>
        </w:tc>
        <w:tc>
          <w:tcPr>
            <w:tcW w:w="1985" w:type="dxa"/>
            <w:tcBorders>
              <w:top w:val="nil"/>
              <w:left w:val="nil"/>
              <w:bottom w:val="single" w:sz="4" w:space="0" w:color="auto"/>
              <w:right w:val="single" w:sz="4" w:space="0" w:color="auto"/>
            </w:tcBorders>
            <w:shd w:val="clear" w:color="auto" w:fill="auto"/>
            <w:vAlign w:val="center"/>
            <w:hideMark/>
          </w:tcPr>
          <w:p w14:paraId="4F526AC6" w14:textId="77777777" w:rsidR="00E403D6" w:rsidRPr="00F10391" w:rsidRDefault="00E403D6" w:rsidP="0063065F">
            <w:pPr>
              <w:jc w:val="left"/>
            </w:pPr>
            <w:r w:rsidRPr="00F10391">
              <w:t>Sharifi, Mozafar; Hadidi, Mosslem; Vessali, Elahe; Mosstafakhani, Parasto; Taheri, Kamal; Shahoie, Saber; Khodamoradpour, Mehran</w:t>
            </w:r>
          </w:p>
        </w:tc>
        <w:tc>
          <w:tcPr>
            <w:tcW w:w="2078" w:type="dxa"/>
            <w:tcBorders>
              <w:top w:val="nil"/>
              <w:left w:val="nil"/>
              <w:bottom w:val="single" w:sz="4" w:space="0" w:color="auto"/>
              <w:right w:val="single" w:sz="4" w:space="0" w:color="auto"/>
            </w:tcBorders>
            <w:shd w:val="clear" w:color="auto" w:fill="auto"/>
            <w:vAlign w:val="center"/>
            <w:hideMark/>
          </w:tcPr>
          <w:p w14:paraId="27D70C91" w14:textId="77777777" w:rsidR="00E403D6" w:rsidRPr="00F10391" w:rsidRDefault="00E403D6" w:rsidP="0063065F">
            <w:pPr>
              <w:jc w:val="left"/>
            </w:pPr>
            <w:r w:rsidRPr="00F10391">
              <w:t>Waste Management. 2009;29(10):2740-2758</w:t>
            </w:r>
          </w:p>
        </w:tc>
        <w:tc>
          <w:tcPr>
            <w:tcW w:w="862" w:type="dxa"/>
            <w:tcBorders>
              <w:top w:val="nil"/>
              <w:left w:val="nil"/>
              <w:bottom w:val="single" w:sz="4" w:space="0" w:color="auto"/>
              <w:right w:val="single" w:sz="4" w:space="0" w:color="auto"/>
            </w:tcBorders>
            <w:shd w:val="clear" w:color="auto" w:fill="auto"/>
            <w:noWrap/>
            <w:vAlign w:val="center"/>
            <w:hideMark/>
          </w:tcPr>
          <w:p w14:paraId="0009D9F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4FB908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1E5576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657CEC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1A56CD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24CC6E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67837A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CFB0AE7" w14:textId="77777777" w:rsidR="00E403D6" w:rsidRPr="00F10391" w:rsidRDefault="00E403D6">
            <w:r w:rsidRPr="00F10391">
              <w:t>Excluded</w:t>
            </w:r>
          </w:p>
        </w:tc>
      </w:tr>
      <w:tr w:rsidR="00E403D6" w:rsidRPr="00F10391" w14:paraId="622E7A4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AE1507C" w14:textId="77777777" w:rsidR="00E403D6" w:rsidRPr="00F10391" w:rsidRDefault="00E403D6" w:rsidP="0063065F">
            <w:pPr>
              <w:jc w:val="left"/>
            </w:pPr>
            <w:r w:rsidRPr="00F10391">
              <w:t>01/11/09</w:t>
            </w:r>
          </w:p>
        </w:tc>
        <w:tc>
          <w:tcPr>
            <w:tcW w:w="2720" w:type="dxa"/>
            <w:tcBorders>
              <w:top w:val="nil"/>
              <w:left w:val="nil"/>
              <w:bottom w:val="single" w:sz="4" w:space="0" w:color="auto"/>
              <w:right w:val="single" w:sz="4" w:space="0" w:color="auto"/>
            </w:tcBorders>
            <w:shd w:val="clear" w:color="auto" w:fill="auto"/>
            <w:vAlign w:val="center"/>
            <w:hideMark/>
          </w:tcPr>
          <w:p w14:paraId="60D9A074" w14:textId="77777777" w:rsidR="00E403D6" w:rsidRPr="00F10391" w:rsidRDefault="00E403D6" w:rsidP="0063065F">
            <w:pPr>
              <w:jc w:val="left"/>
            </w:pPr>
            <w:r w:rsidRPr="00F10391">
              <w:t>A Comparative Approach For Ranking Contaminated Sites Based On The Risk Assessment Paradigm Using Fuzzy Promethee</w:t>
            </w:r>
          </w:p>
        </w:tc>
        <w:tc>
          <w:tcPr>
            <w:tcW w:w="1985" w:type="dxa"/>
            <w:tcBorders>
              <w:top w:val="nil"/>
              <w:left w:val="nil"/>
              <w:bottom w:val="single" w:sz="4" w:space="0" w:color="auto"/>
              <w:right w:val="single" w:sz="4" w:space="0" w:color="auto"/>
            </w:tcBorders>
            <w:shd w:val="clear" w:color="auto" w:fill="auto"/>
            <w:vAlign w:val="center"/>
            <w:hideMark/>
          </w:tcPr>
          <w:p w14:paraId="17ED6247" w14:textId="77777777" w:rsidR="00E403D6" w:rsidRPr="00F10391" w:rsidRDefault="00E403D6" w:rsidP="0063065F">
            <w:pPr>
              <w:jc w:val="left"/>
            </w:pPr>
            <w:r w:rsidRPr="00F10391">
              <w:t>Zhang, Kejiang; Kluck, Cheryl; Achari, Gopal</w:t>
            </w:r>
          </w:p>
        </w:tc>
        <w:tc>
          <w:tcPr>
            <w:tcW w:w="2078" w:type="dxa"/>
            <w:tcBorders>
              <w:top w:val="nil"/>
              <w:left w:val="nil"/>
              <w:bottom w:val="single" w:sz="4" w:space="0" w:color="auto"/>
              <w:right w:val="single" w:sz="4" w:space="0" w:color="auto"/>
            </w:tcBorders>
            <w:shd w:val="clear" w:color="auto" w:fill="auto"/>
            <w:vAlign w:val="center"/>
            <w:hideMark/>
          </w:tcPr>
          <w:p w14:paraId="08DFF2FF" w14:textId="77777777" w:rsidR="00E403D6" w:rsidRPr="00F10391" w:rsidRDefault="00E403D6" w:rsidP="0063065F">
            <w:pPr>
              <w:jc w:val="left"/>
            </w:pPr>
            <w:r w:rsidRPr="00F10391">
              <w:t>Environmental Management. 2009;44(5):952-967</w:t>
            </w:r>
          </w:p>
        </w:tc>
        <w:tc>
          <w:tcPr>
            <w:tcW w:w="862" w:type="dxa"/>
            <w:tcBorders>
              <w:top w:val="nil"/>
              <w:left w:val="nil"/>
              <w:bottom w:val="single" w:sz="4" w:space="0" w:color="auto"/>
              <w:right w:val="single" w:sz="4" w:space="0" w:color="auto"/>
            </w:tcBorders>
            <w:shd w:val="clear" w:color="auto" w:fill="auto"/>
            <w:noWrap/>
            <w:vAlign w:val="center"/>
            <w:hideMark/>
          </w:tcPr>
          <w:p w14:paraId="1279D2C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697708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AC50E9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4CE648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F300B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16FEB8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DABCC4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2C95E2B" w14:textId="77777777" w:rsidR="00E403D6" w:rsidRPr="00F10391" w:rsidRDefault="00E403D6">
            <w:r w:rsidRPr="00F10391">
              <w:t>Excluded</w:t>
            </w:r>
          </w:p>
        </w:tc>
      </w:tr>
      <w:tr w:rsidR="00E403D6" w:rsidRPr="00F10391" w14:paraId="1C355CB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C16BE48" w14:textId="77777777" w:rsidR="00E403D6" w:rsidRPr="00F10391" w:rsidRDefault="00E403D6" w:rsidP="0063065F">
            <w:pPr>
              <w:jc w:val="left"/>
            </w:pPr>
            <w:r w:rsidRPr="00F10391">
              <w:t>08/12/09</w:t>
            </w:r>
          </w:p>
        </w:tc>
        <w:tc>
          <w:tcPr>
            <w:tcW w:w="2720" w:type="dxa"/>
            <w:tcBorders>
              <w:top w:val="nil"/>
              <w:left w:val="nil"/>
              <w:bottom w:val="single" w:sz="4" w:space="0" w:color="auto"/>
              <w:right w:val="single" w:sz="4" w:space="0" w:color="auto"/>
            </w:tcBorders>
            <w:shd w:val="clear" w:color="auto" w:fill="auto"/>
            <w:vAlign w:val="center"/>
            <w:hideMark/>
          </w:tcPr>
          <w:p w14:paraId="7F8E8F9E" w14:textId="77777777" w:rsidR="00E403D6" w:rsidRPr="00F10391" w:rsidRDefault="00E403D6" w:rsidP="0063065F">
            <w:pPr>
              <w:jc w:val="left"/>
            </w:pPr>
            <w:r w:rsidRPr="00F10391">
              <w:t>Disease Progression Among Multiple Sclerosis Patients Before And During A Disease-Modifying Drug Program: A Longitudinal Population-Based Evaluation.</w:t>
            </w:r>
          </w:p>
        </w:tc>
        <w:tc>
          <w:tcPr>
            <w:tcW w:w="1985" w:type="dxa"/>
            <w:tcBorders>
              <w:top w:val="nil"/>
              <w:left w:val="nil"/>
              <w:bottom w:val="single" w:sz="4" w:space="0" w:color="auto"/>
              <w:right w:val="single" w:sz="4" w:space="0" w:color="auto"/>
            </w:tcBorders>
            <w:shd w:val="clear" w:color="auto" w:fill="auto"/>
            <w:vAlign w:val="center"/>
            <w:hideMark/>
          </w:tcPr>
          <w:p w14:paraId="1B289AD5" w14:textId="77777777" w:rsidR="00E403D6" w:rsidRPr="00F10391" w:rsidRDefault="00E403D6" w:rsidP="0063065F">
            <w:pPr>
              <w:jc w:val="left"/>
            </w:pPr>
            <w:r w:rsidRPr="00F10391">
              <w:t>Veugelers Pj, Fisk Jd, Brown Mg, Stadnyk K, Sketris Is, Murray Tj, Bhan V.</w:t>
            </w:r>
          </w:p>
        </w:tc>
        <w:tc>
          <w:tcPr>
            <w:tcW w:w="2078" w:type="dxa"/>
            <w:tcBorders>
              <w:top w:val="nil"/>
              <w:left w:val="nil"/>
              <w:bottom w:val="single" w:sz="4" w:space="0" w:color="auto"/>
              <w:right w:val="single" w:sz="4" w:space="0" w:color="auto"/>
            </w:tcBorders>
            <w:shd w:val="clear" w:color="auto" w:fill="auto"/>
            <w:vAlign w:val="center"/>
            <w:hideMark/>
          </w:tcPr>
          <w:p w14:paraId="7FC8AFB9" w14:textId="77777777" w:rsidR="00E403D6" w:rsidRPr="00F10391" w:rsidRDefault="00E403D6" w:rsidP="0063065F">
            <w:pPr>
              <w:jc w:val="left"/>
            </w:pPr>
            <w:r w:rsidRPr="00F10391">
              <w:t>Mult Scler. 2009 Nov;15(11):1286-94. Doi: 10.1177/1352458509350307. Epub 2009 Oct 30.</w:t>
            </w:r>
          </w:p>
        </w:tc>
        <w:tc>
          <w:tcPr>
            <w:tcW w:w="862" w:type="dxa"/>
            <w:tcBorders>
              <w:top w:val="nil"/>
              <w:left w:val="nil"/>
              <w:bottom w:val="single" w:sz="4" w:space="0" w:color="auto"/>
              <w:right w:val="single" w:sz="4" w:space="0" w:color="auto"/>
            </w:tcBorders>
            <w:shd w:val="clear" w:color="auto" w:fill="auto"/>
            <w:noWrap/>
            <w:vAlign w:val="center"/>
            <w:hideMark/>
          </w:tcPr>
          <w:p w14:paraId="510A3DF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0F762E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D9AFB2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A21E4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7131B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8BEBE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6E4E06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5814B60" w14:textId="77777777" w:rsidR="00E403D6" w:rsidRPr="00F10391" w:rsidRDefault="00E403D6">
            <w:r w:rsidRPr="00F10391">
              <w:t>Not found</w:t>
            </w:r>
          </w:p>
        </w:tc>
      </w:tr>
      <w:tr w:rsidR="00E403D6" w:rsidRPr="00F10391" w14:paraId="5A7B448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631E2B1" w14:textId="77777777" w:rsidR="00E403D6" w:rsidRPr="00F10391" w:rsidRDefault="00E403D6" w:rsidP="0063065F">
            <w:pPr>
              <w:jc w:val="left"/>
            </w:pPr>
            <w:r w:rsidRPr="00F10391">
              <w:t>31/12/09</w:t>
            </w:r>
          </w:p>
        </w:tc>
        <w:tc>
          <w:tcPr>
            <w:tcW w:w="2720" w:type="dxa"/>
            <w:tcBorders>
              <w:top w:val="nil"/>
              <w:left w:val="nil"/>
              <w:bottom w:val="single" w:sz="4" w:space="0" w:color="auto"/>
              <w:right w:val="single" w:sz="4" w:space="0" w:color="auto"/>
            </w:tcBorders>
            <w:shd w:val="clear" w:color="auto" w:fill="auto"/>
            <w:vAlign w:val="center"/>
            <w:hideMark/>
          </w:tcPr>
          <w:p w14:paraId="02D28BD4" w14:textId="77777777" w:rsidR="00E403D6" w:rsidRPr="00F10391" w:rsidRDefault="00E403D6" w:rsidP="0063065F">
            <w:pPr>
              <w:jc w:val="left"/>
            </w:pPr>
            <w:r w:rsidRPr="00F10391">
              <w:t>Implementing Regulation Policy In Brazilian Health Care Regulation Centers.</w:t>
            </w:r>
          </w:p>
        </w:tc>
        <w:tc>
          <w:tcPr>
            <w:tcW w:w="1985" w:type="dxa"/>
            <w:tcBorders>
              <w:top w:val="nil"/>
              <w:left w:val="nil"/>
              <w:bottom w:val="single" w:sz="4" w:space="0" w:color="auto"/>
              <w:right w:val="single" w:sz="4" w:space="0" w:color="auto"/>
            </w:tcBorders>
            <w:shd w:val="clear" w:color="auto" w:fill="auto"/>
            <w:vAlign w:val="center"/>
            <w:hideMark/>
          </w:tcPr>
          <w:p w14:paraId="624AEA3A" w14:textId="77777777" w:rsidR="00E403D6" w:rsidRPr="005D7324" w:rsidRDefault="00E403D6" w:rsidP="0063065F">
            <w:pPr>
              <w:jc w:val="left"/>
            </w:pPr>
            <w:r w:rsidRPr="005D7324">
              <w:t>Da Silva Me, Santos Er, Borenstein D.</w:t>
            </w:r>
          </w:p>
        </w:tc>
        <w:tc>
          <w:tcPr>
            <w:tcW w:w="2078" w:type="dxa"/>
            <w:tcBorders>
              <w:top w:val="nil"/>
              <w:left w:val="nil"/>
              <w:bottom w:val="single" w:sz="4" w:space="0" w:color="auto"/>
              <w:right w:val="single" w:sz="4" w:space="0" w:color="auto"/>
            </w:tcBorders>
            <w:shd w:val="clear" w:color="auto" w:fill="auto"/>
            <w:vAlign w:val="center"/>
            <w:hideMark/>
          </w:tcPr>
          <w:p w14:paraId="6F08A556" w14:textId="77777777" w:rsidR="00E403D6" w:rsidRPr="00F10391" w:rsidRDefault="00E403D6" w:rsidP="0063065F">
            <w:pPr>
              <w:jc w:val="left"/>
            </w:pPr>
            <w:r w:rsidRPr="00F10391">
              <w:t>Med Decis Making. 2010 May-Jun;30(3):366-79. Doi: 10.1177/0272989X09344748. Epub 2009 Dec 29.</w:t>
            </w:r>
          </w:p>
        </w:tc>
        <w:tc>
          <w:tcPr>
            <w:tcW w:w="862" w:type="dxa"/>
            <w:tcBorders>
              <w:top w:val="nil"/>
              <w:left w:val="nil"/>
              <w:bottom w:val="single" w:sz="4" w:space="0" w:color="auto"/>
              <w:right w:val="single" w:sz="4" w:space="0" w:color="auto"/>
            </w:tcBorders>
            <w:shd w:val="clear" w:color="auto" w:fill="auto"/>
            <w:noWrap/>
            <w:vAlign w:val="center"/>
            <w:hideMark/>
          </w:tcPr>
          <w:p w14:paraId="39BBC52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387858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11B028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3DF28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78D0E7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96FB4E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D7CEAE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C4D3F1F" w14:textId="77777777" w:rsidR="00E403D6" w:rsidRPr="00F10391" w:rsidRDefault="00E403D6">
            <w:r w:rsidRPr="00F10391">
              <w:t>Not found</w:t>
            </w:r>
          </w:p>
        </w:tc>
      </w:tr>
      <w:tr w:rsidR="00E403D6" w:rsidRPr="00F10391" w14:paraId="129BC00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5FFE433" w14:textId="77777777" w:rsidR="00E403D6" w:rsidRPr="00F10391" w:rsidRDefault="00E403D6" w:rsidP="0063065F">
            <w:pPr>
              <w:jc w:val="left"/>
            </w:pPr>
            <w:r w:rsidRPr="00F10391">
              <w:t>01/01/10</w:t>
            </w:r>
          </w:p>
        </w:tc>
        <w:tc>
          <w:tcPr>
            <w:tcW w:w="2720" w:type="dxa"/>
            <w:tcBorders>
              <w:top w:val="nil"/>
              <w:left w:val="nil"/>
              <w:bottom w:val="single" w:sz="4" w:space="0" w:color="auto"/>
              <w:right w:val="single" w:sz="4" w:space="0" w:color="auto"/>
            </w:tcBorders>
            <w:shd w:val="clear" w:color="auto" w:fill="auto"/>
            <w:vAlign w:val="center"/>
            <w:hideMark/>
          </w:tcPr>
          <w:p w14:paraId="04E2627B" w14:textId="77777777" w:rsidR="00E403D6" w:rsidRPr="00F10391" w:rsidRDefault="00E403D6" w:rsidP="0063065F">
            <w:pPr>
              <w:jc w:val="left"/>
            </w:pPr>
            <w:r w:rsidRPr="00F10391">
              <w:t>Multicriteria Decision Analysis To Assess Options For Managing Contaminated Sediments: Application To Southern Busan Harbor, South Korea</w:t>
            </w:r>
          </w:p>
        </w:tc>
        <w:tc>
          <w:tcPr>
            <w:tcW w:w="1985" w:type="dxa"/>
            <w:tcBorders>
              <w:top w:val="nil"/>
              <w:left w:val="nil"/>
              <w:bottom w:val="single" w:sz="4" w:space="0" w:color="auto"/>
              <w:right w:val="single" w:sz="4" w:space="0" w:color="auto"/>
            </w:tcBorders>
            <w:shd w:val="clear" w:color="auto" w:fill="auto"/>
            <w:vAlign w:val="center"/>
            <w:hideMark/>
          </w:tcPr>
          <w:p w14:paraId="7BE8B603" w14:textId="77777777" w:rsidR="00E403D6" w:rsidRPr="00F10391" w:rsidRDefault="00E403D6" w:rsidP="0063065F">
            <w:pPr>
              <w:jc w:val="left"/>
            </w:pPr>
            <w:r w:rsidRPr="00F10391">
              <w:t>Kim, Jongburn; Kim, Suk Hyun; Hong, Gi Hoon; Suedel, Burton C.; Clarke, Joan</w:t>
            </w:r>
          </w:p>
        </w:tc>
        <w:tc>
          <w:tcPr>
            <w:tcW w:w="2078" w:type="dxa"/>
            <w:tcBorders>
              <w:top w:val="nil"/>
              <w:left w:val="nil"/>
              <w:bottom w:val="single" w:sz="4" w:space="0" w:color="auto"/>
              <w:right w:val="single" w:sz="4" w:space="0" w:color="auto"/>
            </w:tcBorders>
            <w:shd w:val="clear" w:color="auto" w:fill="auto"/>
            <w:vAlign w:val="center"/>
            <w:hideMark/>
          </w:tcPr>
          <w:p w14:paraId="299B8D2C" w14:textId="77777777" w:rsidR="00E403D6" w:rsidRPr="00F10391" w:rsidRDefault="00E403D6" w:rsidP="0063065F">
            <w:pPr>
              <w:jc w:val="left"/>
            </w:pPr>
            <w:r w:rsidRPr="00F10391">
              <w:t>Integrated Environmental Assessment And Management. 2010;6(1):61-71</w:t>
            </w:r>
          </w:p>
        </w:tc>
        <w:tc>
          <w:tcPr>
            <w:tcW w:w="862" w:type="dxa"/>
            <w:tcBorders>
              <w:top w:val="nil"/>
              <w:left w:val="nil"/>
              <w:bottom w:val="single" w:sz="4" w:space="0" w:color="auto"/>
              <w:right w:val="single" w:sz="4" w:space="0" w:color="auto"/>
            </w:tcBorders>
            <w:shd w:val="clear" w:color="auto" w:fill="auto"/>
            <w:noWrap/>
            <w:vAlign w:val="center"/>
            <w:hideMark/>
          </w:tcPr>
          <w:p w14:paraId="4F83A30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8123FC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F256E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1CD4A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F162B9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092E01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DAB16C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7960DCA" w14:textId="77777777" w:rsidR="00E403D6" w:rsidRPr="00F10391" w:rsidRDefault="00E403D6">
            <w:r w:rsidRPr="00F10391">
              <w:t>Excluded</w:t>
            </w:r>
          </w:p>
        </w:tc>
      </w:tr>
      <w:tr w:rsidR="00E403D6" w:rsidRPr="00F10391" w14:paraId="205E5F9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C225E26" w14:textId="77777777" w:rsidR="00E403D6" w:rsidRPr="00F10391" w:rsidRDefault="00E403D6" w:rsidP="0063065F">
            <w:pPr>
              <w:jc w:val="left"/>
            </w:pPr>
            <w:r w:rsidRPr="00F10391">
              <w:t>27/01/10</w:t>
            </w:r>
          </w:p>
        </w:tc>
        <w:tc>
          <w:tcPr>
            <w:tcW w:w="2720" w:type="dxa"/>
            <w:tcBorders>
              <w:top w:val="nil"/>
              <w:left w:val="nil"/>
              <w:bottom w:val="single" w:sz="4" w:space="0" w:color="auto"/>
              <w:right w:val="single" w:sz="4" w:space="0" w:color="auto"/>
            </w:tcBorders>
            <w:shd w:val="clear" w:color="auto" w:fill="auto"/>
            <w:vAlign w:val="center"/>
            <w:hideMark/>
          </w:tcPr>
          <w:p w14:paraId="4D82CBF1" w14:textId="77777777" w:rsidR="00E403D6" w:rsidRPr="00F10391" w:rsidRDefault="00E403D6" w:rsidP="0063065F">
            <w:pPr>
              <w:jc w:val="left"/>
            </w:pPr>
            <w:r w:rsidRPr="00F10391">
              <w:t>Multi-Criteria Assessment Of County Public Health Capability Disparities.</w:t>
            </w:r>
          </w:p>
        </w:tc>
        <w:tc>
          <w:tcPr>
            <w:tcW w:w="1985" w:type="dxa"/>
            <w:tcBorders>
              <w:top w:val="nil"/>
              <w:left w:val="nil"/>
              <w:bottom w:val="single" w:sz="4" w:space="0" w:color="auto"/>
              <w:right w:val="single" w:sz="4" w:space="0" w:color="auto"/>
            </w:tcBorders>
            <w:shd w:val="clear" w:color="auto" w:fill="auto"/>
            <w:vAlign w:val="center"/>
            <w:hideMark/>
          </w:tcPr>
          <w:p w14:paraId="2DD6CB5F" w14:textId="77777777" w:rsidR="00E403D6" w:rsidRPr="005D7324" w:rsidRDefault="00E403D6" w:rsidP="0063065F">
            <w:pPr>
              <w:jc w:val="left"/>
            </w:pPr>
            <w:r w:rsidRPr="005D7324">
              <w:t>Zuniga Ma, Carrillo-Zuniga G, Seol Yh, Fos Pj.</w:t>
            </w:r>
          </w:p>
        </w:tc>
        <w:tc>
          <w:tcPr>
            <w:tcW w:w="2078" w:type="dxa"/>
            <w:tcBorders>
              <w:top w:val="nil"/>
              <w:left w:val="nil"/>
              <w:bottom w:val="single" w:sz="4" w:space="0" w:color="auto"/>
              <w:right w:val="single" w:sz="4" w:space="0" w:color="auto"/>
            </w:tcBorders>
            <w:shd w:val="clear" w:color="auto" w:fill="auto"/>
            <w:vAlign w:val="center"/>
            <w:hideMark/>
          </w:tcPr>
          <w:p w14:paraId="2444C7CA" w14:textId="77777777" w:rsidR="00E403D6" w:rsidRPr="00F10391" w:rsidRDefault="00E403D6" w:rsidP="0063065F">
            <w:pPr>
              <w:jc w:val="left"/>
            </w:pPr>
            <w:r w:rsidRPr="00F10391">
              <w:t>J Health Hum Serv Adm. 2009 Winter;32(3):238-58.</w:t>
            </w:r>
          </w:p>
        </w:tc>
        <w:tc>
          <w:tcPr>
            <w:tcW w:w="862" w:type="dxa"/>
            <w:tcBorders>
              <w:top w:val="nil"/>
              <w:left w:val="nil"/>
              <w:bottom w:val="single" w:sz="4" w:space="0" w:color="auto"/>
              <w:right w:val="single" w:sz="4" w:space="0" w:color="auto"/>
            </w:tcBorders>
            <w:shd w:val="clear" w:color="auto" w:fill="auto"/>
            <w:noWrap/>
            <w:vAlign w:val="center"/>
            <w:hideMark/>
          </w:tcPr>
          <w:p w14:paraId="7DB166C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9C0A45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E6D01A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E56D6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AA2434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DFB221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65730B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9F4689F" w14:textId="77777777" w:rsidR="00E403D6" w:rsidRPr="00F10391" w:rsidRDefault="00E403D6">
            <w:r w:rsidRPr="00F10391">
              <w:t>Not found</w:t>
            </w:r>
          </w:p>
        </w:tc>
      </w:tr>
      <w:tr w:rsidR="00E403D6" w:rsidRPr="00F10391" w14:paraId="66B8666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854CA3" w14:textId="77777777" w:rsidR="00E403D6" w:rsidRPr="00F10391" w:rsidRDefault="00E403D6" w:rsidP="0063065F">
            <w:pPr>
              <w:jc w:val="left"/>
            </w:pPr>
            <w:r w:rsidRPr="00F10391">
              <w:t>01/02/10</w:t>
            </w:r>
          </w:p>
        </w:tc>
        <w:tc>
          <w:tcPr>
            <w:tcW w:w="2720" w:type="dxa"/>
            <w:tcBorders>
              <w:top w:val="nil"/>
              <w:left w:val="nil"/>
              <w:bottom w:val="single" w:sz="4" w:space="0" w:color="auto"/>
              <w:right w:val="single" w:sz="4" w:space="0" w:color="auto"/>
            </w:tcBorders>
            <w:shd w:val="clear" w:color="auto" w:fill="auto"/>
            <w:vAlign w:val="center"/>
            <w:hideMark/>
          </w:tcPr>
          <w:p w14:paraId="17D9F8F0" w14:textId="77777777" w:rsidR="00E403D6" w:rsidRPr="00F10391" w:rsidRDefault="00E403D6" w:rsidP="0063065F">
            <w:pPr>
              <w:jc w:val="left"/>
            </w:pPr>
            <w:r w:rsidRPr="00F10391">
              <w:t>Applying Multi-Criteria Decision-Making To Improve The Waste Reduction Policy In Taiwan</w:t>
            </w:r>
          </w:p>
        </w:tc>
        <w:tc>
          <w:tcPr>
            <w:tcW w:w="1985" w:type="dxa"/>
            <w:tcBorders>
              <w:top w:val="nil"/>
              <w:left w:val="nil"/>
              <w:bottom w:val="single" w:sz="4" w:space="0" w:color="auto"/>
              <w:right w:val="single" w:sz="4" w:space="0" w:color="auto"/>
            </w:tcBorders>
            <w:shd w:val="clear" w:color="auto" w:fill="auto"/>
            <w:vAlign w:val="center"/>
            <w:hideMark/>
          </w:tcPr>
          <w:p w14:paraId="202FBBFF" w14:textId="77777777" w:rsidR="00E403D6" w:rsidRPr="005D7324" w:rsidRDefault="00E403D6" w:rsidP="0063065F">
            <w:pPr>
              <w:jc w:val="left"/>
            </w:pPr>
            <w:r w:rsidRPr="005D7324">
              <w:t>Su, Jun-Pin; Hung, Ming-Lung; Chao, Chia-Wei; Ma, Hwong-Wen</w:t>
            </w:r>
          </w:p>
        </w:tc>
        <w:tc>
          <w:tcPr>
            <w:tcW w:w="2078" w:type="dxa"/>
            <w:tcBorders>
              <w:top w:val="nil"/>
              <w:left w:val="nil"/>
              <w:bottom w:val="single" w:sz="4" w:space="0" w:color="auto"/>
              <w:right w:val="single" w:sz="4" w:space="0" w:color="auto"/>
            </w:tcBorders>
            <w:shd w:val="clear" w:color="auto" w:fill="auto"/>
            <w:vAlign w:val="center"/>
            <w:hideMark/>
          </w:tcPr>
          <w:p w14:paraId="624BF0F0" w14:textId="77777777" w:rsidR="00E403D6" w:rsidRPr="00F10391" w:rsidRDefault="00E403D6" w:rsidP="0063065F">
            <w:pPr>
              <w:jc w:val="left"/>
            </w:pPr>
            <w:r w:rsidRPr="00F10391">
              <w:t>Waste Management &amp; Research. 2010;28(1):20-28</w:t>
            </w:r>
          </w:p>
        </w:tc>
        <w:tc>
          <w:tcPr>
            <w:tcW w:w="862" w:type="dxa"/>
            <w:tcBorders>
              <w:top w:val="nil"/>
              <w:left w:val="nil"/>
              <w:bottom w:val="single" w:sz="4" w:space="0" w:color="auto"/>
              <w:right w:val="single" w:sz="4" w:space="0" w:color="auto"/>
            </w:tcBorders>
            <w:shd w:val="clear" w:color="auto" w:fill="auto"/>
            <w:noWrap/>
            <w:vAlign w:val="center"/>
            <w:hideMark/>
          </w:tcPr>
          <w:p w14:paraId="16671616"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BC6F6E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AF9C1A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86C1B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EC25D2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17D5D1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168273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3B58B94" w14:textId="77777777" w:rsidR="00E403D6" w:rsidRPr="00F10391" w:rsidRDefault="00E403D6">
            <w:r w:rsidRPr="00F10391">
              <w:t>Excluded</w:t>
            </w:r>
          </w:p>
        </w:tc>
      </w:tr>
      <w:tr w:rsidR="00E403D6" w:rsidRPr="00F10391" w14:paraId="4DD5827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B3CB197" w14:textId="77777777" w:rsidR="00E403D6" w:rsidRPr="00F10391" w:rsidRDefault="00E403D6" w:rsidP="0063065F">
            <w:pPr>
              <w:jc w:val="left"/>
            </w:pPr>
            <w:r w:rsidRPr="00F10391">
              <w:t>05/02/10</w:t>
            </w:r>
          </w:p>
        </w:tc>
        <w:tc>
          <w:tcPr>
            <w:tcW w:w="2720" w:type="dxa"/>
            <w:tcBorders>
              <w:top w:val="nil"/>
              <w:left w:val="nil"/>
              <w:bottom w:val="single" w:sz="4" w:space="0" w:color="auto"/>
              <w:right w:val="single" w:sz="4" w:space="0" w:color="auto"/>
            </w:tcBorders>
            <w:shd w:val="clear" w:color="auto" w:fill="auto"/>
            <w:vAlign w:val="center"/>
            <w:hideMark/>
          </w:tcPr>
          <w:p w14:paraId="7275CE96" w14:textId="77777777" w:rsidR="00E403D6" w:rsidRPr="00F10391" w:rsidRDefault="00E403D6" w:rsidP="0063065F">
            <w:pPr>
              <w:jc w:val="left"/>
            </w:pPr>
            <w:r w:rsidRPr="00F10391">
              <w:t>Digital Pen And Paper Technology Is An Effective Way Of Capturing Variance Data When Using Arthroplasty Clinical Pathways.</w:t>
            </w:r>
          </w:p>
        </w:tc>
        <w:tc>
          <w:tcPr>
            <w:tcW w:w="1985" w:type="dxa"/>
            <w:tcBorders>
              <w:top w:val="nil"/>
              <w:left w:val="nil"/>
              <w:bottom w:val="single" w:sz="4" w:space="0" w:color="auto"/>
              <w:right w:val="single" w:sz="4" w:space="0" w:color="auto"/>
            </w:tcBorders>
            <w:shd w:val="clear" w:color="auto" w:fill="auto"/>
            <w:vAlign w:val="center"/>
            <w:hideMark/>
          </w:tcPr>
          <w:p w14:paraId="2C833D70" w14:textId="77777777" w:rsidR="00E403D6" w:rsidRPr="00F10391" w:rsidRDefault="00E403D6" w:rsidP="0063065F">
            <w:pPr>
              <w:jc w:val="left"/>
            </w:pPr>
            <w:r w:rsidRPr="00F10391">
              <w:t>Derhy Ph, Bullingham Ka, Bryett Aj.</w:t>
            </w:r>
          </w:p>
        </w:tc>
        <w:tc>
          <w:tcPr>
            <w:tcW w:w="2078" w:type="dxa"/>
            <w:tcBorders>
              <w:top w:val="nil"/>
              <w:left w:val="nil"/>
              <w:bottom w:val="single" w:sz="4" w:space="0" w:color="auto"/>
              <w:right w:val="single" w:sz="4" w:space="0" w:color="auto"/>
            </w:tcBorders>
            <w:shd w:val="clear" w:color="auto" w:fill="auto"/>
            <w:vAlign w:val="center"/>
            <w:hideMark/>
          </w:tcPr>
          <w:p w14:paraId="41D8CFB9" w14:textId="77777777" w:rsidR="00E403D6" w:rsidRPr="00F10391" w:rsidRDefault="00E403D6" w:rsidP="0063065F">
            <w:pPr>
              <w:jc w:val="left"/>
            </w:pPr>
            <w:r w:rsidRPr="00F10391">
              <w:t>Aust Health Rev. 2009 Aug;33(3):453-60.</w:t>
            </w:r>
          </w:p>
        </w:tc>
        <w:tc>
          <w:tcPr>
            <w:tcW w:w="862" w:type="dxa"/>
            <w:tcBorders>
              <w:top w:val="nil"/>
              <w:left w:val="nil"/>
              <w:bottom w:val="single" w:sz="4" w:space="0" w:color="auto"/>
              <w:right w:val="single" w:sz="4" w:space="0" w:color="auto"/>
            </w:tcBorders>
            <w:shd w:val="clear" w:color="auto" w:fill="auto"/>
            <w:noWrap/>
            <w:vAlign w:val="center"/>
            <w:hideMark/>
          </w:tcPr>
          <w:p w14:paraId="35A5C47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36F2EC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B61389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BC4E59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A827B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09A13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57B1BF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EEDA4BC" w14:textId="77777777" w:rsidR="00E403D6" w:rsidRPr="00F10391" w:rsidRDefault="00E403D6">
            <w:r w:rsidRPr="00F10391">
              <w:t>Not found</w:t>
            </w:r>
          </w:p>
        </w:tc>
      </w:tr>
      <w:tr w:rsidR="00E403D6" w:rsidRPr="00F10391" w14:paraId="159B415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2FAAB42" w14:textId="77777777" w:rsidR="00E403D6" w:rsidRPr="00F10391" w:rsidRDefault="00E403D6" w:rsidP="0063065F">
            <w:pPr>
              <w:jc w:val="left"/>
            </w:pPr>
            <w:r w:rsidRPr="00F10391">
              <w:t>16/02/10</w:t>
            </w:r>
          </w:p>
        </w:tc>
        <w:tc>
          <w:tcPr>
            <w:tcW w:w="2720" w:type="dxa"/>
            <w:tcBorders>
              <w:top w:val="nil"/>
              <w:left w:val="nil"/>
              <w:bottom w:val="single" w:sz="4" w:space="0" w:color="auto"/>
              <w:right w:val="single" w:sz="4" w:space="0" w:color="auto"/>
            </w:tcBorders>
            <w:shd w:val="clear" w:color="auto" w:fill="auto"/>
            <w:vAlign w:val="center"/>
            <w:hideMark/>
          </w:tcPr>
          <w:p w14:paraId="3588B3E8" w14:textId="77777777" w:rsidR="00E403D6" w:rsidRPr="00F10391" w:rsidRDefault="00E403D6" w:rsidP="0063065F">
            <w:pPr>
              <w:jc w:val="left"/>
            </w:pPr>
            <w:r w:rsidRPr="00F10391">
              <w:t>An Examination Of Special Focus Facility Nursing Homes.</w:t>
            </w:r>
          </w:p>
        </w:tc>
        <w:tc>
          <w:tcPr>
            <w:tcW w:w="1985" w:type="dxa"/>
            <w:tcBorders>
              <w:top w:val="nil"/>
              <w:left w:val="nil"/>
              <w:bottom w:val="single" w:sz="4" w:space="0" w:color="auto"/>
              <w:right w:val="single" w:sz="4" w:space="0" w:color="auto"/>
            </w:tcBorders>
            <w:shd w:val="clear" w:color="auto" w:fill="auto"/>
            <w:vAlign w:val="center"/>
            <w:hideMark/>
          </w:tcPr>
          <w:p w14:paraId="586A9635" w14:textId="77777777" w:rsidR="00E403D6" w:rsidRPr="00F10391" w:rsidRDefault="00E403D6" w:rsidP="0063065F">
            <w:pPr>
              <w:jc w:val="left"/>
            </w:pPr>
            <w:r w:rsidRPr="00F10391">
              <w:t>Castle Ng, Engberg J.</w:t>
            </w:r>
          </w:p>
        </w:tc>
        <w:tc>
          <w:tcPr>
            <w:tcW w:w="2078" w:type="dxa"/>
            <w:tcBorders>
              <w:top w:val="nil"/>
              <w:left w:val="nil"/>
              <w:bottom w:val="single" w:sz="4" w:space="0" w:color="auto"/>
              <w:right w:val="single" w:sz="4" w:space="0" w:color="auto"/>
            </w:tcBorders>
            <w:shd w:val="clear" w:color="auto" w:fill="auto"/>
            <w:vAlign w:val="center"/>
            <w:hideMark/>
          </w:tcPr>
          <w:p w14:paraId="0C1161AC" w14:textId="77777777" w:rsidR="00E403D6" w:rsidRPr="00F10391" w:rsidRDefault="00E403D6" w:rsidP="0063065F">
            <w:pPr>
              <w:jc w:val="left"/>
            </w:pPr>
            <w:r w:rsidRPr="00F10391">
              <w:t>Gerontologist. 2010 Jun;50(3):400-7. Doi: 10.1093/Geront/Gnq008. Epub 2010 Feb 12.</w:t>
            </w:r>
          </w:p>
        </w:tc>
        <w:tc>
          <w:tcPr>
            <w:tcW w:w="862" w:type="dxa"/>
            <w:tcBorders>
              <w:top w:val="nil"/>
              <w:left w:val="nil"/>
              <w:bottom w:val="single" w:sz="4" w:space="0" w:color="auto"/>
              <w:right w:val="single" w:sz="4" w:space="0" w:color="auto"/>
            </w:tcBorders>
            <w:shd w:val="clear" w:color="auto" w:fill="auto"/>
            <w:noWrap/>
            <w:vAlign w:val="center"/>
            <w:hideMark/>
          </w:tcPr>
          <w:p w14:paraId="11DCC4F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D7D54D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2D2B9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ED945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5FF98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0F4DE4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CFF232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2F46A35" w14:textId="77777777" w:rsidR="00E403D6" w:rsidRPr="00F10391" w:rsidRDefault="00E403D6">
            <w:r w:rsidRPr="00F10391">
              <w:t>Not found</w:t>
            </w:r>
          </w:p>
        </w:tc>
      </w:tr>
      <w:tr w:rsidR="00E403D6" w:rsidRPr="00F10391" w14:paraId="37C4B6A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02617B3" w14:textId="77777777" w:rsidR="00E403D6" w:rsidRPr="00F10391" w:rsidRDefault="00E403D6" w:rsidP="0063065F">
            <w:pPr>
              <w:jc w:val="left"/>
            </w:pPr>
            <w:r w:rsidRPr="00F10391">
              <w:t>24/02/10</w:t>
            </w:r>
          </w:p>
        </w:tc>
        <w:tc>
          <w:tcPr>
            <w:tcW w:w="2720" w:type="dxa"/>
            <w:tcBorders>
              <w:top w:val="nil"/>
              <w:left w:val="nil"/>
              <w:bottom w:val="single" w:sz="4" w:space="0" w:color="auto"/>
              <w:right w:val="single" w:sz="4" w:space="0" w:color="auto"/>
            </w:tcBorders>
            <w:shd w:val="clear" w:color="auto" w:fill="auto"/>
            <w:vAlign w:val="center"/>
            <w:hideMark/>
          </w:tcPr>
          <w:p w14:paraId="5067DBE2" w14:textId="77777777" w:rsidR="00E403D6" w:rsidRPr="00F10391" w:rsidRDefault="00E403D6" w:rsidP="0063065F">
            <w:pPr>
              <w:jc w:val="left"/>
            </w:pPr>
            <w:r w:rsidRPr="00F10391">
              <w:t>Using Systematic Reviews And Meta-Analyses To Support Regulatory Decision Making For Neurotoxicants: Lessons Learned From A Case Study Of Pcbs.</w:t>
            </w:r>
          </w:p>
        </w:tc>
        <w:tc>
          <w:tcPr>
            <w:tcW w:w="1985" w:type="dxa"/>
            <w:tcBorders>
              <w:top w:val="nil"/>
              <w:left w:val="nil"/>
              <w:bottom w:val="single" w:sz="4" w:space="0" w:color="auto"/>
              <w:right w:val="single" w:sz="4" w:space="0" w:color="auto"/>
            </w:tcBorders>
            <w:shd w:val="clear" w:color="auto" w:fill="auto"/>
            <w:vAlign w:val="center"/>
            <w:hideMark/>
          </w:tcPr>
          <w:p w14:paraId="3B6B4D3D" w14:textId="77777777" w:rsidR="00E403D6" w:rsidRPr="00F10391" w:rsidRDefault="00E403D6" w:rsidP="0063065F">
            <w:pPr>
              <w:jc w:val="left"/>
            </w:pPr>
            <w:r w:rsidRPr="00F10391">
              <w:t>Goodman M, Squibb K, Youngstrom E, Anthony Lg, Kenworthy L, Lipkin Ph, Mattison Dr, Lakind Js.</w:t>
            </w:r>
          </w:p>
        </w:tc>
        <w:tc>
          <w:tcPr>
            <w:tcW w:w="2078" w:type="dxa"/>
            <w:tcBorders>
              <w:top w:val="nil"/>
              <w:left w:val="nil"/>
              <w:bottom w:val="single" w:sz="4" w:space="0" w:color="auto"/>
              <w:right w:val="single" w:sz="4" w:space="0" w:color="auto"/>
            </w:tcBorders>
            <w:shd w:val="clear" w:color="auto" w:fill="auto"/>
            <w:vAlign w:val="center"/>
            <w:hideMark/>
          </w:tcPr>
          <w:p w14:paraId="1E7EE0BF" w14:textId="77777777" w:rsidR="00E403D6" w:rsidRPr="00F10391" w:rsidRDefault="00E403D6" w:rsidP="0063065F">
            <w:pPr>
              <w:jc w:val="left"/>
            </w:pPr>
            <w:r w:rsidRPr="00F10391">
              <w:t>Environ Health Perspect. 2010 Jun;118(6):727-34. Doi: 10.1289/Ehp.0901835. Epub 2010 Feb 22.</w:t>
            </w:r>
          </w:p>
        </w:tc>
        <w:tc>
          <w:tcPr>
            <w:tcW w:w="862" w:type="dxa"/>
            <w:tcBorders>
              <w:top w:val="nil"/>
              <w:left w:val="nil"/>
              <w:bottom w:val="single" w:sz="4" w:space="0" w:color="auto"/>
              <w:right w:val="single" w:sz="4" w:space="0" w:color="auto"/>
            </w:tcBorders>
            <w:shd w:val="clear" w:color="auto" w:fill="auto"/>
            <w:noWrap/>
            <w:vAlign w:val="center"/>
            <w:hideMark/>
          </w:tcPr>
          <w:p w14:paraId="0480D31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D2EA25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117026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AC3191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9A700C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6D6395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63D23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7858178" w14:textId="77777777" w:rsidR="00E403D6" w:rsidRPr="00F10391" w:rsidRDefault="00E403D6">
            <w:r w:rsidRPr="00F10391">
              <w:t>Not found</w:t>
            </w:r>
          </w:p>
        </w:tc>
      </w:tr>
      <w:tr w:rsidR="00E403D6" w:rsidRPr="00F10391" w14:paraId="40569C7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9F16C2" w14:textId="77777777" w:rsidR="00E403D6" w:rsidRPr="00F10391" w:rsidRDefault="00E403D6" w:rsidP="0063065F">
            <w:pPr>
              <w:jc w:val="left"/>
            </w:pPr>
            <w:r w:rsidRPr="00F10391">
              <w:t>17/04/10</w:t>
            </w:r>
          </w:p>
        </w:tc>
        <w:tc>
          <w:tcPr>
            <w:tcW w:w="2720" w:type="dxa"/>
            <w:tcBorders>
              <w:top w:val="nil"/>
              <w:left w:val="nil"/>
              <w:bottom w:val="single" w:sz="4" w:space="0" w:color="auto"/>
              <w:right w:val="single" w:sz="4" w:space="0" w:color="auto"/>
            </w:tcBorders>
            <w:shd w:val="clear" w:color="auto" w:fill="auto"/>
            <w:vAlign w:val="center"/>
            <w:hideMark/>
          </w:tcPr>
          <w:p w14:paraId="4238C2E7" w14:textId="77777777" w:rsidR="00E403D6" w:rsidRPr="00F10391" w:rsidRDefault="00E403D6" w:rsidP="0063065F">
            <w:pPr>
              <w:jc w:val="left"/>
            </w:pPr>
            <w:r w:rsidRPr="00F10391">
              <w:t>Evaluating An Insurance-Sponsored Weight Management Program With The Re-Aim Model, West Virginia, 2004-2008.</w:t>
            </w:r>
          </w:p>
        </w:tc>
        <w:tc>
          <w:tcPr>
            <w:tcW w:w="1985" w:type="dxa"/>
            <w:tcBorders>
              <w:top w:val="nil"/>
              <w:left w:val="nil"/>
              <w:bottom w:val="single" w:sz="4" w:space="0" w:color="auto"/>
              <w:right w:val="single" w:sz="4" w:space="0" w:color="auto"/>
            </w:tcBorders>
            <w:shd w:val="clear" w:color="auto" w:fill="auto"/>
            <w:vAlign w:val="center"/>
            <w:hideMark/>
          </w:tcPr>
          <w:p w14:paraId="1699FB20" w14:textId="77777777" w:rsidR="00E403D6" w:rsidRPr="005D7324" w:rsidRDefault="00E403D6" w:rsidP="0063065F">
            <w:pPr>
              <w:jc w:val="left"/>
            </w:pPr>
            <w:r w:rsidRPr="005D7324">
              <w:t>Abildso Cg, Zizzi Sj, Reger-Nash B.</w:t>
            </w:r>
          </w:p>
        </w:tc>
        <w:tc>
          <w:tcPr>
            <w:tcW w:w="2078" w:type="dxa"/>
            <w:tcBorders>
              <w:top w:val="nil"/>
              <w:left w:val="nil"/>
              <w:bottom w:val="single" w:sz="4" w:space="0" w:color="auto"/>
              <w:right w:val="single" w:sz="4" w:space="0" w:color="auto"/>
            </w:tcBorders>
            <w:shd w:val="clear" w:color="auto" w:fill="auto"/>
            <w:vAlign w:val="center"/>
            <w:hideMark/>
          </w:tcPr>
          <w:p w14:paraId="2C43C0FC" w14:textId="77777777" w:rsidR="00E403D6" w:rsidRPr="00F10391" w:rsidRDefault="00E403D6" w:rsidP="0063065F">
            <w:pPr>
              <w:jc w:val="left"/>
            </w:pPr>
            <w:r w:rsidRPr="00F10391">
              <w:t>Prev Chronic Dis. 2010 May;7(3):A46. Epub 2010 Apr 15.</w:t>
            </w:r>
          </w:p>
        </w:tc>
        <w:tc>
          <w:tcPr>
            <w:tcW w:w="862" w:type="dxa"/>
            <w:tcBorders>
              <w:top w:val="nil"/>
              <w:left w:val="nil"/>
              <w:bottom w:val="single" w:sz="4" w:space="0" w:color="auto"/>
              <w:right w:val="single" w:sz="4" w:space="0" w:color="auto"/>
            </w:tcBorders>
            <w:shd w:val="clear" w:color="auto" w:fill="auto"/>
            <w:noWrap/>
            <w:vAlign w:val="center"/>
            <w:hideMark/>
          </w:tcPr>
          <w:p w14:paraId="3E4F4C8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337ADB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A10E53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35E8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0352E7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456BF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94CCF6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2BDA459" w14:textId="77777777" w:rsidR="00E403D6" w:rsidRPr="00F10391" w:rsidRDefault="00E403D6">
            <w:r w:rsidRPr="00F10391">
              <w:t>Not found</w:t>
            </w:r>
          </w:p>
        </w:tc>
      </w:tr>
      <w:tr w:rsidR="00E403D6" w:rsidRPr="00F10391" w14:paraId="5F5EC2A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5BD2233" w14:textId="77777777" w:rsidR="00E403D6" w:rsidRPr="00F10391" w:rsidRDefault="00E403D6" w:rsidP="0063065F">
            <w:pPr>
              <w:jc w:val="left"/>
            </w:pPr>
            <w:r w:rsidRPr="00F10391">
              <w:t>01/05/10</w:t>
            </w:r>
          </w:p>
        </w:tc>
        <w:tc>
          <w:tcPr>
            <w:tcW w:w="2720" w:type="dxa"/>
            <w:tcBorders>
              <w:top w:val="nil"/>
              <w:left w:val="nil"/>
              <w:bottom w:val="single" w:sz="4" w:space="0" w:color="auto"/>
              <w:right w:val="single" w:sz="4" w:space="0" w:color="auto"/>
            </w:tcBorders>
            <w:shd w:val="clear" w:color="auto" w:fill="auto"/>
            <w:vAlign w:val="center"/>
            <w:hideMark/>
          </w:tcPr>
          <w:p w14:paraId="53D5EC5F" w14:textId="77777777" w:rsidR="00E403D6" w:rsidRPr="00F10391" w:rsidRDefault="00E403D6" w:rsidP="0063065F">
            <w:pPr>
              <w:jc w:val="left"/>
            </w:pPr>
            <w:r w:rsidRPr="00F10391">
              <w:t>A Multifactorial Risk Prioritization Framework For Foodborne Pathogens</w:t>
            </w:r>
          </w:p>
        </w:tc>
        <w:tc>
          <w:tcPr>
            <w:tcW w:w="1985" w:type="dxa"/>
            <w:tcBorders>
              <w:top w:val="nil"/>
              <w:left w:val="nil"/>
              <w:bottom w:val="single" w:sz="4" w:space="0" w:color="auto"/>
              <w:right w:val="single" w:sz="4" w:space="0" w:color="auto"/>
            </w:tcBorders>
            <w:shd w:val="clear" w:color="auto" w:fill="auto"/>
            <w:vAlign w:val="center"/>
            <w:hideMark/>
          </w:tcPr>
          <w:p w14:paraId="50D9DD4A" w14:textId="77777777" w:rsidR="00E403D6" w:rsidRPr="00F10391" w:rsidRDefault="00E403D6" w:rsidP="0063065F">
            <w:pPr>
              <w:jc w:val="left"/>
            </w:pPr>
            <w:r w:rsidRPr="00F10391">
              <w:t>Ruzante, Juliana Martins; Davidson, Valerie J.; Caswell, Julie; Fazil, Aamir; Cranfield, John A. L.; Henson, Spencer J.; Anders, Sven M.; Schmidt, Claudia; Farber, Jeffrey M.</w:t>
            </w:r>
          </w:p>
        </w:tc>
        <w:tc>
          <w:tcPr>
            <w:tcW w:w="2078" w:type="dxa"/>
            <w:tcBorders>
              <w:top w:val="nil"/>
              <w:left w:val="nil"/>
              <w:bottom w:val="single" w:sz="4" w:space="0" w:color="auto"/>
              <w:right w:val="single" w:sz="4" w:space="0" w:color="auto"/>
            </w:tcBorders>
            <w:shd w:val="clear" w:color="auto" w:fill="auto"/>
            <w:vAlign w:val="center"/>
            <w:hideMark/>
          </w:tcPr>
          <w:p w14:paraId="510B457C" w14:textId="77777777" w:rsidR="00E403D6" w:rsidRPr="00F10391" w:rsidRDefault="00E403D6" w:rsidP="0063065F">
            <w:pPr>
              <w:jc w:val="left"/>
            </w:pPr>
            <w:r w:rsidRPr="00F10391">
              <w:t>Risk Analysis. 2010;30(5):724-742</w:t>
            </w:r>
          </w:p>
        </w:tc>
        <w:tc>
          <w:tcPr>
            <w:tcW w:w="862" w:type="dxa"/>
            <w:tcBorders>
              <w:top w:val="nil"/>
              <w:left w:val="nil"/>
              <w:bottom w:val="single" w:sz="4" w:space="0" w:color="auto"/>
              <w:right w:val="single" w:sz="4" w:space="0" w:color="auto"/>
            </w:tcBorders>
            <w:shd w:val="clear" w:color="auto" w:fill="auto"/>
            <w:noWrap/>
            <w:vAlign w:val="center"/>
            <w:hideMark/>
          </w:tcPr>
          <w:p w14:paraId="38758B9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07864F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5C6140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AFBF2A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99499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9A8D39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CC90D8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8181808" w14:textId="77777777" w:rsidR="00E403D6" w:rsidRPr="00F10391" w:rsidRDefault="00E403D6">
            <w:r w:rsidRPr="00F10391">
              <w:t>Included</w:t>
            </w:r>
          </w:p>
        </w:tc>
      </w:tr>
      <w:tr w:rsidR="00E403D6" w:rsidRPr="00F10391" w14:paraId="58D3EB4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15E28AE" w14:textId="77777777" w:rsidR="00E403D6" w:rsidRPr="00F10391" w:rsidRDefault="00E403D6" w:rsidP="0063065F">
            <w:pPr>
              <w:jc w:val="left"/>
            </w:pPr>
            <w:r w:rsidRPr="00F10391">
              <w:t>01/05/10</w:t>
            </w:r>
          </w:p>
        </w:tc>
        <w:tc>
          <w:tcPr>
            <w:tcW w:w="2720" w:type="dxa"/>
            <w:tcBorders>
              <w:top w:val="nil"/>
              <w:left w:val="nil"/>
              <w:bottom w:val="single" w:sz="4" w:space="0" w:color="auto"/>
              <w:right w:val="single" w:sz="4" w:space="0" w:color="auto"/>
            </w:tcBorders>
            <w:shd w:val="clear" w:color="auto" w:fill="auto"/>
            <w:vAlign w:val="center"/>
            <w:hideMark/>
          </w:tcPr>
          <w:p w14:paraId="244B74E7" w14:textId="77777777" w:rsidR="00E403D6" w:rsidRPr="00F10391" w:rsidRDefault="00E403D6" w:rsidP="0063065F">
            <w:pPr>
              <w:jc w:val="left"/>
            </w:pPr>
            <w:r w:rsidRPr="00F10391">
              <w:t>Multicriteria Decision Analysis (Mcda) For Drug Coverage Decision By A Public Health Plan: Case Study Of Tramadol For Chronic Non-Cancer Pain (Cncp) In Canada</w:t>
            </w:r>
          </w:p>
        </w:tc>
        <w:tc>
          <w:tcPr>
            <w:tcW w:w="1985" w:type="dxa"/>
            <w:tcBorders>
              <w:top w:val="nil"/>
              <w:left w:val="nil"/>
              <w:bottom w:val="single" w:sz="4" w:space="0" w:color="auto"/>
              <w:right w:val="single" w:sz="4" w:space="0" w:color="auto"/>
            </w:tcBorders>
            <w:shd w:val="clear" w:color="auto" w:fill="auto"/>
            <w:vAlign w:val="center"/>
            <w:hideMark/>
          </w:tcPr>
          <w:p w14:paraId="7DD085A6" w14:textId="77777777" w:rsidR="00E403D6" w:rsidRPr="00F10391" w:rsidRDefault="00E403D6" w:rsidP="0063065F">
            <w:pPr>
              <w:jc w:val="left"/>
            </w:pPr>
            <w:r w:rsidRPr="00F10391">
              <w:t>Tony, M.; Goetghebeur, M.; Wagner, M.; Khoury, H.; Rindress, D.; Oh, P.</w:t>
            </w:r>
          </w:p>
        </w:tc>
        <w:tc>
          <w:tcPr>
            <w:tcW w:w="2078" w:type="dxa"/>
            <w:tcBorders>
              <w:top w:val="nil"/>
              <w:left w:val="nil"/>
              <w:bottom w:val="single" w:sz="4" w:space="0" w:color="auto"/>
              <w:right w:val="single" w:sz="4" w:space="0" w:color="auto"/>
            </w:tcBorders>
            <w:shd w:val="clear" w:color="auto" w:fill="auto"/>
            <w:vAlign w:val="center"/>
            <w:hideMark/>
          </w:tcPr>
          <w:p w14:paraId="43A4394D" w14:textId="77777777" w:rsidR="00E403D6" w:rsidRPr="00F10391" w:rsidRDefault="00E403D6" w:rsidP="0063065F">
            <w:pPr>
              <w:jc w:val="left"/>
            </w:pPr>
            <w:r w:rsidRPr="00F10391">
              <w:t>Value In Health. 2010;13(3):A3-A3</w:t>
            </w:r>
          </w:p>
        </w:tc>
        <w:tc>
          <w:tcPr>
            <w:tcW w:w="862" w:type="dxa"/>
            <w:tcBorders>
              <w:top w:val="nil"/>
              <w:left w:val="nil"/>
              <w:bottom w:val="single" w:sz="4" w:space="0" w:color="auto"/>
              <w:right w:val="single" w:sz="4" w:space="0" w:color="auto"/>
            </w:tcBorders>
            <w:shd w:val="clear" w:color="auto" w:fill="auto"/>
            <w:noWrap/>
            <w:vAlign w:val="center"/>
            <w:hideMark/>
          </w:tcPr>
          <w:p w14:paraId="0E370C8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0E84A7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7CC21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2FD67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4427D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BA3AC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6EAB6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DB37673" w14:textId="77777777" w:rsidR="00E403D6" w:rsidRPr="00F10391" w:rsidRDefault="00E403D6">
            <w:r w:rsidRPr="00F10391">
              <w:t>Excluded</w:t>
            </w:r>
          </w:p>
        </w:tc>
      </w:tr>
      <w:tr w:rsidR="00E403D6" w:rsidRPr="00F10391" w14:paraId="11FBE74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4F6B46D" w14:textId="77777777" w:rsidR="00E403D6" w:rsidRPr="00F10391" w:rsidRDefault="00E403D6" w:rsidP="0063065F">
            <w:pPr>
              <w:jc w:val="left"/>
            </w:pPr>
            <w:r w:rsidRPr="00F10391">
              <w:t>01/05/10</w:t>
            </w:r>
          </w:p>
        </w:tc>
        <w:tc>
          <w:tcPr>
            <w:tcW w:w="2720" w:type="dxa"/>
            <w:tcBorders>
              <w:top w:val="nil"/>
              <w:left w:val="nil"/>
              <w:bottom w:val="single" w:sz="4" w:space="0" w:color="auto"/>
              <w:right w:val="single" w:sz="4" w:space="0" w:color="auto"/>
            </w:tcBorders>
            <w:shd w:val="clear" w:color="auto" w:fill="auto"/>
            <w:vAlign w:val="center"/>
            <w:hideMark/>
          </w:tcPr>
          <w:p w14:paraId="17749011" w14:textId="77777777" w:rsidR="00E403D6" w:rsidRPr="00F10391" w:rsidRDefault="00E403D6" w:rsidP="0063065F">
            <w:pPr>
              <w:jc w:val="left"/>
            </w:pPr>
            <w:r w:rsidRPr="00F10391">
              <w:t>The Quality, Safety And Content Of Telephone And Face-To-Face Consultations: A Comparative Study.</w:t>
            </w:r>
          </w:p>
        </w:tc>
        <w:tc>
          <w:tcPr>
            <w:tcW w:w="1985" w:type="dxa"/>
            <w:tcBorders>
              <w:top w:val="nil"/>
              <w:left w:val="nil"/>
              <w:bottom w:val="single" w:sz="4" w:space="0" w:color="auto"/>
              <w:right w:val="single" w:sz="4" w:space="0" w:color="auto"/>
            </w:tcBorders>
            <w:shd w:val="clear" w:color="auto" w:fill="auto"/>
            <w:vAlign w:val="center"/>
            <w:hideMark/>
          </w:tcPr>
          <w:p w14:paraId="6DC7A72D" w14:textId="77777777" w:rsidR="00E403D6" w:rsidRPr="00F10391" w:rsidRDefault="00E403D6" w:rsidP="0063065F">
            <w:pPr>
              <w:jc w:val="left"/>
            </w:pPr>
            <w:r w:rsidRPr="00F10391">
              <w:t>Mckinstry B, Hammersley V, Burton C, Pinnock H, Elton R, Dowell J, Sawdon N, Heaney D, Elwyn G, Sheikh A.</w:t>
            </w:r>
          </w:p>
        </w:tc>
        <w:tc>
          <w:tcPr>
            <w:tcW w:w="2078" w:type="dxa"/>
            <w:tcBorders>
              <w:top w:val="nil"/>
              <w:left w:val="nil"/>
              <w:bottom w:val="single" w:sz="4" w:space="0" w:color="auto"/>
              <w:right w:val="single" w:sz="4" w:space="0" w:color="auto"/>
            </w:tcBorders>
            <w:shd w:val="clear" w:color="auto" w:fill="auto"/>
            <w:vAlign w:val="center"/>
            <w:hideMark/>
          </w:tcPr>
          <w:p w14:paraId="1F6562BC" w14:textId="77777777" w:rsidR="00E403D6" w:rsidRPr="00F10391" w:rsidRDefault="00E403D6" w:rsidP="0063065F">
            <w:pPr>
              <w:jc w:val="left"/>
            </w:pPr>
            <w:r w:rsidRPr="00F10391">
              <w:t>Qual Saf Health Care. 2010 Aug;19(4):298-303. Doi: 10.1136/Qshc.2008.027763. Epub 2010 Apr 29.</w:t>
            </w:r>
          </w:p>
        </w:tc>
        <w:tc>
          <w:tcPr>
            <w:tcW w:w="862" w:type="dxa"/>
            <w:tcBorders>
              <w:top w:val="nil"/>
              <w:left w:val="nil"/>
              <w:bottom w:val="single" w:sz="4" w:space="0" w:color="auto"/>
              <w:right w:val="single" w:sz="4" w:space="0" w:color="auto"/>
            </w:tcBorders>
            <w:shd w:val="clear" w:color="auto" w:fill="auto"/>
            <w:noWrap/>
            <w:vAlign w:val="center"/>
            <w:hideMark/>
          </w:tcPr>
          <w:p w14:paraId="0F8983A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98CE18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CB4F0E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8AA73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3E700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45D98F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5C1E0F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9E06E7F" w14:textId="77777777" w:rsidR="00E403D6" w:rsidRPr="00F10391" w:rsidRDefault="00E403D6">
            <w:r w:rsidRPr="00F10391">
              <w:t>Not found</w:t>
            </w:r>
          </w:p>
        </w:tc>
      </w:tr>
      <w:tr w:rsidR="00E403D6" w:rsidRPr="00F10391" w14:paraId="1540370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7E3C91D" w14:textId="77777777" w:rsidR="00E403D6" w:rsidRPr="00F10391" w:rsidRDefault="00E403D6" w:rsidP="0063065F">
            <w:pPr>
              <w:jc w:val="left"/>
            </w:pPr>
            <w:r w:rsidRPr="00F10391">
              <w:t>18/05/10</w:t>
            </w:r>
          </w:p>
        </w:tc>
        <w:tc>
          <w:tcPr>
            <w:tcW w:w="2720" w:type="dxa"/>
            <w:tcBorders>
              <w:top w:val="nil"/>
              <w:left w:val="nil"/>
              <w:bottom w:val="single" w:sz="4" w:space="0" w:color="auto"/>
              <w:right w:val="single" w:sz="4" w:space="0" w:color="auto"/>
            </w:tcBorders>
            <w:shd w:val="clear" w:color="auto" w:fill="auto"/>
            <w:vAlign w:val="center"/>
            <w:hideMark/>
          </w:tcPr>
          <w:p w14:paraId="48A713DC" w14:textId="77777777" w:rsidR="00E403D6" w:rsidRPr="00F10391" w:rsidRDefault="00E403D6" w:rsidP="0063065F">
            <w:pPr>
              <w:jc w:val="left"/>
            </w:pPr>
            <w:r w:rsidRPr="00F10391">
              <w:t>Translating Evidence Into Policy: Lessons Learned From The Case Of Lowering The Legal Blood Alcohol Limit For Drivers.</w:t>
            </w:r>
          </w:p>
        </w:tc>
        <w:tc>
          <w:tcPr>
            <w:tcW w:w="1985" w:type="dxa"/>
            <w:tcBorders>
              <w:top w:val="nil"/>
              <w:left w:val="nil"/>
              <w:bottom w:val="single" w:sz="4" w:space="0" w:color="auto"/>
              <w:right w:val="single" w:sz="4" w:space="0" w:color="auto"/>
            </w:tcBorders>
            <w:shd w:val="clear" w:color="auto" w:fill="auto"/>
            <w:vAlign w:val="center"/>
            <w:hideMark/>
          </w:tcPr>
          <w:p w14:paraId="4CB1ACD9" w14:textId="77777777" w:rsidR="00E403D6" w:rsidRPr="005D7324" w:rsidRDefault="00E403D6" w:rsidP="0063065F">
            <w:pPr>
              <w:jc w:val="left"/>
            </w:pPr>
            <w:r w:rsidRPr="005D7324">
              <w:t>Mercer Sl, Sleet Da, Elder Rw, Cole Kh, Shults Ra, Nichols Jl.</w:t>
            </w:r>
          </w:p>
        </w:tc>
        <w:tc>
          <w:tcPr>
            <w:tcW w:w="2078" w:type="dxa"/>
            <w:tcBorders>
              <w:top w:val="nil"/>
              <w:left w:val="nil"/>
              <w:bottom w:val="single" w:sz="4" w:space="0" w:color="auto"/>
              <w:right w:val="single" w:sz="4" w:space="0" w:color="auto"/>
            </w:tcBorders>
            <w:shd w:val="clear" w:color="auto" w:fill="auto"/>
            <w:vAlign w:val="center"/>
            <w:hideMark/>
          </w:tcPr>
          <w:p w14:paraId="5740D713" w14:textId="77777777" w:rsidR="00E403D6" w:rsidRPr="005D7324" w:rsidRDefault="00E403D6" w:rsidP="0063065F">
            <w:pPr>
              <w:jc w:val="left"/>
            </w:pPr>
            <w:r w:rsidRPr="005D7324">
              <w:t>Ann Epidemiol. 2010 Jun;20(6):412-20. Doi: 10.1016/J.Annepidem.2010.03.005.</w:t>
            </w:r>
          </w:p>
        </w:tc>
        <w:tc>
          <w:tcPr>
            <w:tcW w:w="862" w:type="dxa"/>
            <w:tcBorders>
              <w:top w:val="nil"/>
              <w:left w:val="nil"/>
              <w:bottom w:val="single" w:sz="4" w:space="0" w:color="auto"/>
              <w:right w:val="single" w:sz="4" w:space="0" w:color="auto"/>
            </w:tcBorders>
            <w:shd w:val="clear" w:color="auto" w:fill="auto"/>
            <w:noWrap/>
            <w:vAlign w:val="center"/>
            <w:hideMark/>
          </w:tcPr>
          <w:p w14:paraId="6D87D05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E515F2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2BCD74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9C874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FE949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986BD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B6DA81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8D7435E" w14:textId="77777777" w:rsidR="00E403D6" w:rsidRPr="00F10391" w:rsidRDefault="00E403D6">
            <w:r w:rsidRPr="00F10391">
              <w:t>Not found</w:t>
            </w:r>
          </w:p>
        </w:tc>
      </w:tr>
      <w:tr w:rsidR="00E403D6" w:rsidRPr="00F10391" w14:paraId="6C39F8C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B8BE521" w14:textId="77777777" w:rsidR="00E403D6" w:rsidRPr="00F10391" w:rsidRDefault="00E403D6" w:rsidP="0063065F">
            <w:pPr>
              <w:jc w:val="left"/>
            </w:pPr>
            <w:r w:rsidRPr="00F10391">
              <w:t>10/06/10</w:t>
            </w:r>
          </w:p>
        </w:tc>
        <w:tc>
          <w:tcPr>
            <w:tcW w:w="2720" w:type="dxa"/>
            <w:tcBorders>
              <w:top w:val="nil"/>
              <w:left w:val="nil"/>
              <w:bottom w:val="single" w:sz="4" w:space="0" w:color="auto"/>
              <w:right w:val="single" w:sz="4" w:space="0" w:color="auto"/>
            </w:tcBorders>
            <w:shd w:val="clear" w:color="auto" w:fill="auto"/>
            <w:vAlign w:val="center"/>
            <w:hideMark/>
          </w:tcPr>
          <w:p w14:paraId="20E1F7CF" w14:textId="77777777" w:rsidR="00E403D6" w:rsidRPr="00F10391" w:rsidRDefault="00E403D6" w:rsidP="0063065F">
            <w:pPr>
              <w:jc w:val="left"/>
            </w:pPr>
            <w:r w:rsidRPr="00F10391">
              <w:t>Health Literacy And The Quality Of Physician-Patient Communication During Hospitalization.</w:t>
            </w:r>
          </w:p>
        </w:tc>
        <w:tc>
          <w:tcPr>
            <w:tcW w:w="1985" w:type="dxa"/>
            <w:tcBorders>
              <w:top w:val="nil"/>
              <w:left w:val="nil"/>
              <w:bottom w:val="single" w:sz="4" w:space="0" w:color="auto"/>
              <w:right w:val="single" w:sz="4" w:space="0" w:color="auto"/>
            </w:tcBorders>
            <w:shd w:val="clear" w:color="auto" w:fill="auto"/>
            <w:vAlign w:val="center"/>
            <w:hideMark/>
          </w:tcPr>
          <w:p w14:paraId="17EC8B5B" w14:textId="77777777" w:rsidR="00E403D6" w:rsidRPr="00F10391" w:rsidRDefault="00E403D6" w:rsidP="0063065F">
            <w:pPr>
              <w:jc w:val="left"/>
            </w:pPr>
            <w:r w:rsidRPr="00F10391">
              <w:t>Kripalani S, Jacobson Ta, Mugalla Ic, Cawthon Cr, Niesner Kj, Vaccarino V.</w:t>
            </w:r>
          </w:p>
        </w:tc>
        <w:tc>
          <w:tcPr>
            <w:tcW w:w="2078" w:type="dxa"/>
            <w:tcBorders>
              <w:top w:val="nil"/>
              <w:left w:val="nil"/>
              <w:bottom w:val="single" w:sz="4" w:space="0" w:color="auto"/>
              <w:right w:val="single" w:sz="4" w:space="0" w:color="auto"/>
            </w:tcBorders>
            <w:shd w:val="clear" w:color="auto" w:fill="auto"/>
            <w:vAlign w:val="center"/>
            <w:hideMark/>
          </w:tcPr>
          <w:p w14:paraId="68AADCA6" w14:textId="77777777" w:rsidR="00E403D6" w:rsidRPr="00F10391" w:rsidRDefault="00E403D6" w:rsidP="0063065F">
            <w:pPr>
              <w:jc w:val="left"/>
            </w:pPr>
            <w:r w:rsidRPr="00F10391">
              <w:t>J Hosp Med. 2010 May-Jun;5(5):269-75. Doi: 10.1002/Jhm.667.</w:t>
            </w:r>
          </w:p>
        </w:tc>
        <w:tc>
          <w:tcPr>
            <w:tcW w:w="862" w:type="dxa"/>
            <w:tcBorders>
              <w:top w:val="nil"/>
              <w:left w:val="nil"/>
              <w:bottom w:val="single" w:sz="4" w:space="0" w:color="auto"/>
              <w:right w:val="single" w:sz="4" w:space="0" w:color="auto"/>
            </w:tcBorders>
            <w:shd w:val="clear" w:color="auto" w:fill="auto"/>
            <w:noWrap/>
            <w:vAlign w:val="center"/>
            <w:hideMark/>
          </w:tcPr>
          <w:p w14:paraId="7DDFCE2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DF4A60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D93328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306AE9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65151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AE7410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4B6F82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A59A5C9" w14:textId="77777777" w:rsidR="00E403D6" w:rsidRPr="00F10391" w:rsidRDefault="00E403D6">
            <w:r w:rsidRPr="00F10391">
              <w:t>Not found</w:t>
            </w:r>
          </w:p>
        </w:tc>
      </w:tr>
      <w:tr w:rsidR="00E403D6" w:rsidRPr="00F10391" w14:paraId="2F1308E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70974DD" w14:textId="77777777" w:rsidR="00E403D6" w:rsidRPr="00F10391" w:rsidRDefault="00E403D6" w:rsidP="0063065F">
            <w:pPr>
              <w:jc w:val="left"/>
            </w:pPr>
            <w:r w:rsidRPr="00F10391">
              <w:t>26/07/10</w:t>
            </w:r>
          </w:p>
        </w:tc>
        <w:tc>
          <w:tcPr>
            <w:tcW w:w="2720" w:type="dxa"/>
            <w:tcBorders>
              <w:top w:val="nil"/>
              <w:left w:val="nil"/>
              <w:bottom w:val="single" w:sz="4" w:space="0" w:color="auto"/>
              <w:right w:val="single" w:sz="4" w:space="0" w:color="auto"/>
            </w:tcBorders>
            <w:shd w:val="clear" w:color="auto" w:fill="auto"/>
            <w:vAlign w:val="center"/>
            <w:hideMark/>
          </w:tcPr>
          <w:p w14:paraId="10D4E6EE" w14:textId="77777777" w:rsidR="00E403D6" w:rsidRPr="00F10391" w:rsidRDefault="00E403D6" w:rsidP="0063065F">
            <w:pPr>
              <w:jc w:val="left"/>
            </w:pPr>
            <w:r w:rsidRPr="00F10391">
              <w:t>Research Review Of Nongovernmental Organizations' Security Policies For Humanitarian Programs In War, Conflict, And Postconflict Environments.</w:t>
            </w:r>
          </w:p>
        </w:tc>
        <w:tc>
          <w:tcPr>
            <w:tcW w:w="1985" w:type="dxa"/>
            <w:tcBorders>
              <w:top w:val="nil"/>
              <w:left w:val="nil"/>
              <w:bottom w:val="single" w:sz="4" w:space="0" w:color="auto"/>
              <w:right w:val="single" w:sz="4" w:space="0" w:color="auto"/>
            </w:tcBorders>
            <w:shd w:val="clear" w:color="auto" w:fill="auto"/>
            <w:vAlign w:val="center"/>
            <w:hideMark/>
          </w:tcPr>
          <w:p w14:paraId="52ABE51E" w14:textId="77777777" w:rsidR="00E403D6" w:rsidRPr="00F10391" w:rsidRDefault="00E403D6" w:rsidP="0063065F">
            <w:pPr>
              <w:jc w:val="left"/>
            </w:pPr>
            <w:r w:rsidRPr="00F10391">
              <w:t>Rowley E, Burns L, Burnham G.</w:t>
            </w:r>
          </w:p>
        </w:tc>
        <w:tc>
          <w:tcPr>
            <w:tcW w:w="2078" w:type="dxa"/>
            <w:tcBorders>
              <w:top w:val="nil"/>
              <w:left w:val="nil"/>
              <w:bottom w:val="single" w:sz="4" w:space="0" w:color="auto"/>
              <w:right w:val="single" w:sz="4" w:space="0" w:color="auto"/>
            </w:tcBorders>
            <w:shd w:val="clear" w:color="auto" w:fill="auto"/>
            <w:vAlign w:val="center"/>
            <w:hideMark/>
          </w:tcPr>
          <w:p w14:paraId="278193A1" w14:textId="77777777" w:rsidR="00E403D6" w:rsidRPr="00F10391" w:rsidRDefault="00E403D6" w:rsidP="0063065F">
            <w:pPr>
              <w:jc w:val="left"/>
            </w:pPr>
            <w:r w:rsidRPr="00F10391">
              <w:t>Disaster Med Public Health Prep. 2013 Jun;7(3):241-50. Doi: 10.1001/Dmp.2010.0723.</w:t>
            </w:r>
          </w:p>
        </w:tc>
        <w:tc>
          <w:tcPr>
            <w:tcW w:w="862" w:type="dxa"/>
            <w:tcBorders>
              <w:top w:val="nil"/>
              <w:left w:val="nil"/>
              <w:bottom w:val="single" w:sz="4" w:space="0" w:color="auto"/>
              <w:right w:val="single" w:sz="4" w:space="0" w:color="auto"/>
            </w:tcBorders>
            <w:shd w:val="clear" w:color="auto" w:fill="auto"/>
            <w:noWrap/>
            <w:vAlign w:val="center"/>
            <w:hideMark/>
          </w:tcPr>
          <w:p w14:paraId="3109584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E8BD4D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570EF0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88FD9B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9FC4A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47201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8A6F6C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8556510" w14:textId="77777777" w:rsidR="00E403D6" w:rsidRPr="00F10391" w:rsidRDefault="00E403D6">
            <w:r w:rsidRPr="00F10391">
              <w:t>Not found</w:t>
            </w:r>
          </w:p>
        </w:tc>
      </w:tr>
      <w:tr w:rsidR="00E403D6" w:rsidRPr="00F10391" w14:paraId="58487FD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84A5E71" w14:textId="77777777" w:rsidR="00E403D6" w:rsidRPr="00F10391" w:rsidRDefault="00E403D6" w:rsidP="0063065F">
            <w:pPr>
              <w:jc w:val="left"/>
            </w:pPr>
            <w:r w:rsidRPr="00F10391">
              <w:t>29/07/10</w:t>
            </w:r>
          </w:p>
        </w:tc>
        <w:tc>
          <w:tcPr>
            <w:tcW w:w="2720" w:type="dxa"/>
            <w:tcBorders>
              <w:top w:val="nil"/>
              <w:left w:val="nil"/>
              <w:bottom w:val="single" w:sz="4" w:space="0" w:color="auto"/>
              <w:right w:val="single" w:sz="4" w:space="0" w:color="auto"/>
            </w:tcBorders>
            <w:shd w:val="clear" w:color="auto" w:fill="auto"/>
            <w:vAlign w:val="center"/>
            <w:hideMark/>
          </w:tcPr>
          <w:p w14:paraId="2815CF92" w14:textId="77777777" w:rsidR="00E403D6" w:rsidRPr="00F10391" w:rsidRDefault="00E403D6" w:rsidP="0063065F">
            <w:pPr>
              <w:jc w:val="left"/>
            </w:pPr>
            <w:r w:rsidRPr="00F10391">
              <w:t>End-Of-Life Decisions As Bedside Rationing. An Ethical Analysis Of Life Support Restrictions In An Indian Neonatal Unit.</w:t>
            </w:r>
          </w:p>
        </w:tc>
        <w:tc>
          <w:tcPr>
            <w:tcW w:w="1985" w:type="dxa"/>
            <w:tcBorders>
              <w:top w:val="nil"/>
              <w:left w:val="nil"/>
              <w:bottom w:val="single" w:sz="4" w:space="0" w:color="auto"/>
              <w:right w:val="single" w:sz="4" w:space="0" w:color="auto"/>
            </w:tcBorders>
            <w:shd w:val="clear" w:color="auto" w:fill="auto"/>
            <w:vAlign w:val="center"/>
            <w:hideMark/>
          </w:tcPr>
          <w:p w14:paraId="67C8E88E" w14:textId="77777777" w:rsidR="00E403D6" w:rsidRPr="00F10391" w:rsidRDefault="00E403D6" w:rsidP="0063065F">
            <w:pPr>
              <w:jc w:val="left"/>
            </w:pPr>
            <w:r w:rsidRPr="00F10391">
              <w:t>Miljeteig I, Johansson Ka, Sayeed Sa, Norheim Of.</w:t>
            </w:r>
          </w:p>
        </w:tc>
        <w:tc>
          <w:tcPr>
            <w:tcW w:w="2078" w:type="dxa"/>
            <w:tcBorders>
              <w:top w:val="nil"/>
              <w:left w:val="nil"/>
              <w:bottom w:val="single" w:sz="4" w:space="0" w:color="auto"/>
              <w:right w:val="single" w:sz="4" w:space="0" w:color="auto"/>
            </w:tcBorders>
            <w:shd w:val="clear" w:color="auto" w:fill="auto"/>
            <w:vAlign w:val="center"/>
            <w:hideMark/>
          </w:tcPr>
          <w:p w14:paraId="218E8B98" w14:textId="77777777" w:rsidR="00E403D6" w:rsidRPr="00F10391" w:rsidRDefault="00E403D6" w:rsidP="0063065F">
            <w:pPr>
              <w:jc w:val="left"/>
            </w:pPr>
            <w:r w:rsidRPr="00F10391">
              <w:t>J Med Ethics. 2010 Aug;36(8):473-8. Doi: 10.1136/Jme.2010.035535.</w:t>
            </w:r>
          </w:p>
        </w:tc>
        <w:tc>
          <w:tcPr>
            <w:tcW w:w="862" w:type="dxa"/>
            <w:tcBorders>
              <w:top w:val="nil"/>
              <w:left w:val="nil"/>
              <w:bottom w:val="single" w:sz="4" w:space="0" w:color="auto"/>
              <w:right w:val="single" w:sz="4" w:space="0" w:color="auto"/>
            </w:tcBorders>
            <w:shd w:val="clear" w:color="auto" w:fill="auto"/>
            <w:noWrap/>
            <w:vAlign w:val="center"/>
            <w:hideMark/>
          </w:tcPr>
          <w:p w14:paraId="748E114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93A6A9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1184F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CA5BBD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23322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477A8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3452A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953A0B1" w14:textId="77777777" w:rsidR="00E403D6" w:rsidRPr="00F10391" w:rsidRDefault="00E403D6">
            <w:r w:rsidRPr="00F10391">
              <w:t>Not found</w:t>
            </w:r>
          </w:p>
        </w:tc>
      </w:tr>
      <w:tr w:rsidR="00E403D6" w:rsidRPr="00F10391" w14:paraId="153F648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05D3744" w14:textId="77777777" w:rsidR="00E403D6" w:rsidRPr="00F10391" w:rsidRDefault="00E403D6" w:rsidP="0063065F">
            <w:pPr>
              <w:jc w:val="left"/>
            </w:pPr>
            <w:r w:rsidRPr="00F10391">
              <w:t>01/08/10</w:t>
            </w:r>
          </w:p>
        </w:tc>
        <w:tc>
          <w:tcPr>
            <w:tcW w:w="2720" w:type="dxa"/>
            <w:tcBorders>
              <w:top w:val="nil"/>
              <w:left w:val="nil"/>
              <w:bottom w:val="single" w:sz="4" w:space="0" w:color="auto"/>
              <w:right w:val="single" w:sz="4" w:space="0" w:color="auto"/>
            </w:tcBorders>
            <w:shd w:val="clear" w:color="auto" w:fill="auto"/>
            <w:vAlign w:val="center"/>
            <w:hideMark/>
          </w:tcPr>
          <w:p w14:paraId="431E1594" w14:textId="77777777" w:rsidR="00E403D6" w:rsidRPr="00F10391" w:rsidRDefault="00E403D6" w:rsidP="0063065F">
            <w:pPr>
              <w:jc w:val="left"/>
            </w:pPr>
            <w:r w:rsidRPr="00F10391">
              <w:t>Multi-Criteria Decision Analysis To Prioritize Health Interventions: Capitalizing On First Experiences</w:t>
            </w:r>
          </w:p>
        </w:tc>
        <w:tc>
          <w:tcPr>
            <w:tcW w:w="1985" w:type="dxa"/>
            <w:tcBorders>
              <w:top w:val="nil"/>
              <w:left w:val="nil"/>
              <w:bottom w:val="single" w:sz="4" w:space="0" w:color="auto"/>
              <w:right w:val="single" w:sz="4" w:space="0" w:color="auto"/>
            </w:tcBorders>
            <w:shd w:val="clear" w:color="auto" w:fill="auto"/>
            <w:vAlign w:val="center"/>
            <w:hideMark/>
          </w:tcPr>
          <w:p w14:paraId="742E9B90" w14:textId="77777777" w:rsidR="00E403D6" w:rsidRPr="00F10391" w:rsidRDefault="00E403D6" w:rsidP="0063065F">
            <w:pPr>
              <w:jc w:val="left"/>
            </w:pPr>
            <w:r w:rsidRPr="00F10391">
              <w:t>Baltussen, Rob; Youngkong, Sitapon; Paolucci, Francesco; Niessen, Louis</w:t>
            </w:r>
          </w:p>
        </w:tc>
        <w:tc>
          <w:tcPr>
            <w:tcW w:w="2078" w:type="dxa"/>
            <w:tcBorders>
              <w:top w:val="nil"/>
              <w:left w:val="nil"/>
              <w:bottom w:val="single" w:sz="4" w:space="0" w:color="auto"/>
              <w:right w:val="single" w:sz="4" w:space="0" w:color="auto"/>
            </w:tcBorders>
            <w:shd w:val="clear" w:color="auto" w:fill="auto"/>
            <w:vAlign w:val="center"/>
            <w:hideMark/>
          </w:tcPr>
          <w:p w14:paraId="3B12EA7C" w14:textId="77777777" w:rsidR="00E403D6" w:rsidRPr="00F10391" w:rsidRDefault="00E403D6" w:rsidP="0063065F">
            <w:pPr>
              <w:jc w:val="left"/>
            </w:pPr>
            <w:r w:rsidRPr="00F10391">
              <w:t>Health Policy. 2010;96(3):262-264</w:t>
            </w:r>
          </w:p>
        </w:tc>
        <w:tc>
          <w:tcPr>
            <w:tcW w:w="862" w:type="dxa"/>
            <w:tcBorders>
              <w:top w:val="nil"/>
              <w:left w:val="nil"/>
              <w:bottom w:val="single" w:sz="4" w:space="0" w:color="auto"/>
              <w:right w:val="single" w:sz="4" w:space="0" w:color="auto"/>
            </w:tcBorders>
            <w:shd w:val="clear" w:color="auto" w:fill="auto"/>
            <w:noWrap/>
            <w:vAlign w:val="center"/>
            <w:hideMark/>
          </w:tcPr>
          <w:p w14:paraId="5FBA649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CB21B5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7CFF00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3866C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1CBD48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3A44E9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16744F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1CD1F87" w14:textId="77777777" w:rsidR="00E403D6" w:rsidRPr="00F10391" w:rsidRDefault="00E403D6">
            <w:r w:rsidRPr="00F10391">
              <w:t>Included</w:t>
            </w:r>
          </w:p>
        </w:tc>
      </w:tr>
      <w:tr w:rsidR="00E403D6" w:rsidRPr="00F10391" w14:paraId="3CE1F34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0114EB" w14:textId="77777777" w:rsidR="00E403D6" w:rsidRPr="00F10391" w:rsidRDefault="00E403D6" w:rsidP="0063065F">
            <w:pPr>
              <w:jc w:val="left"/>
            </w:pPr>
            <w:r w:rsidRPr="00F10391">
              <w:t>25/08/10</w:t>
            </w:r>
          </w:p>
        </w:tc>
        <w:tc>
          <w:tcPr>
            <w:tcW w:w="2720" w:type="dxa"/>
            <w:tcBorders>
              <w:top w:val="nil"/>
              <w:left w:val="nil"/>
              <w:bottom w:val="single" w:sz="4" w:space="0" w:color="auto"/>
              <w:right w:val="single" w:sz="4" w:space="0" w:color="auto"/>
            </w:tcBorders>
            <w:shd w:val="clear" w:color="auto" w:fill="auto"/>
            <w:vAlign w:val="center"/>
            <w:hideMark/>
          </w:tcPr>
          <w:p w14:paraId="108C4ED8" w14:textId="77777777" w:rsidR="00E403D6" w:rsidRPr="00F10391" w:rsidRDefault="00E403D6" w:rsidP="0063065F">
            <w:pPr>
              <w:jc w:val="left"/>
            </w:pPr>
            <w:r w:rsidRPr="00F10391">
              <w:t>Application Of Systematic Review Methodology To The Field Of Nutrition: Nutritional Research Series, Vol. 1.</w:t>
            </w:r>
          </w:p>
        </w:tc>
        <w:tc>
          <w:tcPr>
            <w:tcW w:w="1985" w:type="dxa"/>
            <w:tcBorders>
              <w:top w:val="nil"/>
              <w:left w:val="nil"/>
              <w:bottom w:val="single" w:sz="4" w:space="0" w:color="auto"/>
              <w:right w:val="single" w:sz="4" w:space="0" w:color="auto"/>
            </w:tcBorders>
            <w:shd w:val="clear" w:color="auto" w:fill="auto"/>
            <w:vAlign w:val="center"/>
            <w:hideMark/>
          </w:tcPr>
          <w:p w14:paraId="71B97547" w14:textId="77777777" w:rsidR="00E403D6" w:rsidRPr="005D7324" w:rsidRDefault="00E403D6" w:rsidP="0063065F">
            <w:pPr>
              <w:jc w:val="left"/>
            </w:pPr>
            <w:r w:rsidRPr="005D7324">
              <w:t>Lichtenstein Ah, Yetley Ea, Lau J.</w:t>
            </w:r>
          </w:p>
        </w:tc>
        <w:tc>
          <w:tcPr>
            <w:tcW w:w="2078" w:type="dxa"/>
            <w:tcBorders>
              <w:top w:val="nil"/>
              <w:left w:val="nil"/>
              <w:bottom w:val="single" w:sz="4" w:space="0" w:color="auto"/>
              <w:right w:val="single" w:sz="4" w:space="0" w:color="auto"/>
            </w:tcBorders>
            <w:shd w:val="clear" w:color="auto" w:fill="auto"/>
            <w:vAlign w:val="center"/>
            <w:hideMark/>
          </w:tcPr>
          <w:p w14:paraId="72D52990" w14:textId="77777777" w:rsidR="00E403D6" w:rsidRPr="00F10391" w:rsidRDefault="00E403D6" w:rsidP="0063065F">
            <w:pPr>
              <w:jc w:val="left"/>
            </w:pPr>
            <w:r w:rsidRPr="00F10391">
              <w:t>Rockville (Md): Agency For Healthcare Research And Quality (Us); 2009 Jan.</w:t>
            </w:r>
          </w:p>
        </w:tc>
        <w:tc>
          <w:tcPr>
            <w:tcW w:w="862" w:type="dxa"/>
            <w:tcBorders>
              <w:top w:val="nil"/>
              <w:left w:val="nil"/>
              <w:bottom w:val="single" w:sz="4" w:space="0" w:color="auto"/>
              <w:right w:val="single" w:sz="4" w:space="0" w:color="auto"/>
            </w:tcBorders>
            <w:shd w:val="clear" w:color="auto" w:fill="auto"/>
            <w:noWrap/>
            <w:vAlign w:val="center"/>
            <w:hideMark/>
          </w:tcPr>
          <w:p w14:paraId="76A8746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787177F"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549D28E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C36B72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A1D247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B0CC62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41A35E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C92F586" w14:textId="77777777" w:rsidR="00E403D6" w:rsidRPr="00F10391" w:rsidRDefault="00E403D6">
            <w:r w:rsidRPr="00F10391">
              <w:t>Not found</w:t>
            </w:r>
          </w:p>
        </w:tc>
      </w:tr>
      <w:tr w:rsidR="00E403D6" w:rsidRPr="00F10391" w14:paraId="3D77256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33E4C86" w14:textId="77777777" w:rsidR="00E403D6" w:rsidRPr="00F10391" w:rsidRDefault="00E403D6" w:rsidP="0063065F">
            <w:pPr>
              <w:jc w:val="left"/>
            </w:pPr>
            <w:r w:rsidRPr="00F10391">
              <w:t>18/09/10</w:t>
            </w:r>
          </w:p>
        </w:tc>
        <w:tc>
          <w:tcPr>
            <w:tcW w:w="2720" w:type="dxa"/>
            <w:tcBorders>
              <w:top w:val="nil"/>
              <w:left w:val="nil"/>
              <w:bottom w:val="single" w:sz="4" w:space="0" w:color="auto"/>
              <w:right w:val="single" w:sz="4" w:space="0" w:color="auto"/>
            </w:tcBorders>
            <w:shd w:val="clear" w:color="auto" w:fill="auto"/>
            <w:vAlign w:val="center"/>
            <w:hideMark/>
          </w:tcPr>
          <w:p w14:paraId="480A7BD5" w14:textId="77777777" w:rsidR="00E403D6" w:rsidRPr="00F10391" w:rsidRDefault="00E403D6" w:rsidP="0063065F">
            <w:pPr>
              <w:jc w:val="left"/>
            </w:pPr>
            <w:r w:rsidRPr="00F10391">
              <w:t>Factors Associated With Improved Mch Epidemiology Functioning In State Health Agencies.</w:t>
            </w:r>
          </w:p>
        </w:tc>
        <w:tc>
          <w:tcPr>
            <w:tcW w:w="1985" w:type="dxa"/>
            <w:tcBorders>
              <w:top w:val="nil"/>
              <w:left w:val="nil"/>
              <w:bottom w:val="single" w:sz="4" w:space="0" w:color="auto"/>
              <w:right w:val="single" w:sz="4" w:space="0" w:color="auto"/>
            </w:tcBorders>
            <w:shd w:val="clear" w:color="auto" w:fill="auto"/>
            <w:vAlign w:val="center"/>
            <w:hideMark/>
          </w:tcPr>
          <w:p w14:paraId="553D7B56" w14:textId="77777777" w:rsidR="00E403D6" w:rsidRPr="00F10391" w:rsidRDefault="00E403D6" w:rsidP="0063065F">
            <w:pPr>
              <w:jc w:val="left"/>
            </w:pPr>
            <w:r w:rsidRPr="00F10391">
              <w:t>Rosenberg D, Herman-Roloff A, Kennelly J, Handler A.</w:t>
            </w:r>
          </w:p>
        </w:tc>
        <w:tc>
          <w:tcPr>
            <w:tcW w:w="2078" w:type="dxa"/>
            <w:tcBorders>
              <w:top w:val="nil"/>
              <w:left w:val="nil"/>
              <w:bottom w:val="single" w:sz="4" w:space="0" w:color="auto"/>
              <w:right w:val="single" w:sz="4" w:space="0" w:color="auto"/>
            </w:tcBorders>
            <w:shd w:val="clear" w:color="auto" w:fill="auto"/>
            <w:vAlign w:val="center"/>
            <w:hideMark/>
          </w:tcPr>
          <w:p w14:paraId="32B16DBB" w14:textId="77777777" w:rsidR="00E403D6" w:rsidRPr="00F10391" w:rsidRDefault="00E403D6" w:rsidP="0063065F">
            <w:pPr>
              <w:jc w:val="left"/>
            </w:pPr>
            <w:r w:rsidRPr="00F10391">
              <w:t>Matern Child Health J. 2011 Nov;15(8):1143-52. Doi: 10.1007/S10995-010-0680-X.</w:t>
            </w:r>
          </w:p>
        </w:tc>
        <w:tc>
          <w:tcPr>
            <w:tcW w:w="862" w:type="dxa"/>
            <w:tcBorders>
              <w:top w:val="nil"/>
              <w:left w:val="nil"/>
              <w:bottom w:val="single" w:sz="4" w:space="0" w:color="auto"/>
              <w:right w:val="single" w:sz="4" w:space="0" w:color="auto"/>
            </w:tcBorders>
            <w:shd w:val="clear" w:color="auto" w:fill="auto"/>
            <w:noWrap/>
            <w:vAlign w:val="center"/>
            <w:hideMark/>
          </w:tcPr>
          <w:p w14:paraId="5BCB707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6A603F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9F2A47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C9C80F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0C306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A929B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DB1627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91A352F" w14:textId="77777777" w:rsidR="00E403D6" w:rsidRPr="00F10391" w:rsidRDefault="00E403D6">
            <w:r w:rsidRPr="00F10391">
              <w:t>Not found</w:t>
            </w:r>
          </w:p>
        </w:tc>
      </w:tr>
      <w:tr w:rsidR="00E403D6" w:rsidRPr="00F10391" w14:paraId="2E0DB1D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EE23496" w14:textId="77777777" w:rsidR="00E403D6" w:rsidRPr="00F10391" w:rsidRDefault="00E403D6" w:rsidP="0063065F">
            <w:pPr>
              <w:jc w:val="left"/>
            </w:pPr>
            <w:r w:rsidRPr="00F10391">
              <w:t>01/10/10</w:t>
            </w:r>
          </w:p>
        </w:tc>
        <w:tc>
          <w:tcPr>
            <w:tcW w:w="2720" w:type="dxa"/>
            <w:tcBorders>
              <w:top w:val="nil"/>
              <w:left w:val="nil"/>
              <w:bottom w:val="single" w:sz="4" w:space="0" w:color="auto"/>
              <w:right w:val="single" w:sz="4" w:space="0" w:color="auto"/>
            </w:tcBorders>
            <w:shd w:val="clear" w:color="auto" w:fill="auto"/>
            <w:vAlign w:val="center"/>
            <w:hideMark/>
          </w:tcPr>
          <w:p w14:paraId="67082E5D" w14:textId="77777777" w:rsidR="00E403D6" w:rsidRPr="00F10391" w:rsidRDefault="00E403D6" w:rsidP="0063065F">
            <w:pPr>
              <w:jc w:val="left"/>
            </w:pPr>
            <w:r w:rsidRPr="00F10391">
              <w:t>Incorporating Linguistic, Probabilistic, And Possibilistic Information In A Risk-Based Approach For Ranking Contaminated Sites</w:t>
            </w:r>
          </w:p>
        </w:tc>
        <w:tc>
          <w:tcPr>
            <w:tcW w:w="1985" w:type="dxa"/>
            <w:tcBorders>
              <w:top w:val="nil"/>
              <w:left w:val="nil"/>
              <w:bottom w:val="single" w:sz="4" w:space="0" w:color="auto"/>
              <w:right w:val="single" w:sz="4" w:space="0" w:color="auto"/>
            </w:tcBorders>
            <w:shd w:val="clear" w:color="auto" w:fill="auto"/>
            <w:vAlign w:val="center"/>
            <w:hideMark/>
          </w:tcPr>
          <w:p w14:paraId="3FE797C0" w14:textId="77777777" w:rsidR="00E403D6" w:rsidRPr="00F10391" w:rsidRDefault="00E403D6" w:rsidP="0063065F">
            <w:pPr>
              <w:jc w:val="left"/>
            </w:pPr>
            <w:r w:rsidRPr="00F10391">
              <w:t>Zhang, Kejiang; Achari, Gopal; Pei, Yuansheng</w:t>
            </w:r>
          </w:p>
        </w:tc>
        <w:tc>
          <w:tcPr>
            <w:tcW w:w="2078" w:type="dxa"/>
            <w:tcBorders>
              <w:top w:val="nil"/>
              <w:left w:val="nil"/>
              <w:bottom w:val="single" w:sz="4" w:space="0" w:color="auto"/>
              <w:right w:val="single" w:sz="4" w:space="0" w:color="auto"/>
            </w:tcBorders>
            <w:shd w:val="clear" w:color="auto" w:fill="auto"/>
            <w:vAlign w:val="center"/>
            <w:hideMark/>
          </w:tcPr>
          <w:p w14:paraId="32B58528" w14:textId="77777777" w:rsidR="00E403D6" w:rsidRPr="00F10391" w:rsidRDefault="00E403D6" w:rsidP="0063065F">
            <w:pPr>
              <w:jc w:val="left"/>
            </w:pPr>
            <w:r w:rsidRPr="00F10391">
              <w:t>Integrated Environmental Assessment And Management. 2010;6(4):711-724</w:t>
            </w:r>
          </w:p>
        </w:tc>
        <w:tc>
          <w:tcPr>
            <w:tcW w:w="862" w:type="dxa"/>
            <w:tcBorders>
              <w:top w:val="nil"/>
              <w:left w:val="nil"/>
              <w:bottom w:val="single" w:sz="4" w:space="0" w:color="auto"/>
              <w:right w:val="single" w:sz="4" w:space="0" w:color="auto"/>
            </w:tcBorders>
            <w:shd w:val="clear" w:color="auto" w:fill="auto"/>
            <w:noWrap/>
            <w:vAlign w:val="center"/>
            <w:hideMark/>
          </w:tcPr>
          <w:p w14:paraId="78C2124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8449B0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AFBC54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CC83B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E7046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8A0274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30EA1A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35BA675" w14:textId="77777777" w:rsidR="00E403D6" w:rsidRPr="00F10391" w:rsidRDefault="00E403D6">
            <w:r w:rsidRPr="00F10391">
              <w:t>Excluded</w:t>
            </w:r>
          </w:p>
        </w:tc>
      </w:tr>
      <w:tr w:rsidR="00E403D6" w:rsidRPr="00F10391" w14:paraId="6D951D1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E6C6F0D" w14:textId="77777777" w:rsidR="00E403D6" w:rsidRPr="00F10391" w:rsidRDefault="00E403D6" w:rsidP="0063065F">
            <w:pPr>
              <w:jc w:val="left"/>
            </w:pPr>
            <w:r w:rsidRPr="00F10391">
              <w:t>14/10/10</w:t>
            </w:r>
          </w:p>
        </w:tc>
        <w:tc>
          <w:tcPr>
            <w:tcW w:w="2720" w:type="dxa"/>
            <w:tcBorders>
              <w:top w:val="nil"/>
              <w:left w:val="nil"/>
              <w:bottom w:val="single" w:sz="4" w:space="0" w:color="auto"/>
              <w:right w:val="single" w:sz="4" w:space="0" w:color="auto"/>
            </w:tcBorders>
            <w:shd w:val="clear" w:color="auto" w:fill="auto"/>
            <w:vAlign w:val="center"/>
            <w:hideMark/>
          </w:tcPr>
          <w:p w14:paraId="00ED3FC9" w14:textId="77777777" w:rsidR="00E403D6" w:rsidRPr="00F10391" w:rsidRDefault="00E403D6" w:rsidP="0063065F">
            <w:pPr>
              <w:jc w:val="left"/>
            </w:pPr>
            <w:r w:rsidRPr="00F10391">
              <w:t>Reorienting Programme Budgeting And Marginal Analysis (Pbma) Towards Disinvestment</w:t>
            </w:r>
          </w:p>
        </w:tc>
        <w:tc>
          <w:tcPr>
            <w:tcW w:w="1985" w:type="dxa"/>
            <w:tcBorders>
              <w:top w:val="nil"/>
              <w:left w:val="nil"/>
              <w:bottom w:val="single" w:sz="4" w:space="0" w:color="auto"/>
              <w:right w:val="single" w:sz="4" w:space="0" w:color="auto"/>
            </w:tcBorders>
            <w:shd w:val="clear" w:color="auto" w:fill="auto"/>
            <w:vAlign w:val="center"/>
            <w:hideMark/>
          </w:tcPr>
          <w:p w14:paraId="28B4B160" w14:textId="77777777" w:rsidR="00E403D6" w:rsidRPr="00F10391" w:rsidRDefault="00E403D6" w:rsidP="0063065F">
            <w:pPr>
              <w:jc w:val="left"/>
            </w:pPr>
            <w:r w:rsidRPr="00F10391">
              <w:t>Mortimer, Duncan</w:t>
            </w:r>
          </w:p>
        </w:tc>
        <w:tc>
          <w:tcPr>
            <w:tcW w:w="2078" w:type="dxa"/>
            <w:tcBorders>
              <w:top w:val="nil"/>
              <w:left w:val="nil"/>
              <w:bottom w:val="single" w:sz="4" w:space="0" w:color="auto"/>
              <w:right w:val="single" w:sz="4" w:space="0" w:color="auto"/>
            </w:tcBorders>
            <w:shd w:val="clear" w:color="auto" w:fill="auto"/>
            <w:vAlign w:val="center"/>
            <w:hideMark/>
          </w:tcPr>
          <w:p w14:paraId="370581EC" w14:textId="77777777" w:rsidR="00E403D6" w:rsidRPr="00F10391" w:rsidRDefault="00E403D6" w:rsidP="0063065F">
            <w:pPr>
              <w:jc w:val="left"/>
            </w:pPr>
            <w:r w:rsidRPr="00F10391">
              <w:t>Bmc Health Services Research. 2010;10():-</w:t>
            </w:r>
          </w:p>
        </w:tc>
        <w:tc>
          <w:tcPr>
            <w:tcW w:w="862" w:type="dxa"/>
            <w:tcBorders>
              <w:top w:val="nil"/>
              <w:left w:val="nil"/>
              <w:bottom w:val="single" w:sz="4" w:space="0" w:color="auto"/>
              <w:right w:val="single" w:sz="4" w:space="0" w:color="auto"/>
            </w:tcBorders>
            <w:shd w:val="clear" w:color="auto" w:fill="auto"/>
            <w:noWrap/>
            <w:vAlign w:val="center"/>
            <w:hideMark/>
          </w:tcPr>
          <w:p w14:paraId="69561C1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781000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AEB5D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269C1E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40A43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0E7CD8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7C3C8A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CF63D28" w14:textId="77777777" w:rsidR="00E403D6" w:rsidRPr="00F10391" w:rsidRDefault="00E403D6">
            <w:r w:rsidRPr="00F10391">
              <w:t>Not found</w:t>
            </w:r>
          </w:p>
        </w:tc>
      </w:tr>
      <w:tr w:rsidR="00E403D6" w:rsidRPr="00F10391" w14:paraId="7906B27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C89FB56" w14:textId="77777777" w:rsidR="00E403D6" w:rsidRPr="00F10391" w:rsidRDefault="00E403D6" w:rsidP="0063065F">
            <w:pPr>
              <w:jc w:val="left"/>
            </w:pPr>
            <w:r w:rsidRPr="00F10391">
              <w:t>15/10/10</w:t>
            </w:r>
          </w:p>
        </w:tc>
        <w:tc>
          <w:tcPr>
            <w:tcW w:w="2720" w:type="dxa"/>
            <w:tcBorders>
              <w:top w:val="nil"/>
              <w:left w:val="nil"/>
              <w:bottom w:val="single" w:sz="4" w:space="0" w:color="auto"/>
              <w:right w:val="single" w:sz="4" w:space="0" w:color="auto"/>
            </w:tcBorders>
            <w:shd w:val="clear" w:color="auto" w:fill="auto"/>
            <w:vAlign w:val="center"/>
            <w:hideMark/>
          </w:tcPr>
          <w:p w14:paraId="247BCF03" w14:textId="77777777" w:rsidR="00E403D6" w:rsidRPr="00F10391" w:rsidRDefault="00E403D6" w:rsidP="0063065F">
            <w:pPr>
              <w:jc w:val="left"/>
            </w:pPr>
            <w:r w:rsidRPr="00F10391">
              <w:t>Reorienting Programme Budgeting And Marginal Analysis (Pbma) Towards Disinvestment.</w:t>
            </w:r>
          </w:p>
        </w:tc>
        <w:tc>
          <w:tcPr>
            <w:tcW w:w="1985" w:type="dxa"/>
            <w:tcBorders>
              <w:top w:val="nil"/>
              <w:left w:val="nil"/>
              <w:bottom w:val="single" w:sz="4" w:space="0" w:color="auto"/>
              <w:right w:val="single" w:sz="4" w:space="0" w:color="auto"/>
            </w:tcBorders>
            <w:shd w:val="clear" w:color="auto" w:fill="auto"/>
            <w:vAlign w:val="center"/>
            <w:hideMark/>
          </w:tcPr>
          <w:p w14:paraId="3CC1657B" w14:textId="77777777" w:rsidR="00E403D6" w:rsidRPr="00F10391" w:rsidRDefault="00E403D6" w:rsidP="0063065F">
            <w:pPr>
              <w:jc w:val="left"/>
            </w:pPr>
            <w:r w:rsidRPr="00F10391">
              <w:t>Mortimer D.</w:t>
            </w:r>
          </w:p>
        </w:tc>
        <w:tc>
          <w:tcPr>
            <w:tcW w:w="2078" w:type="dxa"/>
            <w:tcBorders>
              <w:top w:val="nil"/>
              <w:left w:val="nil"/>
              <w:bottom w:val="single" w:sz="4" w:space="0" w:color="auto"/>
              <w:right w:val="single" w:sz="4" w:space="0" w:color="auto"/>
            </w:tcBorders>
            <w:shd w:val="clear" w:color="auto" w:fill="auto"/>
            <w:vAlign w:val="center"/>
            <w:hideMark/>
          </w:tcPr>
          <w:p w14:paraId="625EECC8" w14:textId="77777777" w:rsidR="00E403D6" w:rsidRPr="00F10391" w:rsidRDefault="00E403D6" w:rsidP="0063065F">
            <w:pPr>
              <w:jc w:val="left"/>
            </w:pPr>
            <w:r w:rsidRPr="00F10391">
              <w:t>Bmc Health Serv Res. 2010 Oct 14;10:288. Doi: 10.1186/1472-6963-10-288. Review.</w:t>
            </w:r>
          </w:p>
        </w:tc>
        <w:tc>
          <w:tcPr>
            <w:tcW w:w="862" w:type="dxa"/>
            <w:tcBorders>
              <w:top w:val="nil"/>
              <w:left w:val="nil"/>
              <w:bottom w:val="single" w:sz="4" w:space="0" w:color="auto"/>
              <w:right w:val="single" w:sz="4" w:space="0" w:color="auto"/>
            </w:tcBorders>
            <w:shd w:val="clear" w:color="auto" w:fill="auto"/>
            <w:noWrap/>
            <w:vAlign w:val="center"/>
            <w:hideMark/>
          </w:tcPr>
          <w:p w14:paraId="6EAEB15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ED613AC"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5BD88D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336CA3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7F959D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3F8FC4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F301D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29A6AFA" w14:textId="77777777" w:rsidR="00E403D6" w:rsidRPr="00F10391" w:rsidRDefault="00E403D6">
            <w:r w:rsidRPr="00F10391">
              <w:t>Not found</w:t>
            </w:r>
          </w:p>
        </w:tc>
      </w:tr>
      <w:tr w:rsidR="00E403D6" w:rsidRPr="00F10391" w14:paraId="7B2DAFB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F866AF" w14:textId="77777777" w:rsidR="00E403D6" w:rsidRPr="00F10391" w:rsidRDefault="00E403D6" w:rsidP="0063065F">
            <w:pPr>
              <w:jc w:val="left"/>
            </w:pPr>
            <w:r w:rsidRPr="00F10391">
              <w:t>01/11/10</w:t>
            </w:r>
          </w:p>
        </w:tc>
        <w:tc>
          <w:tcPr>
            <w:tcW w:w="2720" w:type="dxa"/>
            <w:tcBorders>
              <w:top w:val="nil"/>
              <w:left w:val="nil"/>
              <w:bottom w:val="single" w:sz="4" w:space="0" w:color="auto"/>
              <w:right w:val="single" w:sz="4" w:space="0" w:color="auto"/>
            </w:tcBorders>
            <w:shd w:val="clear" w:color="auto" w:fill="auto"/>
            <w:vAlign w:val="center"/>
            <w:hideMark/>
          </w:tcPr>
          <w:p w14:paraId="2487F2A9" w14:textId="77777777" w:rsidR="00E403D6" w:rsidRPr="00F10391" w:rsidRDefault="00E403D6" w:rsidP="0063065F">
            <w:pPr>
              <w:jc w:val="left"/>
            </w:pPr>
            <w:r w:rsidRPr="00F10391">
              <w:t>Using An Innovative Criteria Weighting Tool For Stakeholders Involvement To Rank Msw Facility Sites With The Ahp</w:t>
            </w:r>
          </w:p>
        </w:tc>
        <w:tc>
          <w:tcPr>
            <w:tcW w:w="1985" w:type="dxa"/>
            <w:tcBorders>
              <w:top w:val="nil"/>
              <w:left w:val="nil"/>
              <w:bottom w:val="single" w:sz="4" w:space="0" w:color="auto"/>
              <w:right w:val="single" w:sz="4" w:space="0" w:color="auto"/>
            </w:tcBorders>
            <w:shd w:val="clear" w:color="auto" w:fill="auto"/>
            <w:vAlign w:val="center"/>
            <w:hideMark/>
          </w:tcPr>
          <w:p w14:paraId="0E7501E2" w14:textId="77777777" w:rsidR="00E403D6" w:rsidRPr="005D7324" w:rsidRDefault="00E403D6" w:rsidP="0063065F">
            <w:pPr>
              <w:jc w:val="left"/>
            </w:pPr>
            <w:r w:rsidRPr="005D7324">
              <w:t>De Feo, Giovanni; De Gisi, Sabino</w:t>
            </w:r>
          </w:p>
        </w:tc>
        <w:tc>
          <w:tcPr>
            <w:tcW w:w="2078" w:type="dxa"/>
            <w:tcBorders>
              <w:top w:val="nil"/>
              <w:left w:val="nil"/>
              <w:bottom w:val="single" w:sz="4" w:space="0" w:color="auto"/>
              <w:right w:val="single" w:sz="4" w:space="0" w:color="auto"/>
            </w:tcBorders>
            <w:shd w:val="clear" w:color="auto" w:fill="auto"/>
            <w:vAlign w:val="center"/>
            <w:hideMark/>
          </w:tcPr>
          <w:p w14:paraId="39D5EF54" w14:textId="77777777" w:rsidR="00E403D6" w:rsidRPr="00F10391" w:rsidRDefault="00E403D6" w:rsidP="0063065F">
            <w:pPr>
              <w:jc w:val="left"/>
            </w:pPr>
            <w:r w:rsidRPr="00F10391">
              <w:t>Waste Management. 2010;30(11):2370-2382</w:t>
            </w:r>
          </w:p>
        </w:tc>
        <w:tc>
          <w:tcPr>
            <w:tcW w:w="862" w:type="dxa"/>
            <w:tcBorders>
              <w:top w:val="nil"/>
              <w:left w:val="nil"/>
              <w:bottom w:val="single" w:sz="4" w:space="0" w:color="auto"/>
              <w:right w:val="single" w:sz="4" w:space="0" w:color="auto"/>
            </w:tcBorders>
            <w:shd w:val="clear" w:color="auto" w:fill="auto"/>
            <w:noWrap/>
            <w:vAlign w:val="center"/>
            <w:hideMark/>
          </w:tcPr>
          <w:p w14:paraId="5F4B342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31C45F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EB5A6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C20B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435211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43163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9B92CC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FF7A97C" w14:textId="77777777" w:rsidR="00E403D6" w:rsidRPr="00F10391" w:rsidRDefault="00E403D6">
            <w:r w:rsidRPr="00F10391">
              <w:t>Excluded</w:t>
            </w:r>
          </w:p>
        </w:tc>
      </w:tr>
      <w:tr w:rsidR="00E403D6" w:rsidRPr="00F10391" w14:paraId="3B0F231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2BA1B9A" w14:textId="77777777" w:rsidR="00E403D6" w:rsidRPr="00F10391" w:rsidRDefault="00E403D6" w:rsidP="0063065F">
            <w:pPr>
              <w:jc w:val="left"/>
            </w:pPr>
            <w:r w:rsidRPr="00F10391">
              <w:t>06/11/10</w:t>
            </w:r>
          </w:p>
        </w:tc>
        <w:tc>
          <w:tcPr>
            <w:tcW w:w="2720" w:type="dxa"/>
            <w:tcBorders>
              <w:top w:val="nil"/>
              <w:left w:val="nil"/>
              <w:bottom w:val="single" w:sz="4" w:space="0" w:color="auto"/>
              <w:right w:val="single" w:sz="4" w:space="0" w:color="auto"/>
            </w:tcBorders>
            <w:shd w:val="clear" w:color="auto" w:fill="auto"/>
            <w:vAlign w:val="center"/>
            <w:hideMark/>
          </w:tcPr>
          <w:p w14:paraId="58C1B7FD" w14:textId="77777777" w:rsidR="00E403D6" w:rsidRPr="00F10391" w:rsidRDefault="00E403D6" w:rsidP="0063065F">
            <w:pPr>
              <w:jc w:val="left"/>
            </w:pPr>
            <w:r w:rsidRPr="00F10391">
              <w:t>Drug Harms In The Uk: A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1ABC44F9" w14:textId="77777777" w:rsidR="00E403D6" w:rsidRPr="00F10391" w:rsidRDefault="00E403D6" w:rsidP="0063065F">
            <w:pPr>
              <w:jc w:val="left"/>
            </w:pPr>
            <w:r w:rsidRPr="00F10391">
              <w:t>Nutt, David J.; King, Leslie A.; Phillips, Lawrence D.</w:t>
            </w:r>
          </w:p>
        </w:tc>
        <w:tc>
          <w:tcPr>
            <w:tcW w:w="2078" w:type="dxa"/>
            <w:tcBorders>
              <w:top w:val="nil"/>
              <w:left w:val="nil"/>
              <w:bottom w:val="single" w:sz="4" w:space="0" w:color="auto"/>
              <w:right w:val="single" w:sz="4" w:space="0" w:color="auto"/>
            </w:tcBorders>
            <w:shd w:val="clear" w:color="auto" w:fill="auto"/>
            <w:vAlign w:val="center"/>
            <w:hideMark/>
          </w:tcPr>
          <w:p w14:paraId="43AEB2B0" w14:textId="77777777" w:rsidR="00E403D6" w:rsidRPr="00F10391" w:rsidRDefault="00E403D6" w:rsidP="0063065F">
            <w:pPr>
              <w:jc w:val="left"/>
            </w:pPr>
            <w:r w:rsidRPr="00F10391">
              <w:t>Lancet. 2010;376(9752):1558-1565</w:t>
            </w:r>
          </w:p>
        </w:tc>
        <w:tc>
          <w:tcPr>
            <w:tcW w:w="862" w:type="dxa"/>
            <w:tcBorders>
              <w:top w:val="nil"/>
              <w:left w:val="nil"/>
              <w:bottom w:val="single" w:sz="4" w:space="0" w:color="auto"/>
              <w:right w:val="single" w:sz="4" w:space="0" w:color="auto"/>
            </w:tcBorders>
            <w:shd w:val="clear" w:color="auto" w:fill="auto"/>
            <w:noWrap/>
            <w:vAlign w:val="center"/>
            <w:hideMark/>
          </w:tcPr>
          <w:p w14:paraId="2009E68D"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6DE762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F689D1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B5EBDF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CAB75D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D3A3C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A3EBC6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CE43E3" w14:textId="77777777" w:rsidR="00E403D6" w:rsidRPr="00F10391" w:rsidRDefault="00E403D6">
            <w:r w:rsidRPr="00F10391">
              <w:t>Included</w:t>
            </w:r>
          </w:p>
        </w:tc>
      </w:tr>
      <w:tr w:rsidR="00E403D6" w:rsidRPr="00F10391" w14:paraId="5697135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EC2426F" w14:textId="77777777" w:rsidR="00E403D6" w:rsidRPr="00F10391" w:rsidRDefault="00E403D6" w:rsidP="0063065F">
            <w:pPr>
              <w:jc w:val="left"/>
            </w:pPr>
            <w:r w:rsidRPr="00F10391">
              <w:t>06/11/10</w:t>
            </w:r>
          </w:p>
        </w:tc>
        <w:tc>
          <w:tcPr>
            <w:tcW w:w="2720" w:type="dxa"/>
            <w:tcBorders>
              <w:top w:val="nil"/>
              <w:left w:val="nil"/>
              <w:bottom w:val="single" w:sz="4" w:space="0" w:color="auto"/>
              <w:right w:val="single" w:sz="4" w:space="0" w:color="auto"/>
            </w:tcBorders>
            <w:shd w:val="clear" w:color="auto" w:fill="auto"/>
            <w:vAlign w:val="center"/>
            <w:hideMark/>
          </w:tcPr>
          <w:p w14:paraId="0D7B79B0" w14:textId="77777777" w:rsidR="00E403D6" w:rsidRPr="00F10391" w:rsidRDefault="00E403D6" w:rsidP="0063065F">
            <w:pPr>
              <w:jc w:val="left"/>
            </w:pPr>
            <w:r w:rsidRPr="00F10391">
              <w:t>Is Non-Prescription Oseltamivir Availability Under Strict Criteria Workable? A Qualitative Study In New Zealand.</w:t>
            </w:r>
          </w:p>
        </w:tc>
        <w:tc>
          <w:tcPr>
            <w:tcW w:w="1985" w:type="dxa"/>
            <w:tcBorders>
              <w:top w:val="nil"/>
              <w:left w:val="nil"/>
              <w:bottom w:val="single" w:sz="4" w:space="0" w:color="auto"/>
              <w:right w:val="single" w:sz="4" w:space="0" w:color="auto"/>
            </w:tcBorders>
            <w:shd w:val="clear" w:color="auto" w:fill="auto"/>
            <w:vAlign w:val="center"/>
            <w:hideMark/>
          </w:tcPr>
          <w:p w14:paraId="54F814DA" w14:textId="77777777" w:rsidR="00E403D6" w:rsidRPr="00F10391" w:rsidRDefault="00E403D6" w:rsidP="0063065F">
            <w:pPr>
              <w:jc w:val="left"/>
            </w:pPr>
            <w:r w:rsidRPr="00F10391">
              <w:t>Gauld N, Kelly F, Shaw J.</w:t>
            </w:r>
          </w:p>
        </w:tc>
        <w:tc>
          <w:tcPr>
            <w:tcW w:w="2078" w:type="dxa"/>
            <w:tcBorders>
              <w:top w:val="nil"/>
              <w:left w:val="nil"/>
              <w:bottom w:val="single" w:sz="4" w:space="0" w:color="auto"/>
              <w:right w:val="single" w:sz="4" w:space="0" w:color="auto"/>
            </w:tcBorders>
            <w:shd w:val="clear" w:color="auto" w:fill="auto"/>
            <w:vAlign w:val="center"/>
            <w:hideMark/>
          </w:tcPr>
          <w:p w14:paraId="4C44C6B6" w14:textId="77777777" w:rsidR="00E403D6" w:rsidRPr="00F10391" w:rsidRDefault="00E403D6" w:rsidP="0063065F">
            <w:pPr>
              <w:jc w:val="left"/>
            </w:pPr>
            <w:r w:rsidRPr="00F10391">
              <w:t>J Antimicrob Chemother. 2011 Jan;66(1):201-4. Doi: 10.1093/Jac/Dkq409. Epub 2010 Nov 3.</w:t>
            </w:r>
          </w:p>
        </w:tc>
        <w:tc>
          <w:tcPr>
            <w:tcW w:w="862" w:type="dxa"/>
            <w:tcBorders>
              <w:top w:val="nil"/>
              <w:left w:val="nil"/>
              <w:bottom w:val="single" w:sz="4" w:space="0" w:color="auto"/>
              <w:right w:val="single" w:sz="4" w:space="0" w:color="auto"/>
            </w:tcBorders>
            <w:shd w:val="clear" w:color="auto" w:fill="auto"/>
            <w:noWrap/>
            <w:vAlign w:val="center"/>
            <w:hideMark/>
          </w:tcPr>
          <w:p w14:paraId="058813F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072375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8C17A7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184F99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68943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80BB55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438818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6CDF759" w14:textId="77777777" w:rsidR="00E403D6" w:rsidRPr="00F10391" w:rsidRDefault="00E403D6">
            <w:r w:rsidRPr="00F10391">
              <w:t>Not found</w:t>
            </w:r>
          </w:p>
        </w:tc>
      </w:tr>
      <w:tr w:rsidR="00E403D6" w:rsidRPr="00F10391" w14:paraId="57B4D0D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CCD8369" w14:textId="77777777" w:rsidR="00E403D6" w:rsidRPr="00F10391" w:rsidRDefault="00E403D6" w:rsidP="0063065F">
            <w:pPr>
              <w:jc w:val="left"/>
            </w:pPr>
            <w:r w:rsidRPr="00F10391">
              <w:t>15/12/10</w:t>
            </w:r>
          </w:p>
        </w:tc>
        <w:tc>
          <w:tcPr>
            <w:tcW w:w="2720" w:type="dxa"/>
            <w:tcBorders>
              <w:top w:val="nil"/>
              <w:left w:val="nil"/>
              <w:bottom w:val="single" w:sz="4" w:space="0" w:color="auto"/>
              <w:right w:val="single" w:sz="4" w:space="0" w:color="auto"/>
            </w:tcBorders>
            <w:shd w:val="clear" w:color="auto" w:fill="auto"/>
            <w:vAlign w:val="center"/>
            <w:hideMark/>
          </w:tcPr>
          <w:p w14:paraId="733743AF" w14:textId="77777777" w:rsidR="00E403D6" w:rsidRPr="00F10391" w:rsidRDefault="00E403D6" w:rsidP="0063065F">
            <w:pPr>
              <w:jc w:val="left"/>
            </w:pPr>
            <w:r w:rsidRPr="00F10391">
              <w:t>How Effects On Health Equity Are Assessed In Systematic Reviews Of Interventions.</w:t>
            </w:r>
          </w:p>
        </w:tc>
        <w:tc>
          <w:tcPr>
            <w:tcW w:w="1985" w:type="dxa"/>
            <w:tcBorders>
              <w:top w:val="nil"/>
              <w:left w:val="nil"/>
              <w:bottom w:val="single" w:sz="4" w:space="0" w:color="auto"/>
              <w:right w:val="single" w:sz="4" w:space="0" w:color="auto"/>
            </w:tcBorders>
            <w:shd w:val="clear" w:color="auto" w:fill="auto"/>
            <w:vAlign w:val="center"/>
            <w:hideMark/>
          </w:tcPr>
          <w:p w14:paraId="2A2C8A2F" w14:textId="77777777" w:rsidR="00E403D6" w:rsidRPr="00F10391" w:rsidRDefault="00E403D6" w:rsidP="0063065F">
            <w:pPr>
              <w:jc w:val="left"/>
            </w:pPr>
            <w:r w:rsidRPr="00F10391">
              <w:t>Welch V, Tugwell P, Petticrew M, De Montigny J, Ueffing E, Kristjansson B, Mcgowan J, Benkhalti Jandu M, Wells Ga, Brand K, Smylie J.</w:t>
            </w:r>
          </w:p>
        </w:tc>
        <w:tc>
          <w:tcPr>
            <w:tcW w:w="2078" w:type="dxa"/>
            <w:tcBorders>
              <w:top w:val="nil"/>
              <w:left w:val="nil"/>
              <w:bottom w:val="single" w:sz="4" w:space="0" w:color="auto"/>
              <w:right w:val="single" w:sz="4" w:space="0" w:color="auto"/>
            </w:tcBorders>
            <w:shd w:val="clear" w:color="auto" w:fill="auto"/>
            <w:vAlign w:val="center"/>
            <w:hideMark/>
          </w:tcPr>
          <w:p w14:paraId="09BDFF6D" w14:textId="77777777" w:rsidR="00E403D6" w:rsidRPr="00F10391" w:rsidRDefault="00E403D6" w:rsidP="0063065F">
            <w:pPr>
              <w:jc w:val="left"/>
            </w:pPr>
            <w:r w:rsidRPr="00F10391">
              <w:t>Cochrane Database Syst Rev. 2010 Dec 8;(12):Mr000028. Doi: 10.1002/14651858.Mr000028.Pub2. Review.</w:t>
            </w:r>
          </w:p>
        </w:tc>
        <w:tc>
          <w:tcPr>
            <w:tcW w:w="862" w:type="dxa"/>
            <w:tcBorders>
              <w:top w:val="nil"/>
              <w:left w:val="nil"/>
              <w:bottom w:val="single" w:sz="4" w:space="0" w:color="auto"/>
              <w:right w:val="single" w:sz="4" w:space="0" w:color="auto"/>
            </w:tcBorders>
            <w:shd w:val="clear" w:color="auto" w:fill="auto"/>
            <w:noWrap/>
            <w:vAlign w:val="center"/>
            <w:hideMark/>
          </w:tcPr>
          <w:p w14:paraId="58FC9D9C"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E375F8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58D9E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4ABF8D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7610F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76C5A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789684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D72C9CF" w14:textId="77777777" w:rsidR="00E403D6" w:rsidRPr="00F10391" w:rsidRDefault="00E403D6">
            <w:r w:rsidRPr="00F10391">
              <w:t>Not found</w:t>
            </w:r>
          </w:p>
        </w:tc>
      </w:tr>
      <w:tr w:rsidR="00E403D6" w:rsidRPr="00F10391" w14:paraId="0E2B29E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EBD4669" w14:textId="77777777" w:rsidR="00E403D6" w:rsidRPr="00F10391" w:rsidRDefault="00E403D6" w:rsidP="0063065F">
            <w:pPr>
              <w:jc w:val="left"/>
            </w:pPr>
            <w:r w:rsidRPr="00F10391">
              <w:t>01/01/11</w:t>
            </w:r>
          </w:p>
        </w:tc>
        <w:tc>
          <w:tcPr>
            <w:tcW w:w="2720" w:type="dxa"/>
            <w:tcBorders>
              <w:top w:val="nil"/>
              <w:left w:val="nil"/>
              <w:bottom w:val="single" w:sz="4" w:space="0" w:color="auto"/>
              <w:right w:val="single" w:sz="4" w:space="0" w:color="auto"/>
            </w:tcBorders>
            <w:shd w:val="clear" w:color="auto" w:fill="auto"/>
            <w:vAlign w:val="center"/>
            <w:hideMark/>
          </w:tcPr>
          <w:p w14:paraId="4E4316B7" w14:textId="77777777" w:rsidR="00E403D6" w:rsidRPr="00F10391" w:rsidRDefault="00E403D6" w:rsidP="0063065F">
            <w:pPr>
              <w:jc w:val="left"/>
            </w:pPr>
            <w:r w:rsidRPr="00F10391">
              <w:t>Evaluation And Site Selection Of Petrochemical Industrial Waste Land Filling Using Smce Method</w:t>
            </w:r>
          </w:p>
        </w:tc>
        <w:tc>
          <w:tcPr>
            <w:tcW w:w="1985" w:type="dxa"/>
            <w:tcBorders>
              <w:top w:val="nil"/>
              <w:left w:val="nil"/>
              <w:bottom w:val="single" w:sz="4" w:space="0" w:color="auto"/>
              <w:right w:val="single" w:sz="4" w:space="0" w:color="auto"/>
            </w:tcBorders>
            <w:shd w:val="clear" w:color="auto" w:fill="auto"/>
            <w:vAlign w:val="center"/>
            <w:hideMark/>
          </w:tcPr>
          <w:p w14:paraId="7ECB4BE2" w14:textId="77777777" w:rsidR="00E403D6" w:rsidRPr="00F10391" w:rsidRDefault="00E403D6" w:rsidP="0063065F">
            <w:pPr>
              <w:jc w:val="left"/>
            </w:pPr>
            <w:r w:rsidRPr="00F10391">
              <w:t>Taghizadeh, Farzad</w:t>
            </w:r>
          </w:p>
        </w:tc>
        <w:tc>
          <w:tcPr>
            <w:tcW w:w="2078" w:type="dxa"/>
            <w:tcBorders>
              <w:top w:val="nil"/>
              <w:left w:val="nil"/>
              <w:bottom w:val="single" w:sz="4" w:space="0" w:color="auto"/>
              <w:right w:val="single" w:sz="4" w:space="0" w:color="auto"/>
            </w:tcBorders>
            <w:shd w:val="clear" w:color="auto" w:fill="auto"/>
            <w:vAlign w:val="center"/>
            <w:hideMark/>
          </w:tcPr>
          <w:p w14:paraId="582B2266" w14:textId="77777777" w:rsidR="00E403D6" w:rsidRPr="00F10391" w:rsidRDefault="00E403D6" w:rsidP="0063065F">
            <w:pPr>
              <w:jc w:val="left"/>
            </w:pPr>
            <w:r w:rsidRPr="00F10391">
              <w:t>Journal Of Food Agriculture &amp; Environment. 2011;9(1):684-688</w:t>
            </w:r>
          </w:p>
        </w:tc>
        <w:tc>
          <w:tcPr>
            <w:tcW w:w="862" w:type="dxa"/>
            <w:tcBorders>
              <w:top w:val="nil"/>
              <w:left w:val="nil"/>
              <w:bottom w:val="single" w:sz="4" w:space="0" w:color="auto"/>
              <w:right w:val="single" w:sz="4" w:space="0" w:color="auto"/>
            </w:tcBorders>
            <w:shd w:val="clear" w:color="auto" w:fill="auto"/>
            <w:noWrap/>
            <w:vAlign w:val="center"/>
            <w:hideMark/>
          </w:tcPr>
          <w:p w14:paraId="09D3824B"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23A258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BBF75C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1722A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99FB3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B47924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C355B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7BCB9A8" w14:textId="77777777" w:rsidR="00E403D6" w:rsidRPr="00F10391" w:rsidRDefault="00E403D6">
            <w:r w:rsidRPr="00F10391">
              <w:t>Not found</w:t>
            </w:r>
          </w:p>
        </w:tc>
      </w:tr>
      <w:tr w:rsidR="00E403D6" w:rsidRPr="00F10391" w14:paraId="294766B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8F2CAB9" w14:textId="77777777" w:rsidR="00E403D6" w:rsidRPr="00F10391" w:rsidRDefault="00E403D6" w:rsidP="0063065F">
            <w:pPr>
              <w:jc w:val="left"/>
            </w:pPr>
            <w:r w:rsidRPr="00F10391">
              <w:t>05/01/11</w:t>
            </w:r>
          </w:p>
        </w:tc>
        <w:tc>
          <w:tcPr>
            <w:tcW w:w="2720" w:type="dxa"/>
            <w:tcBorders>
              <w:top w:val="nil"/>
              <w:left w:val="nil"/>
              <w:bottom w:val="single" w:sz="4" w:space="0" w:color="auto"/>
              <w:right w:val="single" w:sz="4" w:space="0" w:color="auto"/>
            </w:tcBorders>
            <w:shd w:val="clear" w:color="auto" w:fill="auto"/>
            <w:vAlign w:val="center"/>
            <w:hideMark/>
          </w:tcPr>
          <w:p w14:paraId="0557EC35" w14:textId="77777777" w:rsidR="00E403D6" w:rsidRPr="00F10391" w:rsidRDefault="00E403D6" w:rsidP="0063065F">
            <w:pPr>
              <w:jc w:val="left"/>
            </w:pPr>
            <w:r w:rsidRPr="00F10391">
              <w:t>Three Population-Patient Care Outcome Indicators For Public Health Nursing: Results Of A Consensus Project.</w:t>
            </w:r>
          </w:p>
        </w:tc>
        <w:tc>
          <w:tcPr>
            <w:tcW w:w="1985" w:type="dxa"/>
            <w:tcBorders>
              <w:top w:val="nil"/>
              <w:left w:val="nil"/>
              <w:bottom w:val="single" w:sz="4" w:space="0" w:color="auto"/>
              <w:right w:val="single" w:sz="4" w:space="0" w:color="auto"/>
            </w:tcBorders>
            <w:shd w:val="clear" w:color="auto" w:fill="auto"/>
            <w:vAlign w:val="center"/>
            <w:hideMark/>
          </w:tcPr>
          <w:p w14:paraId="190D6E4B" w14:textId="77777777" w:rsidR="00E403D6" w:rsidRPr="005D7324" w:rsidRDefault="00E403D6" w:rsidP="0063065F">
            <w:pPr>
              <w:jc w:val="left"/>
            </w:pPr>
            <w:r w:rsidRPr="005D7324">
              <w:t>Issel Lm, Bekemeier B, Baldwin Ka.</w:t>
            </w:r>
          </w:p>
        </w:tc>
        <w:tc>
          <w:tcPr>
            <w:tcW w:w="2078" w:type="dxa"/>
            <w:tcBorders>
              <w:top w:val="nil"/>
              <w:left w:val="nil"/>
              <w:bottom w:val="single" w:sz="4" w:space="0" w:color="auto"/>
              <w:right w:val="single" w:sz="4" w:space="0" w:color="auto"/>
            </w:tcBorders>
            <w:shd w:val="clear" w:color="auto" w:fill="auto"/>
            <w:vAlign w:val="center"/>
            <w:hideMark/>
          </w:tcPr>
          <w:p w14:paraId="334D0033" w14:textId="77777777" w:rsidR="00E403D6" w:rsidRPr="00F10391" w:rsidRDefault="00E403D6" w:rsidP="0063065F">
            <w:pPr>
              <w:jc w:val="left"/>
            </w:pPr>
            <w:r w:rsidRPr="00F10391">
              <w:t>Public Health Nurs. 2011 Jan-Feb;28(1):24-34. Doi: 10.1111/J.1525-1446.2010.00885.X. Epub 2010 Oct 6.</w:t>
            </w:r>
          </w:p>
        </w:tc>
        <w:tc>
          <w:tcPr>
            <w:tcW w:w="862" w:type="dxa"/>
            <w:tcBorders>
              <w:top w:val="nil"/>
              <w:left w:val="nil"/>
              <w:bottom w:val="single" w:sz="4" w:space="0" w:color="auto"/>
              <w:right w:val="single" w:sz="4" w:space="0" w:color="auto"/>
            </w:tcBorders>
            <w:shd w:val="clear" w:color="auto" w:fill="auto"/>
            <w:noWrap/>
            <w:vAlign w:val="center"/>
            <w:hideMark/>
          </w:tcPr>
          <w:p w14:paraId="2C0D6CE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A17EBF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2C3CA2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C2F243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78C467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B7814D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8C3DB6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C62A0A" w14:textId="77777777" w:rsidR="00E403D6" w:rsidRPr="00F10391" w:rsidRDefault="00E403D6">
            <w:r w:rsidRPr="00F10391">
              <w:t>Not found</w:t>
            </w:r>
          </w:p>
        </w:tc>
      </w:tr>
      <w:tr w:rsidR="00E403D6" w:rsidRPr="00F10391" w14:paraId="37BA9CF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33C9DAD" w14:textId="77777777" w:rsidR="00E403D6" w:rsidRPr="00F10391" w:rsidRDefault="00E403D6" w:rsidP="0063065F">
            <w:pPr>
              <w:jc w:val="left"/>
            </w:pPr>
            <w:r w:rsidRPr="00F10391">
              <w:t>26/01/11</w:t>
            </w:r>
          </w:p>
        </w:tc>
        <w:tc>
          <w:tcPr>
            <w:tcW w:w="2720" w:type="dxa"/>
            <w:tcBorders>
              <w:top w:val="nil"/>
              <w:left w:val="nil"/>
              <w:bottom w:val="single" w:sz="4" w:space="0" w:color="auto"/>
              <w:right w:val="single" w:sz="4" w:space="0" w:color="auto"/>
            </w:tcBorders>
            <w:shd w:val="clear" w:color="auto" w:fill="auto"/>
            <w:vAlign w:val="center"/>
            <w:hideMark/>
          </w:tcPr>
          <w:p w14:paraId="3779C0DA" w14:textId="77777777" w:rsidR="00E403D6" w:rsidRPr="00F10391" w:rsidRDefault="00E403D6" w:rsidP="0063065F">
            <w:pPr>
              <w:jc w:val="left"/>
            </w:pPr>
            <w:r w:rsidRPr="00F10391">
              <w:t>Interventions To Optimise Prescribing In Care Homes: Systematic Review.</w:t>
            </w:r>
          </w:p>
        </w:tc>
        <w:tc>
          <w:tcPr>
            <w:tcW w:w="1985" w:type="dxa"/>
            <w:tcBorders>
              <w:top w:val="nil"/>
              <w:left w:val="nil"/>
              <w:bottom w:val="single" w:sz="4" w:space="0" w:color="auto"/>
              <w:right w:val="single" w:sz="4" w:space="0" w:color="auto"/>
            </w:tcBorders>
            <w:shd w:val="clear" w:color="auto" w:fill="auto"/>
            <w:vAlign w:val="center"/>
            <w:hideMark/>
          </w:tcPr>
          <w:p w14:paraId="54E83E37" w14:textId="77777777" w:rsidR="00E403D6" w:rsidRPr="00F10391" w:rsidRDefault="00E403D6" w:rsidP="0063065F">
            <w:pPr>
              <w:jc w:val="left"/>
            </w:pPr>
            <w:r w:rsidRPr="00F10391">
              <w:t>Loganathan M, Singh S, Franklin Bd, Bottle A, Majeed A.</w:t>
            </w:r>
          </w:p>
        </w:tc>
        <w:tc>
          <w:tcPr>
            <w:tcW w:w="2078" w:type="dxa"/>
            <w:tcBorders>
              <w:top w:val="nil"/>
              <w:left w:val="nil"/>
              <w:bottom w:val="single" w:sz="4" w:space="0" w:color="auto"/>
              <w:right w:val="single" w:sz="4" w:space="0" w:color="auto"/>
            </w:tcBorders>
            <w:shd w:val="clear" w:color="auto" w:fill="auto"/>
            <w:vAlign w:val="center"/>
            <w:hideMark/>
          </w:tcPr>
          <w:p w14:paraId="6CA7A7B5" w14:textId="77777777" w:rsidR="00E403D6" w:rsidRPr="00F10391" w:rsidRDefault="00E403D6" w:rsidP="0063065F">
            <w:pPr>
              <w:jc w:val="left"/>
            </w:pPr>
            <w:r w:rsidRPr="00F10391">
              <w:t>Age Ageing. 2011 Mar;40(2):150-62. Doi: 10.1093/Ageing/Afq161. Epub 2011 Jan 24. Review.</w:t>
            </w:r>
          </w:p>
        </w:tc>
        <w:tc>
          <w:tcPr>
            <w:tcW w:w="862" w:type="dxa"/>
            <w:tcBorders>
              <w:top w:val="nil"/>
              <w:left w:val="nil"/>
              <w:bottom w:val="single" w:sz="4" w:space="0" w:color="auto"/>
              <w:right w:val="single" w:sz="4" w:space="0" w:color="auto"/>
            </w:tcBorders>
            <w:shd w:val="clear" w:color="auto" w:fill="auto"/>
            <w:noWrap/>
            <w:vAlign w:val="center"/>
            <w:hideMark/>
          </w:tcPr>
          <w:p w14:paraId="76D9C1E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AF01A7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8347B4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06A658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C4D25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5C7251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3E674A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B167606" w14:textId="77777777" w:rsidR="00E403D6" w:rsidRPr="00F10391" w:rsidRDefault="00E403D6">
            <w:r w:rsidRPr="00F10391">
              <w:t>Not found</w:t>
            </w:r>
          </w:p>
        </w:tc>
      </w:tr>
      <w:tr w:rsidR="00E403D6" w:rsidRPr="00F10391" w14:paraId="450CC2E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D24B94D" w14:textId="77777777" w:rsidR="00E403D6" w:rsidRPr="00F10391" w:rsidRDefault="00E403D6" w:rsidP="0063065F">
            <w:pPr>
              <w:jc w:val="left"/>
            </w:pPr>
            <w:r w:rsidRPr="00F10391">
              <w:t>09/02/11</w:t>
            </w:r>
          </w:p>
        </w:tc>
        <w:tc>
          <w:tcPr>
            <w:tcW w:w="2720" w:type="dxa"/>
            <w:tcBorders>
              <w:top w:val="nil"/>
              <w:left w:val="nil"/>
              <w:bottom w:val="single" w:sz="4" w:space="0" w:color="auto"/>
              <w:right w:val="single" w:sz="4" w:space="0" w:color="auto"/>
            </w:tcBorders>
            <w:shd w:val="clear" w:color="auto" w:fill="auto"/>
            <w:vAlign w:val="center"/>
            <w:hideMark/>
          </w:tcPr>
          <w:p w14:paraId="54E58554" w14:textId="77777777" w:rsidR="00E403D6" w:rsidRPr="00F10391" w:rsidRDefault="00E403D6" w:rsidP="0063065F">
            <w:pPr>
              <w:jc w:val="left"/>
            </w:pPr>
            <w:r w:rsidRPr="00F10391">
              <w:t>Measuring Integrated Care.</w:t>
            </w:r>
          </w:p>
        </w:tc>
        <w:tc>
          <w:tcPr>
            <w:tcW w:w="1985" w:type="dxa"/>
            <w:tcBorders>
              <w:top w:val="nil"/>
              <w:left w:val="nil"/>
              <w:bottom w:val="single" w:sz="4" w:space="0" w:color="auto"/>
              <w:right w:val="single" w:sz="4" w:space="0" w:color="auto"/>
            </w:tcBorders>
            <w:shd w:val="clear" w:color="auto" w:fill="auto"/>
            <w:vAlign w:val="center"/>
            <w:hideMark/>
          </w:tcPr>
          <w:p w14:paraId="0438D6DD" w14:textId="77777777" w:rsidR="00E403D6" w:rsidRPr="00F10391" w:rsidRDefault="00E403D6" w:rsidP="0063065F">
            <w:pPr>
              <w:jc w:val="left"/>
            </w:pPr>
            <w:r w:rsidRPr="00F10391">
              <w:t>Strandberg-Larsen M.</w:t>
            </w:r>
          </w:p>
        </w:tc>
        <w:tc>
          <w:tcPr>
            <w:tcW w:w="2078" w:type="dxa"/>
            <w:tcBorders>
              <w:top w:val="nil"/>
              <w:left w:val="nil"/>
              <w:bottom w:val="single" w:sz="4" w:space="0" w:color="auto"/>
              <w:right w:val="single" w:sz="4" w:space="0" w:color="auto"/>
            </w:tcBorders>
            <w:shd w:val="clear" w:color="auto" w:fill="auto"/>
            <w:vAlign w:val="center"/>
            <w:hideMark/>
          </w:tcPr>
          <w:p w14:paraId="13978C9E" w14:textId="77777777" w:rsidR="00E403D6" w:rsidRPr="00F10391" w:rsidRDefault="00E403D6" w:rsidP="0063065F">
            <w:pPr>
              <w:jc w:val="left"/>
            </w:pPr>
            <w:r w:rsidRPr="00F10391">
              <w:t>Dan Med Bull. 2011 Feb;58(2):B4245. Review.</w:t>
            </w:r>
          </w:p>
        </w:tc>
        <w:tc>
          <w:tcPr>
            <w:tcW w:w="862" w:type="dxa"/>
            <w:tcBorders>
              <w:top w:val="nil"/>
              <w:left w:val="nil"/>
              <w:bottom w:val="single" w:sz="4" w:space="0" w:color="auto"/>
              <w:right w:val="single" w:sz="4" w:space="0" w:color="auto"/>
            </w:tcBorders>
            <w:shd w:val="clear" w:color="auto" w:fill="auto"/>
            <w:noWrap/>
            <w:vAlign w:val="center"/>
            <w:hideMark/>
          </w:tcPr>
          <w:p w14:paraId="37FA42F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6E7049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7A739E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64CC6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02467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55FBC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6A9C6A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A36028E" w14:textId="77777777" w:rsidR="00E403D6" w:rsidRPr="00F10391" w:rsidRDefault="00E403D6">
            <w:r w:rsidRPr="00F10391">
              <w:t>Not found</w:t>
            </w:r>
          </w:p>
        </w:tc>
      </w:tr>
      <w:tr w:rsidR="00E403D6" w:rsidRPr="00F10391" w14:paraId="04C4F09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59EC090" w14:textId="77777777" w:rsidR="00E403D6" w:rsidRPr="00F10391" w:rsidRDefault="00E403D6" w:rsidP="0063065F">
            <w:pPr>
              <w:jc w:val="left"/>
            </w:pPr>
            <w:r w:rsidRPr="00F10391">
              <w:t>22/02/11</w:t>
            </w:r>
          </w:p>
        </w:tc>
        <w:tc>
          <w:tcPr>
            <w:tcW w:w="2720" w:type="dxa"/>
            <w:tcBorders>
              <w:top w:val="nil"/>
              <w:left w:val="nil"/>
              <w:bottom w:val="single" w:sz="4" w:space="0" w:color="auto"/>
              <w:right w:val="single" w:sz="4" w:space="0" w:color="auto"/>
            </w:tcBorders>
            <w:shd w:val="clear" w:color="auto" w:fill="auto"/>
            <w:vAlign w:val="center"/>
            <w:hideMark/>
          </w:tcPr>
          <w:p w14:paraId="064E0C36" w14:textId="77777777" w:rsidR="00E403D6" w:rsidRPr="00F10391" w:rsidRDefault="00E403D6" w:rsidP="0063065F">
            <w:pPr>
              <w:jc w:val="left"/>
            </w:pPr>
            <w:r w:rsidRPr="00F10391">
              <w:t>Feasibility Of Assessing Public Health Impacts Of Air Pollution Reduction Programs On A Local Scale: New Haven Case Study.</w:t>
            </w:r>
          </w:p>
        </w:tc>
        <w:tc>
          <w:tcPr>
            <w:tcW w:w="1985" w:type="dxa"/>
            <w:tcBorders>
              <w:top w:val="nil"/>
              <w:left w:val="nil"/>
              <w:bottom w:val="single" w:sz="4" w:space="0" w:color="auto"/>
              <w:right w:val="single" w:sz="4" w:space="0" w:color="auto"/>
            </w:tcBorders>
            <w:shd w:val="clear" w:color="auto" w:fill="auto"/>
            <w:vAlign w:val="center"/>
            <w:hideMark/>
          </w:tcPr>
          <w:p w14:paraId="7B373A6C" w14:textId="77777777" w:rsidR="00E403D6" w:rsidRPr="00F10391" w:rsidRDefault="00E403D6" w:rsidP="0063065F">
            <w:pPr>
              <w:jc w:val="left"/>
            </w:pPr>
            <w:r w:rsidRPr="00F10391">
              <w:t>Lobdell Dt, Isakov V, Baxter L, Touma Js, Smuts Mb, Í_Zkaynak H.</w:t>
            </w:r>
          </w:p>
        </w:tc>
        <w:tc>
          <w:tcPr>
            <w:tcW w:w="2078" w:type="dxa"/>
            <w:tcBorders>
              <w:top w:val="nil"/>
              <w:left w:val="nil"/>
              <w:bottom w:val="single" w:sz="4" w:space="0" w:color="auto"/>
              <w:right w:val="single" w:sz="4" w:space="0" w:color="auto"/>
            </w:tcBorders>
            <w:shd w:val="clear" w:color="auto" w:fill="auto"/>
            <w:vAlign w:val="center"/>
            <w:hideMark/>
          </w:tcPr>
          <w:p w14:paraId="10C93407" w14:textId="77777777" w:rsidR="00E403D6" w:rsidRPr="00F10391" w:rsidRDefault="00E403D6" w:rsidP="0063065F">
            <w:pPr>
              <w:jc w:val="left"/>
            </w:pPr>
            <w:r w:rsidRPr="00F10391">
              <w:t>Environ Health Perspect. 2011 Apr;119(4):487-93. Doi: 10.1289/Ehp.1002636. Epub 2011 Feb 18.</w:t>
            </w:r>
          </w:p>
        </w:tc>
        <w:tc>
          <w:tcPr>
            <w:tcW w:w="862" w:type="dxa"/>
            <w:tcBorders>
              <w:top w:val="nil"/>
              <w:left w:val="nil"/>
              <w:bottom w:val="single" w:sz="4" w:space="0" w:color="auto"/>
              <w:right w:val="single" w:sz="4" w:space="0" w:color="auto"/>
            </w:tcBorders>
            <w:shd w:val="clear" w:color="auto" w:fill="auto"/>
            <w:noWrap/>
            <w:vAlign w:val="center"/>
            <w:hideMark/>
          </w:tcPr>
          <w:p w14:paraId="11DDAE8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07C936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62EEE7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180341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5B0CE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0ADCC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9C37BB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B6D8CF3" w14:textId="77777777" w:rsidR="00E403D6" w:rsidRPr="00F10391" w:rsidRDefault="00E403D6">
            <w:r w:rsidRPr="00F10391">
              <w:t>Not found</w:t>
            </w:r>
          </w:p>
        </w:tc>
      </w:tr>
      <w:tr w:rsidR="00E403D6" w:rsidRPr="00F10391" w14:paraId="06C4D53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24F8291" w14:textId="77777777" w:rsidR="00E403D6" w:rsidRPr="00F10391" w:rsidRDefault="00E403D6" w:rsidP="0063065F">
            <w:pPr>
              <w:jc w:val="left"/>
            </w:pPr>
            <w:r w:rsidRPr="00F10391">
              <w:t>01/04/11</w:t>
            </w:r>
          </w:p>
        </w:tc>
        <w:tc>
          <w:tcPr>
            <w:tcW w:w="2720" w:type="dxa"/>
            <w:tcBorders>
              <w:top w:val="nil"/>
              <w:left w:val="nil"/>
              <w:bottom w:val="single" w:sz="4" w:space="0" w:color="auto"/>
              <w:right w:val="single" w:sz="4" w:space="0" w:color="auto"/>
            </w:tcBorders>
            <w:shd w:val="clear" w:color="auto" w:fill="auto"/>
            <w:vAlign w:val="center"/>
            <w:hideMark/>
          </w:tcPr>
          <w:p w14:paraId="0F50ABC0" w14:textId="77777777" w:rsidR="00E403D6" w:rsidRPr="00F10391" w:rsidRDefault="00E403D6" w:rsidP="0063065F">
            <w:pPr>
              <w:jc w:val="left"/>
            </w:pPr>
            <w:r w:rsidRPr="00F10391">
              <w:t>Use Of Life Cycle Assessments For Improved Decision Making In Contaminated Sediment Remediation</w:t>
            </w:r>
          </w:p>
        </w:tc>
        <w:tc>
          <w:tcPr>
            <w:tcW w:w="1985" w:type="dxa"/>
            <w:tcBorders>
              <w:top w:val="nil"/>
              <w:left w:val="nil"/>
              <w:bottom w:val="single" w:sz="4" w:space="0" w:color="auto"/>
              <w:right w:val="single" w:sz="4" w:space="0" w:color="auto"/>
            </w:tcBorders>
            <w:shd w:val="clear" w:color="auto" w:fill="auto"/>
            <w:vAlign w:val="center"/>
            <w:hideMark/>
          </w:tcPr>
          <w:p w14:paraId="24D9ABA2" w14:textId="77777777" w:rsidR="00E403D6" w:rsidRPr="00F10391" w:rsidRDefault="00E403D6" w:rsidP="0063065F">
            <w:pPr>
              <w:jc w:val="left"/>
            </w:pPr>
            <w:r w:rsidRPr="00F10391">
              <w:t>Sparrevik, Magnus; Linkov, Igor</w:t>
            </w:r>
          </w:p>
        </w:tc>
        <w:tc>
          <w:tcPr>
            <w:tcW w:w="2078" w:type="dxa"/>
            <w:tcBorders>
              <w:top w:val="nil"/>
              <w:left w:val="nil"/>
              <w:bottom w:val="single" w:sz="4" w:space="0" w:color="auto"/>
              <w:right w:val="single" w:sz="4" w:space="0" w:color="auto"/>
            </w:tcBorders>
            <w:shd w:val="clear" w:color="auto" w:fill="auto"/>
            <w:vAlign w:val="center"/>
            <w:hideMark/>
          </w:tcPr>
          <w:p w14:paraId="4D9A393F" w14:textId="77777777" w:rsidR="00E403D6" w:rsidRPr="00F10391" w:rsidRDefault="00E403D6" w:rsidP="0063065F">
            <w:pPr>
              <w:jc w:val="left"/>
            </w:pPr>
            <w:r w:rsidRPr="00F10391">
              <w:t>Integrated Environmental Assessment And Management. 2011;7(2, Sp. Iss. Si):304-305</w:t>
            </w:r>
          </w:p>
        </w:tc>
        <w:tc>
          <w:tcPr>
            <w:tcW w:w="862" w:type="dxa"/>
            <w:tcBorders>
              <w:top w:val="nil"/>
              <w:left w:val="nil"/>
              <w:bottom w:val="single" w:sz="4" w:space="0" w:color="auto"/>
              <w:right w:val="single" w:sz="4" w:space="0" w:color="auto"/>
            </w:tcBorders>
            <w:shd w:val="clear" w:color="auto" w:fill="auto"/>
            <w:noWrap/>
            <w:vAlign w:val="center"/>
            <w:hideMark/>
          </w:tcPr>
          <w:p w14:paraId="3093061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35DA94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32D09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77A2B7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E26DE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D9F833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B7AEE8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61DF821" w14:textId="77777777" w:rsidR="00E403D6" w:rsidRPr="00F10391" w:rsidRDefault="00E403D6">
            <w:r w:rsidRPr="00F10391">
              <w:t>Not found</w:t>
            </w:r>
          </w:p>
        </w:tc>
      </w:tr>
      <w:tr w:rsidR="00E403D6" w:rsidRPr="00F10391" w14:paraId="13C0291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83486E8" w14:textId="77777777" w:rsidR="00E403D6" w:rsidRPr="00F10391" w:rsidRDefault="00E403D6" w:rsidP="0063065F">
            <w:pPr>
              <w:jc w:val="left"/>
            </w:pPr>
            <w:r w:rsidRPr="00F10391">
              <w:t>13/04/11</w:t>
            </w:r>
          </w:p>
        </w:tc>
        <w:tc>
          <w:tcPr>
            <w:tcW w:w="2720" w:type="dxa"/>
            <w:tcBorders>
              <w:top w:val="nil"/>
              <w:left w:val="nil"/>
              <w:bottom w:val="single" w:sz="4" w:space="0" w:color="auto"/>
              <w:right w:val="single" w:sz="4" w:space="0" w:color="auto"/>
            </w:tcBorders>
            <w:shd w:val="clear" w:color="auto" w:fill="auto"/>
            <w:vAlign w:val="center"/>
            <w:hideMark/>
          </w:tcPr>
          <w:p w14:paraId="222849A6" w14:textId="77777777" w:rsidR="00E403D6" w:rsidRPr="00F10391" w:rsidRDefault="00E403D6" w:rsidP="0063065F">
            <w:pPr>
              <w:jc w:val="left"/>
            </w:pPr>
            <w:r w:rsidRPr="00F10391">
              <w:t>Clustered Lot Quality Assurance Sampling: A Pragmatic Tool For Timely Assessment Of Vaccination Coverage.</w:t>
            </w:r>
          </w:p>
        </w:tc>
        <w:tc>
          <w:tcPr>
            <w:tcW w:w="1985" w:type="dxa"/>
            <w:tcBorders>
              <w:top w:val="nil"/>
              <w:left w:val="nil"/>
              <w:bottom w:val="single" w:sz="4" w:space="0" w:color="auto"/>
              <w:right w:val="single" w:sz="4" w:space="0" w:color="auto"/>
            </w:tcBorders>
            <w:shd w:val="clear" w:color="auto" w:fill="auto"/>
            <w:vAlign w:val="center"/>
            <w:hideMark/>
          </w:tcPr>
          <w:p w14:paraId="7E9E3733" w14:textId="77777777" w:rsidR="00E403D6" w:rsidRPr="00F10391" w:rsidRDefault="00E403D6" w:rsidP="0063065F">
            <w:pPr>
              <w:jc w:val="left"/>
            </w:pPr>
            <w:r w:rsidRPr="00F10391">
              <w:t>Greenland K, Rondy M, Chevez A, Sadozai N, Gasasira A, Abanida Ea, Pate Ma, Ronveaux O, Okayasu H, Pedalino B, Pezzoli L.</w:t>
            </w:r>
          </w:p>
        </w:tc>
        <w:tc>
          <w:tcPr>
            <w:tcW w:w="2078" w:type="dxa"/>
            <w:tcBorders>
              <w:top w:val="nil"/>
              <w:left w:val="nil"/>
              <w:bottom w:val="single" w:sz="4" w:space="0" w:color="auto"/>
              <w:right w:val="single" w:sz="4" w:space="0" w:color="auto"/>
            </w:tcBorders>
            <w:shd w:val="clear" w:color="auto" w:fill="auto"/>
            <w:vAlign w:val="center"/>
            <w:hideMark/>
          </w:tcPr>
          <w:p w14:paraId="16B88DD3" w14:textId="77777777" w:rsidR="00E403D6" w:rsidRPr="00F10391" w:rsidRDefault="00E403D6" w:rsidP="0063065F">
            <w:pPr>
              <w:jc w:val="left"/>
            </w:pPr>
            <w:r w:rsidRPr="00F10391">
              <w:t>Trop Med Int Health. 2011 Jul;16(7):863-8. Doi: 10.1111/J.1365-3156.2011.02770.X. Epub 2011 Apr 11.</w:t>
            </w:r>
          </w:p>
        </w:tc>
        <w:tc>
          <w:tcPr>
            <w:tcW w:w="862" w:type="dxa"/>
            <w:tcBorders>
              <w:top w:val="nil"/>
              <w:left w:val="nil"/>
              <w:bottom w:val="single" w:sz="4" w:space="0" w:color="auto"/>
              <w:right w:val="single" w:sz="4" w:space="0" w:color="auto"/>
            </w:tcBorders>
            <w:shd w:val="clear" w:color="auto" w:fill="auto"/>
            <w:noWrap/>
            <w:vAlign w:val="center"/>
            <w:hideMark/>
          </w:tcPr>
          <w:p w14:paraId="4125998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A7F29D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B7491C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209E2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36B27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6A2C9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D3D8C4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D3B372A" w14:textId="77777777" w:rsidR="00E403D6" w:rsidRPr="00F10391" w:rsidRDefault="00E403D6">
            <w:r w:rsidRPr="00F10391">
              <w:t>Not found</w:t>
            </w:r>
          </w:p>
        </w:tc>
      </w:tr>
      <w:tr w:rsidR="00E403D6" w:rsidRPr="00F10391" w14:paraId="39EBB2A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DF5214F" w14:textId="77777777" w:rsidR="00E403D6" w:rsidRPr="00F10391" w:rsidRDefault="00E403D6" w:rsidP="0063065F">
            <w:pPr>
              <w:jc w:val="left"/>
            </w:pPr>
            <w:r w:rsidRPr="00F10391">
              <w:t>01/05/11</w:t>
            </w:r>
          </w:p>
        </w:tc>
        <w:tc>
          <w:tcPr>
            <w:tcW w:w="2720" w:type="dxa"/>
            <w:tcBorders>
              <w:top w:val="nil"/>
              <w:left w:val="nil"/>
              <w:bottom w:val="single" w:sz="4" w:space="0" w:color="auto"/>
              <w:right w:val="single" w:sz="4" w:space="0" w:color="auto"/>
            </w:tcBorders>
            <w:shd w:val="clear" w:color="auto" w:fill="auto"/>
            <w:vAlign w:val="center"/>
            <w:hideMark/>
          </w:tcPr>
          <w:p w14:paraId="500BB841" w14:textId="77777777" w:rsidR="00E403D6" w:rsidRPr="00F10391" w:rsidRDefault="00E403D6" w:rsidP="0063065F">
            <w:pPr>
              <w:jc w:val="left"/>
            </w:pPr>
            <w:r w:rsidRPr="00F10391">
              <w:t>Locating Hazardous Waste Treatment Facilities And Disposal Sites In The State Of Yucatan, Mexico</w:t>
            </w:r>
          </w:p>
        </w:tc>
        <w:tc>
          <w:tcPr>
            <w:tcW w:w="1985" w:type="dxa"/>
            <w:tcBorders>
              <w:top w:val="nil"/>
              <w:left w:val="nil"/>
              <w:bottom w:val="single" w:sz="4" w:space="0" w:color="auto"/>
              <w:right w:val="single" w:sz="4" w:space="0" w:color="auto"/>
            </w:tcBorders>
            <w:shd w:val="clear" w:color="auto" w:fill="auto"/>
            <w:vAlign w:val="center"/>
            <w:hideMark/>
          </w:tcPr>
          <w:p w14:paraId="6CA8664F" w14:textId="77777777" w:rsidR="00E403D6" w:rsidRPr="005D7324" w:rsidRDefault="00E403D6" w:rsidP="0063065F">
            <w:pPr>
              <w:jc w:val="left"/>
            </w:pPr>
            <w:r w:rsidRPr="005D7324">
              <w:t>Sauri-Riancho, M. R.; Cabanas-Vargas, D. D.; Echeverria-Victoria, M.; Gamboa-Marrufo, M.; Centeno-Lara, R.; Mendez-Novelo, R. I.</w:t>
            </w:r>
          </w:p>
        </w:tc>
        <w:tc>
          <w:tcPr>
            <w:tcW w:w="2078" w:type="dxa"/>
            <w:tcBorders>
              <w:top w:val="nil"/>
              <w:left w:val="nil"/>
              <w:bottom w:val="single" w:sz="4" w:space="0" w:color="auto"/>
              <w:right w:val="single" w:sz="4" w:space="0" w:color="auto"/>
            </w:tcBorders>
            <w:shd w:val="clear" w:color="auto" w:fill="auto"/>
            <w:vAlign w:val="center"/>
            <w:hideMark/>
          </w:tcPr>
          <w:p w14:paraId="1369D698" w14:textId="77777777" w:rsidR="00E403D6" w:rsidRPr="00F10391" w:rsidRDefault="00E403D6" w:rsidP="0063065F">
            <w:pPr>
              <w:jc w:val="left"/>
            </w:pPr>
            <w:r w:rsidRPr="00F10391">
              <w:t>Environmental Earth Sciences. 2011;63(2):351-362</w:t>
            </w:r>
          </w:p>
        </w:tc>
        <w:tc>
          <w:tcPr>
            <w:tcW w:w="862" w:type="dxa"/>
            <w:tcBorders>
              <w:top w:val="nil"/>
              <w:left w:val="nil"/>
              <w:bottom w:val="single" w:sz="4" w:space="0" w:color="auto"/>
              <w:right w:val="single" w:sz="4" w:space="0" w:color="auto"/>
            </w:tcBorders>
            <w:shd w:val="clear" w:color="auto" w:fill="auto"/>
            <w:noWrap/>
            <w:vAlign w:val="center"/>
            <w:hideMark/>
          </w:tcPr>
          <w:p w14:paraId="5E5A3C4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6C7D02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A88556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4070CF" w14:textId="77777777" w:rsidR="00E403D6" w:rsidRPr="00F10391" w:rsidRDefault="00E403D6">
            <w:r w:rsidRPr="00F10391">
              <w:t>1</w:t>
            </w:r>
          </w:p>
        </w:tc>
        <w:tc>
          <w:tcPr>
            <w:tcW w:w="840" w:type="dxa"/>
            <w:tcBorders>
              <w:top w:val="nil"/>
              <w:left w:val="nil"/>
              <w:bottom w:val="single" w:sz="4" w:space="0" w:color="auto"/>
              <w:right w:val="single" w:sz="4" w:space="0" w:color="auto"/>
            </w:tcBorders>
            <w:shd w:val="clear" w:color="auto" w:fill="auto"/>
            <w:noWrap/>
            <w:vAlign w:val="center"/>
            <w:hideMark/>
          </w:tcPr>
          <w:p w14:paraId="523497B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6ADB54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111390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CC62E51" w14:textId="77777777" w:rsidR="00E403D6" w:rsidRPr="00F10391" w:rsidRDefault="00E403D6">
            <w:r w:rsidRPr="00F10391">
              <w:t>Not found</w:t>
            </w:r>
          </w:p>
        </w:tc>
      </w:tr>
      <w:tr w:rsidR="00E403D6" w:rsidRPr="00F10391" w14:paraId="2B93A99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2320A69" w14:textId="77777777" w:rsidR="00E403D6" w:rsidRPr="00F10391" w:rsidRDefault="00E403D6" w:rsidP="0063065F">
            <w:pPr>
              <w:jc w:val="left"/>
            </w:pPr>
            <w:r w:rsidRPr="00F10391">
              <w:t>07/06/11</w:t>
            </w:r>
          </w:p>
        </w:tc>
        <w:tc>
          <w:tcPr>
            <w:tcW w:w="2720" w:type="dxa"/>
            <w:tcBorders>
              <w:top w:val="nil"/>
              <w:left w:val="nil"/>
              <w:bottom w:val="single" w:sz="4" w:space="0" w:color="auto"/>
              <w:right w:val="single" w:sz="4" w:space="0" w:color="auto"/>
            </w:tcBorders>
            <w:shd w:val="clear" w:color="auto" w:fill="auto"/>
            <w:vAlign w:val="center"/>
            <w:hideMark/>
          </w:tcPr>
          <w:p w14:paraId="74C63223" w14:textId="77777777" w:rsidR="00E403D6" w:rsidRPr="00F10391" w:rsidRDefault="00E403D6" w:rsidP="0063065F">
            <w:pPr>
              <w:jc w:val="left"/>
            </w:pPr>
            <w:r w:rsidRPr="00F10391">
              <w:t>Drivers Of Transfusion Decision Making And Quality Of The Evidence In Orthopedic Surgery: A Systematic Review Of The Literature.</w:t>
            </w:r>
          </w:p>
        </w:tc>
        <w:tc>
          <w:tcPr>
            <w:tcW w:w="1985" w:type="dxa"/>
            <w:tcBorders>
              <w:top w:val="nil"/>
              <w:left w:val="nil"/>
              <w:bottom w:val="single" w:sz="4" w:space="0" w:color="auto"/>
              <w:right w:val="single" w:sz="4" w:space="0" w:color="auto"/>
            </w:tcBorders>
            <w:shd w:val="clear" w:color="auto" w:fill="auto"/>
            <w:vAlign w:val="center"/>
            <w:hideMark/>
          </w:tcPr>
          <w:p w14:paraId="727E5A4E" w14:textId="77777777" w:rsidR="00E403D6" w:rsidRPr="00F10391" w:rsidRDefault="00E403D6" w:rsidP="0063065F">
            <w:pPr>
              <w:jc w:val="left"/>
            </w:pPr>
            <w:r w:rsidRPr="00F10391">
              <w:t>Barr Pj, Donnelly M, Cardwell C, Alam Ss, Morris K, Parker M, Bailie Ke.</w:t>
            </w:r>
          </w:p>
        </w:tc>
        <w:tc>
          <w:tcPr>
            <w:tcW w:w="2078" w:type="dxa"/>
            <w:tcBorders>
              <w:top w:val="nil"/>
              <w:left w:val="nil"/>
              <w:bottom w:val="single" w:sz="4" w:space="0" w:color="auto"/>
              <w:right w:val="single" w:sz="4" w:space="0" w:color="auto"/>
            </w:tcBorders>
            <w:shd w:val="clear" w:color="auto" w:fill="auto"/>
            <w:vAlign w:val="center"/>
            <w:hideMark/>
          </w:tcPr>
          <w:p w14:paraId="745B4A42" w14:textId="77777777" w:rsidR="00E403D6" w:rsidRPr="00F10391" w:rsidRDefault="00E403D6" w:rsidP="0063065F">
            <w:pPr>
              <w:jc w:val="left"/>
            </w:pPr>
            <w:r w:rsidRPr="00F10391">
              <w:t>Transfus Med Rev. 2011 Oct;25(4):304-16.E1-6. Doi: 10.1016/J.Tmrv.2011.04.003. Epub 2011 Jun 2. Review.</w:t>
            </w:r>
          </w:p>
        </w:tc>
        <w:tc>
          <w:tcPr>
            <w:tcW w:w="862" w:type="dxa"/>
            <w:tcBorders>
              <w:top w:val="nil"/>
              <w:left w:val="nil"/>
              <w:bottom w:val="single" w:sz="4" w:space="0" w:color="auto"/>
              <w:right w:val="single" w:sz="4" w:space="0" w:color="auto"/>
            </w:tcBorders>
            <w:shd w:val="clear" w:color="auto" w:fill="auto"/>
            <w:noWrap/>
            <w:vAlign w:val="center"/>
            <w:hideMark/>
          </w:tcPr>
          <w:p w14:paraId="6D3CC3C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F2FA89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263C06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DA4DC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E66AB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97BFF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EAC8BB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C791125" w14:textId="77777777" w:rsidR="00E403D6" w:rsidRPr="00F10391" w:rsidRDefault="00E403D6">
            <w:r w:rsidRPr="00F10391">
              <w:t>Not found</w:t>
            </w:r>
          </w:p>
        </w:tc>
      </w:tr>
      <w:tr w:rsidR="00E403D6" w:rsidRPr="00F10391" w14:paraId="4EE68BB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ADD9D9B" w14:textId="77777777" w:rsidR="00E403D6" w:rsidRPr="00F10391" w:rsidRDefault="00E403D6" w:rsidP="0063065F">
            <w:pPr>
              <w:jc w:val="left"/>
            </w:pPr>
            <w:r w:rsidRPr="00F10391">
              <w:t>01/07/11</w:t>
            </w:r>
          </w:p>
        </w:tc>
        <w:tc>
          <w:tcPr>
            <w:tcW w:w="2720" w:type="dxa"/>
            <w:tcBorders>
              <w:top w:val="nil"/>
              <w:left w:val="nil"/>
              <w:bottom w:val="single" w:sz="4" w:space="0" w:color="auto"/>
              <w:right w:val="single" w:sz="4" w:space="0" w:color="auto"/>
            </w:tcBorders>
            <w:shd w:val="clear" w:color="auto" w:fill="auto"/>
            <w:vAlign w:val="center"/>
            <w:hideMark/>
          </w:tcPr>
          <w:p w14:paraId="02F43368" w14:textId="77777777" w:rsidR="00E403D6" w:rsidRPr="00F10391" w:rsidRDefault="00E403D6" w:rsidP="0063065F">
            <w:pPr>
              <w:jc w:val="left"/>
            </w:pPr>
            <w:r w:rsidRPr="00F10391">
              <w:t>Evaluating 'Success' In Programme Budgeting And Marginal Analysis: A Literature Review</w:t>
            </w:r>
          </w:p>
        </w:tc>
        <w:tc>
          <w:tcPr>
            <w:tcW w:w="1985" w:type="dxa"/>
            <w:tcBorders>
              <w:top w:val="nil"/>
              <w:left w:val="nil"/>
              <w:bottom w:val="single" w:sz="4" w:space="0" w:color="auto"/>
              <w:right w:val="single" w:sz="4" w:space="0" w:color="auto"/>
            </w:tcBorders>
            <w:shd w:val="clear" w:color="auto" w:fill="auto"/>
            <w:vAlign w:val="center"/>
            <w:hideMark/>
          </w:tcPr>
          <w:p w14:paraId="6D64C610" w14:textId="77777777" w:rsidR="00E403D6" w:rsidRPr="00F10391" w:rsidRDefault="00E403D6" w:rsidP="0063065F">
            <w:pPr>
              <w:jc w:val="left"/>
            </w:pPr>
            <w:r w:rsidRPr="00F10391">
              <w:t>Tsourapas, Angelos; Frew, Emma</w:t>
            </w:r>
          </w:p>
        </w:tc>
        <w:tc>
          <w:tcPr>
            <w:tcW w:w="2078" w:type="dxa"/>
            <w:tcBorders>
              <w:top w:val="nil"/>
              <w:left w:val="nil"/>
              <w:bottom w:val="single" w:sz="4" w:space="0" w:color="auto"/>
              <w:right w:val="single" w:sz="4" w:space="0" w:color="auto"/>
            </w:tcBorders>
            <w:shd w:val="clear" w:color="auto" w:fill="auto"/>
            <w:vAlign w:val="center"/>
            <w:hideMark/>
          </w:tcPr>
          <w:p w14:paraId="4E0F573D" w14:textId="77777777" w:rsidR="00E403D6" w:rsidRPr="00F10391" w:rsidRDefault="00E403D6" w:rsidP="0063065F">
            <w:pPr>
              <w:jc w:val="left"/>
            </w:pPr>
            <w:r w:rsidRPr="00F10391">
              <w:t>Journal Of Health Services Research &amp; Policy. 2011;16(3):177-183</w:t>
            </w:r>
          </w:p>
        </w:tc>
        <w:tc>
          <w:tcPr>
            <w:tcW w:w="862" w:type="dxa"/>
            <w:tcBorders>
              <w:top w:val="nil"/>
              <w:left w:val="nil"/>
              <w:bottom w:val="single" w:sz="4" w:space="0" w:color="auto"/>
              <w:right w:val="single" w:sz="4" w:space="0" w:color="auto"/>
            </w:tcBorders>
            <w:shd w:val="clear" w:color="auto" w:fill="auto"/>
            <w:noWrap/>
            <w:vAlign w:val="center"/>
            <w:hideMark/>
          </w:tcPr>
          <w:p w14:paraId="3D92A0A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D29997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FF1DEB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CFA2D4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4A8077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D34024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F483CA7"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014BAADD" w14:textId="77777777" w:rsidR="00E403D6" w:rsidRPr="00F10391" w:rsidRDefault="00E403D6">
            <w:r w:rsidRPr="00F10391">
              <w:t>Not found</w:t>
            </w:r>
          </w:p>
        </w:tc>
      </w:tr>
      <w:tr w:rsidR="00E403D6" w:rsidRPr="00F10391" w14:paraId="3089F11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D8BDF59" w14:textId="77777777" w:rsidR="00E403D6" w:rsidRPr="00F10391" w:rsidRDefault="00E403D6" w:rsidP="0063065F">
            <w:pPr>
              <w:jc w:val="left"/>
            </w:pPr>
            <w:r w:rsidRPr="00F10391">
              <w:t>01/07/11</w:t>
            </w:r>
          </w:p>
        </w:tc>
        <w:tc>
          <w:tcPr>
            <w:tcW w:w="2720" w:type="dxa"/>
            <w:tcBorders>
              <w:top w:val="nil"/>
              <w:left w:val="nil"/>
              <w:bottom w:val="single" w:sz="4" w:space="0" w:color="auto"/>
              <w:right w:val="single" w:sz="4" w:space="0" w:color="auto"/>
            </w:tcBorders>
            <w:shd w:val="clear" w:color="auto" w:fill="auto"/>
            <w:vAlign w:val="center"/>
            <w:hideMark/>
          </w:tcPr>
          <w:p w14:paraId="7A045124" w14:textId="77777777" w:rsidR="00E403D6" w:rsidRPr="00F10391" w:rsidRDefault="00E403D6" w:rsidP="0063065F">
            <w:pPr>
              <w:jc w:val="left"/>
            </w:pPr>
            <w:r w:rsidRPr="00F10391">
              <w:t>A Multiobjective Optimization Framework For Multicontaminant Industrial Water Network Design</w:t>
            </w:r>
          </w:p>
        </w:tc>
        <w:tc>
          <w:tcPr>
            <w:tcW w:w="1985" w:type="dxa"/>
            <w:tcBorders>
              <w:top w:val="nil"/>
              <w:left w:val="nil"/>
              <w:bottom w:val="single" w:sz="4" w:space="0" w:color="auto"/>
              <w:right w:val="single" w:sz="4" w:space="0" w:color="auto"/>
            </w:tcBorders>
            <w:shd w:val="clear" w:color="auto" w:fill="auto"/>
            <w:vAlign w:val="center"/>
            <w:hideMark/>
          </w:tcPr>
          <w:p w14:paraId="12A9BD01" w14:textId="77777777" w:rsidR="00E403D6" w:rsidRPr="00F10391" w:rsidRDefault="00E403D6" w:rsidP="0063065F">
            <w:pPr>
              <w:jc w:val="left"/>
            </w:pPr>
            <w:r w:rsidRPr="00F10391">
              <w:t>Boix, Marianne; Montastruc, Ludovic; Pibouleau, Luc; Azzaro-Pantel, Catherine; Domenech, Serge</w:t>
            </w:r>
          </w:p>
        </w:tc>
        <w:tc>
          <w:tcPr>
            <w:tcW w:w="2078" w:type="dxa"/>
            <w:tcBorders>
              <w:top w:val="nil"/>
              <w:left w:val="nil"/>
              <w:bottom w:val="single" w:sz="4" w:space="0" w:color="auto"/>
              <w:right w:val="single" w:sz="4" w:space="0" w:color="auto"/>
            </w:tcBorders>
            <w:shd w:val="clear" w:color="auto" w:fill="auto"/>
            <w:vAlign w:val="center"/>
            <w:hideMark/>
          </w:tcPr>
          <w:p w14:paraId="14C48AA2" w14:textId="77777777" w:rsidR="00E403D6" w:rsidRPr="00F10391" w:rsidRDefault="00E403D6" w:rsidP="0063065F">
            <w:pPr>
              <w:jc w:val="left"/>
            </w:pPr>
            <w:r w:rsidRPr="00F10391">
              <w:t>Journal Of Environmental Management. 2011;92(7):1802-1808</w:t>
            </w:r>
          </w:p>
        </w:tc>
        <w:tc>
          <w:tcPr>
            <w:tcW w:w="862" w:type="dxa"/>
            <w:tcBorders>
              <w:top w:val="nil"/>
              <w:left w:val="nil"/>
              <w:bottom w:val="single" w:sz="4" w:space="0" w:color="auto"/>
              <w:right w:val="single" w:sz="4" w:space="0" w:color="auto"/>
            </w:tcBorders>
            <w:shd w:val="clear" w:color="auto" w:fill="auto"/>
            <w:noWrap/>
            <w:vAlign w:val="center"/>
            <w:hideMark/>
          </w:tcPr>
          <w:p w14:paraId="5307365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6BC074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67156E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1F1F9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60C285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B738F4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B4D820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782D09D" w14:textId="77777777" w:rsidR="00E403D6" w:rsidRPr="00F10391" w:rsidRDefault="00E403D6">
            <w:r w:rsidRPr="00F10391">
              <w:t>Not found</w:t>
            </w:r>
          </w:p>
        </w:tc>
      </w:tr>
      <w:tr w:rsidR="00E403D6" w:rsidRPr="00F10391" w14:paraId="0088620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F332A9" w14:textId="77777777" w:rsidR="00E403D6" w:rsidRPr="00F10391" w:rsidRDefault="00E403D6" w:rsidP="0063065F">
            <w:pPr>
              <w:jc w:val="left"/>
            </w:pPr>
            <w:r w:rsidRPr="00F10391">
              <w:t>12/07/11</w:t>
            </w:r>
          </w:p>
        </w:tc>
        <w:tc>
          <w:tcPr>
            <w:tcW w:w="2720" w:type="dxa"/>
            <w:tcBorders>
              <w:top w:val="nil"/>
              <w:left w:val="nil"/>
              <w:bottom w:val="single" w:sz="4" w:space="0" w:color="auto"/>
              <w:right w:val="single" w:sz="4" w:space="0" w:color="auto"/>
            </w:tcBorders>
            <w:shd w:val="clear" w:color="auto" w:fill="auto"/>
            <w:vAlign w:val="center"/>
            <w:hideMark/>
          </w:tcPr>
          <w:p w14:paraId="2AEB4A6C" w14:textId="77777777" w:rsidR="00E403D6" w:rsidRPr="00F10391" w:rsidRDefault="00E403D6" w:rsidP="0063065F">
            <w:pPr>
              <w:jc w:val="left"/>
            </w:pPr>
            <w:r w:rsidRPr="00F10391">
              <w:t>Ultra-High Performance Liquid Chromatography-Tandem Mass Spectrometry In High-Throughput Confirmation And Quantification Of 34 Anabolic Steroids In Bovine Muscle.</w:t>
            </w:r>
          </w:p>
        </w:tc>
        <w:tc>
          <w:tcPr>
            <w:tcW w:w="1985" w:type="dxa"/>
            <w:tcBorders>
              <w:top w:val="nil"/>
              <w:left w:val="nil"/>
              <w:bottom w:val="single" w:sz="4" w:space="0" w:color="auto"/>
              <w:right w:val="single" w:sz="4" w:space="0" w:color="auto"/>
            </w:tcBorders>
            <w:shd w:val="clear" w:color="auto" w:fill="auto"/>
            <w:vAlign w:val="center"/>
            <w:hideMark/>
          </w:tcPr>
          <w:p w14:paraId="1F92E096" w14:textId="77777777" w:rsidR="00E403D6" w:rsidRPr="00F10391" w:rsidRDefault="00E403D6" w:rsidP="0063065F">
            <w:pPr>
              <w:jc w:val="left"/>
            </w:pPr>
            <w:r w:rsidRPr="00F10391">
              <w:t>Vanhaecke L, Vanden Bussche J, Wille K, Bekaert K, De Brabander Hf.</w:t>
            </w:r>
          </w:p>
        </w:tc>
        <w:tc>
          <w:tcPr>
            <w:tcW w:w="2078" w:type="dxa"/>
            <w:tcBorders>
              <w:top w:val="nil"/>
              <w:left w:val="nil"/>
              <w:bottom w:val="single" w:sz="4" w:space="0" w:color="auto"/>
              <w:right w:val="single" w:sz="4" w:space="0" w:color="auto"/>
            </w:tcBorders>
            <w:shd w:val="clear" w:color="auto" w:fill="auto"/>
            <w:vAlign w:val="center"/>
            <w:hideMark/>
          </w:tcPr>
          <w:p w14:paraId="60BE9BAE" w14:textId="77777777" w:rsidR="00E403D6" w:rsidRPr="00F10391" w:rsidRDefault="00E403D6" w:rsidP="0063065F">
            <w:pPr>
              <w:jc w:val="left"/>
            </w:pPr>
            <w:r w:rsidRPr="00F10391">
              <w:t>Anal Chim Acta. 2011 Aug 26;700(1-2):70-7. Doi: 10.1016/J.Aca.2010.10.006. Epub 2010 Oct 11.</w:t>
            </w:r>
          </w:p>
        </w:tc>
        <w:tc>
          <w:tcPr>
            <w:tcW w:w="862" w:type="dxa"/>
            <w:tcBorders>
              <w:top w:val="nil"/>
              <w:left w:val="nil"/>
              <w:bottom w:val="single" w:sz="4" w:space="0" w:color="auto"/>
              <w:right w:val="single" w:sz="4" w:space="0" w:color="auto"/>
            </w:tcBorders>
            <w:shd w:val="clear" w:color="auto" w:fill="auto"/>
            <w:noWrap/>
            <w:vAlign w:val="center"/>
            <w:hideMark/>
          </w:tcPr>
          <w:p w14:paraId="0B673D1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29FCE9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7C5168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FEF2B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5B1577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F75C1C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98D78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991FC49" w14:textId="77777777" w:rsidR="00E403D6" w:rsidRPr="00F10391" w:rsidRDefault="00E403D6">
            <w:r w:rsidRPr="00F10391">
              <w:t>Not found</w:t>
            </w:r>
          </w:p>
        </w:tc>
      </w:tr>
      <w:tr w:rsidR="00E403D6" w:rsidRPr="00F10391" w14:paraId="2198C9A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2644EC" w14:textId="77777777" w:rsidR="00E403D6" w:rsidRPr="00F10391" w:rsidRDefault="00E403D6" w:rsidP="0063065F">
            <w:pPr>
              <w:jc w:val="left"/>
            </w:pPr>
            <w:r w:rsidRPr="00F10391">
              <w:t>20/07/11</w:t>
            </w:r>
          </w:p>
        </w:tc>
        <w:tc>
          <w:tcPr>
            <w:tcW w:w="2720" w:type="dxa"/>
            <w:tcBorders>
              <w:top w:val="nil"/>
              <w:left w:val="nil"/>
              <w:bottom w:val="single" w:sz="4" w:space="0" w:color="auto"/>
              <w:right w:val="single" w:sz="4" w:space="0" w:color="auto"/>
            </w:tcBorders>
            <w:shd w:val="clear" w:color="auto" w:fill="auto"/>
            <w:vAlign w:val="center"/>
            <w:hideMark/>
          </w:tcPr>
          <w:p w14:paraId="562ECE0D" w14:textId="77777777" w:rsidR="00E403D6" w:rsidRPr="00F10391" w:rsidRDefault="00E403D6" w:rsidP="0063065F">
            <w:pPr>
              <w:jc w:val="left"/>
            </w:pPr>
            <w:r w:rsidRPr="00F10391">
              <w:t>Integrating Evidence And Individual Preferences Using A Web-Based Multi-Criteria Decision Analytic Tool: An Application To Prostate Cancer Screening.</w:t>
            </w:r>
          </w:p>
        </w:tc>
        <w:tc>
          <w:tcPr>
            <w:tcW w:w="1985" w:type="dxa"/>
            <w:tcBorders>
              <w:top w:val="nil"/>
              <w:left w:val="nil"/>
              <w:bottom w:val="single" w:sz="4" w:space="0" w:color="auto"/>
              <w:right w:val="single" w:sz="4" w:space="0" w:color="auto"/>
            </w:tcBorders>
            <w:shd w:val="clear" w:color="auto" w:fill="auto"/>
            <w:vAlign w:val="center"/>
            <w:hideMark/>
          </w:tcPr>
          <w:p w14:paraId="5CA3B687" w14:textId="77777777" w:rsidR="00E403D6" w:rsidRPr="00F10391" w:rsidRDefault="00E403D6" w:rsidP="0063065F">
            <w:pPr>
              <w:jc w:val="left"/>
            </w:pPr>
            <w:r w:rsidRPr="00F10391">
              <w:t>Cunich M, Salkeld G, Dowie J, Henderson J, Bayram C, Britt H, Howard K.</w:t>
            </w:r>
          </w:p>
        </w:tc>
        <w:tc>
          <w:tcPr>
            <w:tcW w:w="2078" w:type="dxa"/>
            <w:tcBorders>
              <w:top w:val="nil"/>
              <w:left w:val="nil"/>
              <w:bottom w:val="single" w:sz="4" w:space="0" w:color="auto"/>
              <w:right w:val="single" w:sz="4" w:space="0" w:color="auto"/>
            </w:tcBorders>
            <w:shd w:val="clear" w:color="auto" w:fill="auto"/>
            <w:vAlign w:val="center"/>
            <w:hideMark/>
          </w:tcPr>
          <w:p w14:paraId="0F9E4D7C" w14:textId="77777777" w:rsidR="00E403D6" w:rsidRPr="00F10391" w:rsidRDefault="00E403D6" w:rsidP="0063065F">
            <w:pPr>
              <w:jc w:val="left"/>
            </w:pPr>
            <w:r w:rsidRPr="00F10391">
              <w:t>Patient. 2011;4(3):153-62. Doi: 10.2165/11587070-000000000-00000.</w:t>
            </w:r>
          </w:p>
        </w:tc>
        <w:tc>
          <w:tcPr>
            <w:tcW w:w="862" w:type="dxa"/>
            <w:tcBorders>
              <w:top w:val="nil"/>
              <w:left w:val="nil"/>
              <w:bottom w:val="single" w:sz="4" w:space="0" w:color="auto"/>
              <w:right w:val="single" w:sz="4" w:space="0" w:color="auto"/>
            </w:tcBorders>
            <w:shd w:val="clear" w:color="auto" w:fill="auto"/>
            <w:noWrap/>
            <w:vAlign w:val="center"/>
            <w:hideMark/>
          </w:tcPr>
          <w:p w14:paraId="470F4BD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0DE318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71E01F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3F6F3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D99D00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0CE172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D5AE3A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2DC1EDD" w14:textId="77777777" w:rsidR="00E403D6" w:rsidRPr="00F10391" w:rsidRDefault="00E403D6">
            <w:r w:rsidRPr="00F10391">
              <w:t>Not found</w:t>
            </w:r>
          </w:p>
        </w:tc>
      </w:tr>
      <w:tr w:rsidR="00E403D6" w:rsidRPr="00F10391" w14:paraId="570AB5D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D7D8699" w14:textId="77777777" w:rsidR="00E403D6" w:rsidRPr="00F10391" w:rsidRDefault="00E403D6" w:rsidP="0063065F">
            <w:pPr>
              <w:jc w:val="left"/>
            </w:pPr>
            <w:r w:rsidRPr="00F10391">
              <w:t>13/09/11</w:t>
            </w:r>
          </w:p>
        </w:tc>
        <w:tc>
          <w:tcPr>
            <w:tcW w:w="2720" w:type="dxa"/>
            <w:tcBorders>
              <w:top w:val="nil"/>
              <w:left w:val="nil"/>
              <w:bottom w:val="single" w:sz="4" w:space="0" w:color="auto"/>
              <w:right w:val="single" w:sz="4" w:space="0" w:color="auto"/>
            </w:tcBorders>
            <w:shd w:val="clear" w:color="auto" w:fill="auto"/>
            <w:vAlign w:val="center"/>
            <w:hideMark/>
          </w:tcPr>
          <w:p w14:paraId="53A1A7D9" w14:textId="77777777" w:rsidR="00E403D6" w:rsidRPr="00F10391" w:rsidRDefault="00E403D6" w:rsidP="0063065F">
            <w:pPr>
              <w:jc w:val="left"/>
            </w:pPr>
            <w:r w:rsidRPr="00F10391">
              <w:t>Validation Of A Multi-Residue Enzyme-Linked Immunosorbent Assay For Qualitative Screening Of Corticosteroids In Liver, Urine And Milk.</w:t>
            </w:r>
          </w:p>
        </w:tc>
        <w:tc>
          <w:tcPr>
            <w:tcW w:w="1985" w:type="dxa"/>
            <w:tcBorders>
              <w:top w:val="nil"/>
              <w:left w:val="nil"/>
              <w:bottom w:val="single" w:sz="4" w:space="0" w:color="auto"/>
              <w:right w:val="single" w:sz="4" w:space="0" w:color="auto"/>
            </w:tcBorders>
            <w:shd w:val="clear" w:color="auto" w:fill="auto"/>
            <w:vAlign w:val="center"/>
            <w:hideMark/>
          </w:tcPr>
          <w:p w14:paraId="7BB10ADE" w14:textId="77777777" w:rsidR="00E403D6" w:rsidRPr="005D7324" w:rsidRDefault="00E403D6" w:rsidP="0063065F">
            <w:pPr>
              <w:jc w:val="left"/>
            </w:pPr>
            <w:r w:rsidRPr="005D7324">
              <w:t>Kolanoviñ_ Bs, Biland</w:t>
            </w:r>
            <w:r w:rsidRPr="00F10391">
              <w:t></w:t>
            </w:r>
            <w:r w:rsidRPr="005D7324">
              <w:t>_Iñ_ N, Varenina I.</w:t>
            </w:r>
          </w:p>
        </w:tc>
        <w:tc>
          <w:tcPr>
            <w:tcW w:w="2078" w:type="dxa"/>
            <w:tcBorders>
              <w:top w:val="nil"/>
              <w:left w:val="nil"/>
              <w:bottom w:val="single" w:sz="4" w:space="0" w:color="auto"/>
              <w:right w:val="single" w:sz="4" w:space="0" w:color="auto"/>
            </w:tcBorders>
            <w:shd w:val="clear" w:color="auto" w:fill="auto"/>
            <w:vAlign w:val="center"/>
            <w:hideMark/>
          </w:tcPr>
          <w:p w14:paraId="51FADB16" w14:textId="77777777" w:rsidR="00E403D6" w:rsidRPr="00F10391" w:rsidRDefault="00E403D6" w:rsidP="0063065F">
            <w:pPr>
              <w:jc w:val="left"/>
            </w:pPr>
            <w:r w:rsidRPr="00F10391">
              <w:t>Food Addit Contam Part A Chem Anal Control Expo Risk Assess. 2011 Sep;28(9):1175-86. Doi: 10.1080/19440049.2011.580457. Epub 2011 Jun 22.</w:t>
            </w:r>
          </w:p>
        </w:tc>
        <w:tc>
          <w:tcPr>
            <w:tcW w:w="862" w:type="dxa"/>
            <w:tcBorders>
              <w:top w:val="nil"/>
              <w:left w:val="nil"/>
              <w:bottom w:val="single" w:sz="4" w:space="0" w:color="auto"/>
              <w:right w:val="single" w:sz="4" w:space="0" w:color="auto"/>
            </w:tcBorders>
            <w:shd w:val="clear" w:color="auto" w:fill="auto"/>
            <w:noWrap/>
            <w:vAlign w:val="center"/>
            <w:hideMark/>
          </w:tcPr>
          <w:p w14:paraId="1FB3BF5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DBF8EF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8DBB1C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F41082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E26B4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539611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54ED6D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C940EDA" w14:textId="77777777" w:rsidR="00E403D6" w:rsidRPr="00F10391" w:rsidRDefault="00E403D6">
            <w:r w:rsidRPr="00F10391">
              <w:t>Not found</w:t>
            </w:r>
          </w:p>
        </w:tc>
      </w:tr>
      <w:tr w:rsidR="00E403D6" w:rsidRPr="00F10391" w14:paraId="6ECE2BE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0EF8BB8" w14:textId="77777777" w:rsidR="00E403D6" w:rsidRPr="00F10391" w:rsidRDefault="00E403D6" w:rsidP="0063065F">
            <w:pPr>
              <w:jc w:val="left"/>
            </w:pPr>
            <w:r w:rsidRPr="00F10391">
              <w:t>21/09/11</w:t>
            </w:r>
          </w:p>
        </w:tc>
        <w:tc>
          <w:tcPr>
            <w:tcW w:w="2720" w:type="dxa"/>
            <w:tcBorders>
              <w:top w:val="nil"/>
              <w:left w:val="nil"/>
              <w:bottom w:val="single" w:sz="4" w:space="0" w:color="auto"/>
              <w:right w:val="single" w:sz="4" w:space="0" w:color="auto"/>
            </w:tcBorders>
            <w:shd w:val="clear" w:color="auto" w:fill="auto"/>
            <w:vAlign w:val="center"/>
            <w:hideMark/>
          </w:tcPr>
          <w:p w14:paraId="10CFE0AC" w14:textId="77777777" w:rsidR="00E403D6" w:rsidRPr="00F10391" w:rsidRDefault="00E403D6" w:rsidP="0063065F">
            <w:pPr>
              <w:jc w:val="left"/>
            </w:pPr>
            <w:r w:rsidRPr="00F10391">
              <w:t>Mathematical Models For The Study Of Hiv Spread And Control Amongst Men Who Have Sex With Men.</w:t>
            </w:r>
          </w:p>
        </w:tc>
        <w:tc>
          <w:tcPr>
            <w:tcW w:w="1985" w:type="dxa"/>
            <w:tcBorders>
              <w:top w:val="nil"/>
              <w:left w:val="nil"/>
              <w:bottom w:val="single" w:sz="4" w:space="0" w:color="auto"/>
              <w:right w:val="single" w:sz="4" w:space="0" w:color="auto"/>
            </w:tcBorders>
            <w:shd w:val="clear" w:color="auto" w:fill="auto"/>
            <w:vAlign w:val="center"/>
            <w:hideMark/>
          </w:tcPr>
          <w:p w14:paraId="11EADD43" w14:textId="77777777" w:rsidR="00E403D6" w:rsidRPr="005D7324" w:rsidRDefault="00E403D6" w:rsidP="0063065F">
            <w:pPr>
              <w:jc w:val="left"/>
            </w:pPr>
            <w:r w:rsidRPr="005D7324">
              <w:t>Punyacharoensin N, Edmunds Wj, De Angelis D, White Rg.</w:t>
            </w:r>
          </w:p>
        </w:tc>
        <w:tc>
          <w:tcPr>
            <w:tcW w:w="2078" w:type="dxa"/>
            <w:tcBorders>
              <w:top w:val="nil"/>
              <w:left w:val="nil"/>
              <w:bottom w:val="single" w:sz="4" w:space="0" w:color="auto"/>
              <w:right w:val="single" w:sz="4" w:space="0" w:color="auto"/>
            </w:tcBorders>
            <w:shd w:val="clear" w:color="auto" w:fill="auto"/>
            <w:vAlign w:val="center"/>
            <w:hideMark/>
          </w:tcPr>
          <w:p w14:paraId="7A36FE58" w14:textId="77777777" w:rsidR="00E403D6" w:rsidRPr="00F10391" w:rsidRDefault="00E403D6" w:rsidP="0063065F">
            <w:pPr>
              <w:jc w:val="left"/>
            </w:pPr>
            <w:r w:rsidRPr="00F10391">
              <w:t>Eur J Epidemiol. 2011 Sep;26(9):695-709. Doi: 10.1007/S10654-011-9614-1. Epub 2011 Sep 20. Review.</w:t>
            </w:r>
          </w:p>
        </w:tc>
        <w:tc>
          <w:tcPr>
            <w:tcW w:w="862" w:type="dxa"/>
            <w:tcBorders>
              <w:top w:val="nil"/>
              <w:left w:val="nil"/>
              <w:bottom w:val="single" w:sz="4" w:space="0" w:color="auto"/>
              <w:right w:val="single" w:sz="4" w:space="0" w:color="auto"/>
            </w:tcBorders>
            <w:shd w:val="clear" w:color="auto" w:fill="auto"/>
            <w:noWrap/>
            <w:vAlign w:val="center"/>
            <w:hideMark/>
          </w:tcPr>
          <w:p w14:paraId="2AC8803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8EB766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2A1EA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E64F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8588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9C9889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3892A2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022B6DE" w14:textId="77777777" w:rsidR="00E403D6" w:rsidRPr="00F10391" w:rsidRDefault="00E403D6">
            <w:r w:rsidRPr="00F10391">
              <w:t>Not found</w:t>
            </w:r>
          </w:p>
        </w:tc>
      </w:tr>
      <w:tr w:rsidR="00E403D6" w:rsidRPr="00F10391" w14:paraId="5BA8ADF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67815A9" w14:textId="77777777" w:rsidR="00E403D6" w:rsidRPr="00F10391" w:rsidRDefault="00E403D6" w:rsidP="0063065F">
            <w:pPr>
              <w:jc w:val="left"/>
            </w:pPr>
            <w:r w:rsidRPr="00F10391">
              <w:t>27/10/11</w:t>
            </w:r>
          </w:p>
        </w:tc>
        <w:tc>
          <w:tcPr>
            <w:tcW w:w="2720" w:type="dxa"/>
            <w:tcBorders>
              <w:top w:val="nil"/>
              <w:left w:val="nil"/>
              <w:bottom w:val="single" w:sz="4" w:space="0" w:color="auto"/>
              <w:right w:val="single" w:sz="4" w:space="0" w:color="auto"/>
            </w:tcBorders>
            <w:shd w:val="clear" w:color="auto" w:fill="auto"/>
            <w:vAlign w:val="center"/>
            <w:hideMark/>
          </w:tcPr>
          <w:p w14:paraId="77E3EA41" w14:textId="77777777" w:rsidR="00E403D6" w:rsidRPr="00F10391" w:rsidRDefault="00E403D6" w:rsidP="0063065F">
            <w:pPr>
              <w:jc w:val="left"/>
            </w:pPr>
            <w:r w:rsidRPr="00F10391">
              <w:t>Strengthening Evidence-Based Decision-Making: Is It Possible Without Improving Health System Stewardship?</w:t>
            </w:r>
          </w:p>
        </w:tc>
        <w:tc>
          <w:tcPr>
            <w:tcW w:w="1985" w:type="dxa"/>
            <w:tcBorders>
              <w:top w:val="nil"/>
              <w:left w:val="nil"/>
              <w:bottom w:val="single" w:sz="4" w:space="0" w:color="auto"/>
              <w:right w:val="single" w:sz="4" w:space="0" w:color="auto"/>
            </w:tcBorders>
            <w:shd w:val="clear" w:color="auto" w:fill="auto"/>
            <w:vAlign w:val="center"/>
            <w:hideMark/>
          </w:tcPr>
          <w:p w14:paraId="7D9EB52C" w14:textId="77777777" w:rsidR="00E403D6" w:rsidRPr="00F10391" w:rsidRDefault="00E403D6" w:rsidP="0063065F">
            <w:pPr>
              <w:jc w:val="left"/>
            </w:pPr>
            <w:r w:rsidRPr="00F10391">
              <w:t>Majdzadeh R, Yazdizadeh B, Nedjat S, Gholami J, Ahghari S.</w:t>
            </w:r>
          </w:p>
        </w:tc>
        <w:tc>
          <w:tcPr>
            <w:tcW w:w="2078" w:type="dxa"/>
            <w:tcBorders>
              <w:top w:val="nil"/>
              <w:left w:val="nil"/>
              <w:bottom w:val="single" w:sz="4" w:space="0" w:color="auto"/>
              <w:right w:val="single" w:sz="4" w:space="0" w:color="auto"/>
            </w:tcBorders>
            <w:shd w:val="clear" w:color="auto" w:fill="auto"/>
            <w:vAlign w:val="center"/>
            <w:hideMark/>
          </w:tcPr>
          <w:p w14:paraId="4C995909" w14:textId="77777777" w:rsidR="00E403D6" w:rsidRPr="00F10391" w:rsidRDefault="00E403D6" w:rsidP="0063065F">
            <w:pPr>
              <w:jc w:val="left"/>
            </w:pPr>
            <w:r w:rsidRPr="00F10391">
              <w:t>Health Policy Plan. 2012 Sep;27(6):499-504. Doi: 10.1093/Heapol/Czr072. Epub 2011 Oct 25.</w:t>
            </w:r>
          </w:p>
        </w:tc>
        <w:tc>
          <w:tcPr>
            <w:tcW w:w="862" w:type="dxa"/>
            <w:tcBorders>
              <w:top w:val="nil"/>
              <w:left w:val="nil"/>
              <w:bottom w:val="single" w:sz="4" w:space="0" w:color="auto"/>
              <w:right w:val="single" w:sz="4" w:space="0" w:color="auto"/>
            </w:tcBorders>
            <w:shd w:val="clear" w:color="auto" w:fill="auto"/>
            <w:noWrap/>
            <w:vAlign w:val="center"/>
            <w:hideMark/>
          </w:tcPr>
          <w:p w14:paraId="31F9987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F5A0FA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D17430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73105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47180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70808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FFB4A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9C23CF0" w14:textId="77777777" w:rsidR="00E403D6" w:rsidRPr="00F10391" w:rsidRDefault="00E403D6">
            <w:r w:rsidRPr="00F10391">
              <w:t>Not found</w:t>
            </w:r>
          </w:p>
        </w:tc>
      </w:tr>
      <w:tr w:rsidR="00E403D6" w:rsidRPr="00F10391" w14:paraId="5967537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12689FC" w14:textId="77777777" w:rsidR="00E403D6" w:rsidRPr="00F10391" w:rsidRDefault="00E403D6" w:rsidP="0063065F">
            <w:pPr>
              <w:jc w:val="left"/>
            </w:pPr>
            <w:r w:rsidRPr="00F10391">
              <w:t>01/11/11</w:t>
            </w:r>
          </w:p>
        </w:tc>
        <w:tc>
          <w:tcPr>
            <w:tcW w:w="2720" w:type="dxa"/>
            <w:tcBorders>
              <w:top w:val="nil"/>
              <w:left w:val="nil"/>
              <w:bottom w:val="single" w:sz="4" w:space="0" w:color="auto"/>
              <w:right w:val="single" w:sz="4" w:space="0" w:color="auto"/>
            </w:tcBorders>
            <w:shd w:val="clear" w:color="auto" w:fill="auto"/>
            <w:vAlign w:val="center"/>
            <w:hideMark/>
          </w:tcPr>
          <w:p w14:paraId="6E887DA8" w14:textId="77777777" w:rsidR="00E403D6" w:rsidRPr="00F10391" w:rsidRDefault="00E403D6" w:rsidP="0063065F">
            <w:pPr>
              <w:jc w:val="left"/>
            </w:pPr>
            <w:r w:rsidRPr="00F10391">
              <w:t>Regional Risk Assessment For Contaminated Sites Part 1: Vulnerability Assessment By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054992A4" w14:textId="77777777" w:rsidR="00E403D6" w:rsidRPr="005D7324" w:rsidRDefault="00E403D6" w:rsidP="0063065F">
            <w:pPr>
              <w:jc w:val="left"/>
            </w:pPr>
            <w:r w:rsidRPr="005D7324">
              <w:t>Zabeo, A.; Pizzol, L.; Agostini, P.; Critto, A.; Giove, S.; Marcomini, A.</w:t>
            </w:r>
          </w:p>
        </w:tc>
        <w:tc>
          <w:tcPr>
            <w:tcW w:w="2078" w:type="dxa"/>
            <w:tcBorders>
              <w:top w:val="nil"/>
              <w:left w:val="nil"/>
              <w:bottom w:val="single" w:sz="4" w:space="0" w:color="auto"/>
              <w:right w:val="single" w:sz="4" w:space="0" w:color="auto"/>
            </w:tcBorders>
            <w:shd w:val="clear" w:color="auto" w:fill="auto"/>
            <w:vAlign w:val="center"/>
            <w:hideMark/>
          </w:tcPr>
          <w:p w14:paraId="728B53C0" w14:textId="77777777" w:rsidR="00E403D6" w:rsidRPr="00F10391" w:rsidRDefault="00E403D6" w:rsidP="0063065F">
            <w:pPr>
              <w:jc w:val="left"/>
            </w:pPr>
            <w:r w:rsidRPr="00F10391">
              <w:t>Environment International. 2011;37(8):1295-1306</w:t>
            </w:r>
          </w:p>
        </w:tc>
        <w:tc>
          <w:tcPr>
            <w:tcW w:w="862" w:type="dxa"/>
            <w:tcBorders>
              <w:top w:val="nil"/>
              <w:left w:val="nil"/>
              <w:bottom w:val="single" w:sz="4" w:space="0" w:color="auto"/>
              <w:right w:val="single" w:sz="4" w:space="0" w:color="auto"/>
            </w:tcBorders>
            <w:shd w:val="clear" w:color="auto" w:fill="auto"/>
            <w:noWrap/>
            <w:vAlign w:val="center"/>
            <w:hideMark/>
          </w:tcPr>
          <w:p w14:paraId="6618D31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1676B1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783C7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5993A3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5A500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DBC06E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161FC9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7245F42" w14:textId="77777777" w:rsidR="00E403D6" w:rsidRPr="00F10391" w:rsidRDefault="00E403D6">
            <w:r w:rsidRPr="00F10391">
              <w:t>Not found</w:t>
            </w:r>
          </w:p>
        </w:tc>
      </w:tr>
      <w:tr w:rsidR="00E403D6" w:rsidRPr="00F10391" w14:paraId="27EE9D8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FA2365" w14:textId="77777777" w:rsidR="00E403D6" w:rsidRPr="00F10391" w:rsidRDefault="00E403D6" w:rsidP="0063065F">
            <w:pPr>
              <w:jc w:val="left"/>
            </w:pPr>
            <w:r w:rsidRPr="00F10391">
              <w:t>25/11/11</w:t>
            </w:r>
          </w:p>
        </w:tc>
        <w:tc>
          <w:tcPr>
            <w:tcW w:w="2720" w:type="dxa"/>
            <w:tcBorders>
              <w:top w:val="nil"/>
              <w:left w:val="nil"/>
              <w:bottom w:val="single" w:sz="4" w:space="0" w:color="auto"/>
              <w:right w:val="single" w:sz="4" w:space="0" w:color="auto"/>
            </w:tcBorders>
            <w:shd w:val="clear" w:color="auto" w:fill="auto"/>
            <w:vAlign w:val="center"/>
            <w:hideMark/>
          </w:tcPr>
          <w:p w14:paraId="762CBCBE" w14:textId="77777777" w:rsidR="00E403D6" w:rsidRPr="00F10391" w:rsidRDefault="00E403D6" w:rsidP="0063065F">
            <w:pPr>
              <w:jc w:val="left"/>
            </w:pPr>
            <w:r w:rsidRPr="00F10391">
              <w:t>An Equity-Effectiveness Framework Linking Health Programs And Healthy Life Expectancy.</w:t>
            </w:r>
          </w:p>
        </w:tc>
        <w:tc>
          <w:tcPr>
            <w:tcW w:w="1985" w:type="dxa"/>
            <w:tcBorders>
              <w:top w:val="nil"/>
              <w:left w:val="nil"/>
              <w:bottom w:val="single" w:sz="4" w:space="0" w:color="auto"/>
              <w:right w:val="single" w:sz="4" w:space="0" w:color="auto"/>
            </w:tcBorders>
            <w:shd w:val="clear" w:color="auto" w:fill="auto"/>
            <w:vAlign w:val="center"/>
            <w:hideMark/>
          </w:tcPr>
          <w:p w14:paraId="2D51CA53" w14:textId="77777777" w:rsidR="00E403D6" w:rsidRPr="00F10391" w:rsidRDefault="00E403D6" w:rsidP="0063065F">
            <w:pPr>
              <w:jc w:val="left"/>
            </w:pPr>
            <w:r w:rsidRPr="00F10391">
              <w:t>Banham D, Lynch J, Karnon J.</w:t>
            </w:r>
          </w:p>
        </w:tc>
        <w:tc>
          <w:tcPr>
            <w:tcW w:w="2078" w:type="dxa"/>
            <w:tcBorders>
              <w:top w:val="nil"/>
              <w:left w:val="nil"/>
              <w:bottom w:val="single" w:sz="4" w:space="0" w:color="auto"/>
              <w:right w:val="single" w:sz="4" w:space="0" w:color="auto"/>
            </w:tcBorders>
            <w:shd w:val="clear" w:color="auto" w:fill="auto"/>
            <w:vAlign w:val="center"/>
            <w:hideMark/>
          </w:tcPr>
          <w:p w14:paraId="35CB8B06" w14:textId="77777777" w:rsidR="00E403D6" w:rsidRPr="00F10391" w:rsidRDefault="00E403D6" w:rsidP="0063065F">
            <w:pPr>
              <w:jc w:val="left"/>
            </w:pPr>
            <w:r w:rsidRPr="00F10391">
              <w:t>Aust J Prim Health. 2011;17(4):309-19. Doi: 10.1071/Py11034.</w:t>
            </w:r>
          </w:p>
        </w:tc>
        <w:tc>
          <w:tcPr>
            <w:tcW w:w="862" w:type="dxa"/>
            <w:tcBorders>
              <w:top w:val="nil"/>
              <w:left w:val="nil"/>
              <w:bottom w:val="single" w:sz="4" w:space="0" w:color="auto"/>
              <w:right w:val="single" w:sz="4" w:space="0" w:color="auto"/>
            </w:tcBorders>
            <w:shd w:val="clear" w:color="auto" w:fill="auto"/>
            <w:noWrap/>
            <w:vAlign w:val="center"/>
            <w:hideMark/>
          </w:tcPr>
          <w:p w14:paraId="5CA139D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0351D6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0B62E5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1CC0B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219B85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C0FB8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97F414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1F89165" w14:textId="77777777" w:rsidR="00E403D6" w:rsidRPr="00F10391" w:rsidRDefault="00E403D6">
            <w:r w:rsidRPr="00F10391">
              <w:t>Not found</w:t>
            </w:r>
          </w:p>
        </w:tc>
      </w:tr>
      <w:tr w:rsidR="00E403D6" w:rsidRPr="00F10391" w14:paraId="21321E3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81EACC6" w14:textId="77777777" w:rsidR="00E403D6" w:rsidRPr="00F10391" w:rsidRDefault="00E403D6" w:rsidP="0063065F">
            <w:pPr>
              <w:jc w:val="left"/>
            </w:pPr>
            <w:r w:rsidRPr="00F10391">
              <w:t>02/12/11</w:t>
            </w:r>
          </w:p>
        </w:tc>
        <w:tc>
          <w:tcPr>
            <w:tcW w:w="2720" w:type="dxa"/>
            <w:tcBorders>
              <w:top w:val="nil"/>
              <w:left w:val="nil"/>
              <w:bottom w:val="single" w:sz="4" w:space="0" w:color="auto"/>
              <w:right w:val="single" w:sz="4" w:space="0" w:color="auto"/>
            </w:tcBorders>
            <w:shd w:val="clear" w:color="auto" w:fill="auto"/>
            <w:vAlign w:val="center"/>
            <w:hideMark/>
          </w:tcPr>
          <w:p w14:paraId="1BD6E227" w14:textId="77777777" w:rsidR="00E403D6" w:rsidRPr="00F10391" w:rsidRDefault="00E403D6" w:rsidP="0063065F">
            <w:pPr>
              <w:jc w:val="left"/>
            </w:pPr>
            <w:r w:rsidRPr="00F10391">
              <w:t>System Tools For System Change.</w:t>
            </w:r>
          </w:p>
        </w:tc>
        <w:tc>
          <w:tcPr>
            <w:tcW w:w="1985" w:type="dxa"/>
            <w:tcBorders>
              <w:top w:val="nil"/>
              <w:left w:val="nil"/>
              <w:bottom w:val="single" w:sz="4" w:space="0" w:color="auto"/>
              <w:right w:val="single" w:sz="4" w:space="0" w:color="auto"/>
            </w:tcBorders>
            <w:shd w:val="clear" w:color="auto" w:fill="auto"/>
            <w:vAlign w:val="center"/>
            <w:hideMark/>
          </w:tcPr>
          <w:p w14:paraId="1DAEAAD1" w14:textId="77777777" w:rsidR="00E403D6" w:rsidRPr="00F10391" w:rsidRDefault="00E403D6" w:rsidP="0063065F">
            <w:pPr>
              <w:jc w:val="left"/>
            </w:pPr>
            <w:r w:rsidRPr="00F10391">
              <w:t>Willis Cd, Mitton C, Gordon J, Best A.</w:t>
            </w:r>
          </w:p>
        </w:tc>
        <w:tc>
          <w:tcPr>
            <w:tcW w:w="2078" w:type="dxa"/>
            <w:tcBorders>
              <w:top w:val="nil"/>
              <w:left w:val="nil"/>
              <w:bottom w:val="single" w:sz="4" w:space="0" w:color="auto"/>
              <w:right w:val="single" w:sz="4" w:space="0" w:color="auto"/>
            </w:tcBorders>
            <w:shd w:val="clear" w:color="auto" w:fill="auto"/>
            <w:vAlign w:val="center"/>
            <w:hideMark/>
          </w:tcPr>
          <w:p w14:paraId="50DBD3B0" w14:textId="77777777" w:rsidR="00E403D6" w:rsidRPr="00F10391" w:rsidRDefault="00E403D6" w:rsidP="0063065F">
            <w:pPr>
              <w:jc w:val="left"/>
            </w:pPr>
            <w:r w:rsidRPr="00F10391">
              <w:t>Bmj Qual Saf. 2012 Mar;21(3):250-62. Doi: 10.1136/Bmjqs-2011-000482. Epub 2011 Nov 30.</w:t>
            </w:r>
          </w:p>
        </w:tc>
        <w:tc>
          <w:tcPr>
            <w:tcW w:w="862" w:type="dxa"/>
            <w:tcBorders>
              <w:top w:val="nil"/>
              <w:left w:val="nil"/>
              <w:bottom w:val="single" w:sz="4" w:space="0" w:color="auto"/>
              <w:right w:val="single" w:sz="4" w:space="0" w:color="auto"/>
            </w:tcBorders>
            <w:shd w:val="clear" w:color="auto" w:fill="auto"/>
            <w:noWrap/>
            <w:vAlign w:val="center"/>
            <w:hideMark/>
          </w:tcPr>
          <w:p w14:paraId="1C54F6E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28FFDD1"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908F9D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866834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FC8270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C8DC2E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57C15A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458794C" w14:textId="77777777" w:rsidR="00E403D6" w:rsidRPr="00F10391" w:rsidRDefault="00E403D6">
            <w:r w:rsidRPr="00F10391">
              <w:t>Not found</w:t>
            </w:r>
          </w:p>
        </w:tc>
      </w:tr>
      <w:tr w:rsidR="00E403D6" w:rsidRPr="00F10391" w14:paraId="7049F86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ABE1A5F" w14:textId="77777777" w:rsidR="00E403D6" w:rsidRPr="00F10391" w:rsidRDefault="00E403D6" w:rsidP="0063065F">
            <w:pPr>
              <w:jc w:val="left"/>
            </w:pPr>
            <w:r w:rsidRPr="00F10391">
              <w:t>29/12/11</w:t>
            </w:r>
          </w:p>
        </w:tc>
        <w:tc>
          <w:tcPr>
            <w:tcW w:w="2720" w:type="dxa"/>
            <w:tcBorders>
              <w:top w:val="nil"/>
              <w:left w:val="nil"/>
              <w:bottom w:val="single" w:sz="4" w:space="0" w:color="auto"/>
              <w:right w:val="single" w:sz="4" w:space="0" w:color="auto"/>
            </w:tcBorders>
            <w:shd w:val="clear" w:color="auto" w:fill="auto"/>
            <w:vAlign w:val="center"/>
            <w:hideMark/>
          </w:tcPr>
          <w:p w14:paraId="0A0661B1" w14:textId="77777777" w:rsidR="00E403D6" w:rsidRPr="00F10391" w:rsidRDefault="00E403D6" w:rsidP="0063065F">
            <w:pPr>
              <w:jc w:val="left"/>
            </w:pPr>
            <w:r w:rsidRPr="00F10391">
              <w:t>Spatially Explicit Multi-Criteria Decision Analysis For Managing Vector-Borne Diseases</w:t>
            </w:r>
          </w:p>
        </w:tc>
        <w:tc>
          <w:tcPr>
            <w:tcW w:w="1985" w:type="dxa"/>
            <w:tcBorders>
              <w:top w:val="nil"/>
              <w:left w:val="nil"/>
              <w:bottom w:val="single" w:sz="4" w:space="0" w:color="auto"/>
              <w:right w:val="single" w:sz="4" w:space="0" w:color="auto"/>
            </w:tcBorders>
            <w:shd w:val="clear" w:color="auto" w:fill="auto"/>
            <w:vAlign w:val="center"/>
            <w:hideMark/>
          </w:tcPr>
          <w:p w14:paraId="31DE791A" w14:textId="77777777" w:rsidR="00E403D6" w:rsidRPr="00F10391" w:rsidRDefault="00E403D6" w:rsidP="0063065F">
            <w:pPr>
              <w:jc w:val="left"/>
            </w:pPr>
            <w:r w:rsidRPr="00F10391">
              <w:t>Hongoh, Valerie; Hoen, Anne Gatewood; Aenishaenslin, Cecile; Waaub, Jean-Philippe; Belanger, Denise; Michel, Pascal</w:t>
            </w:r>
          </w:p>
        </w:tc>
        <w:tc>
          <w:tcPr>
            <w:tcW w:w="2078" w:type="dxa"/>
            <w:tcBorders>
              <w:top w:val="nil"/>
              <w:left w:val="nil"/>
              <w:bottom w:val="single" w:sz="4" w:space="0" w:color="auto"/>
              <w:right w:val="single" w:sz="4" w:space="0" w:color="auto"/>
            </w:tcBorders>
            <w:shd w:val="clear" w:color="auto" w:fill="auto"/>
            <w:vAlign w:val="center"/>
            <w:hideMark/>
          </w:tcPr>
          <w:p w14:paraId="3ED89DF5" w14:textId="77777777" w:rsidR="00E403D6" w:rsidRPr="00F10391" w:rsidRDefault="00E403D6" w:rsidP="0063065F">
            <w:pPr>
              <w:jc w:val="left"/>
            </w:pPr>
            <w:r w:rsidRPr="00F10391">
              <w:t>International Journal Of Health Geographics. 2011;10():-</w:t>
            </w:r>
          </w:p>
        </w:tc>
        <w:tc>
          <w:tcPr>
            <w:tcW w:w="862" w:type="dxa"/>
            <w:tcBorders>
              <w:top w:val="nil"/>
              <w:left w:val="nil"/>
              <w:bottom w:val="single" w:sz="4" w:space="0" w:color="auto"/>
              <w:right w:val="single" w:sz="4" w:space="0" w:color="auto"/>
            </w:tcBorders>
            <w:shd w:val="clear" w:color="auto" w:fill="auto"/>
            <w:noWrap/>
            <w:vAlign w:val="center"/>
            <w:hideMark/>
          </w:tcPr>
          <w:p w14:paraId="17308CB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C93BBC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A976C9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E2E295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F4967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3D455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69A3362"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74B21E86" w14:textId="77777777" w:rsidR="00E403D6" w:rsidRPr="00F10391" w:rsidRDefault="00E403D6">
            <w:r w:rsidRPr="00F10391">
              <w:t>Not found</w:t>
            </w:r>
          </w:p>
        </w:tc>
      </w:tr>
      <w:tr w:rsidR="00E403D6" w:rsidRPr="00F10391" w14:paraId="11A9468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0CBA630" w14:textId="77777777" w:rsidR="00E403D6" w:rsidRPr="00F10391" w:rsidRDefault="00E403D6" w:rsidP="0063065F">
            <w:pPr>
              <w:jc w:val="left"/>
            </w:pPr>
            <w:r w:rsidRPr="00F10391">
              <w:t>31/12/11</w:t>
            </w:r>
          </w:p>
        </w:tc>
        <w:tc>
          <w:tcPr>
            <w:tcW w:w="2720" w:type="dxa"/>
            <w:tcBorders>
              <w:top w:val="nil"/>
              <w:left w:val="nil"/>
              <w:bottom w:val="single" w:sz="4" w:space="0" w:color="auto"/>
              <w:right w:val="single" w:sz="4" w:space="0" w:color="auto"/>
            </w:tcBorders>
            <w:shd w:val="clear" w:color="auto" w:fill="auto"/>
            <w:vAlign w:val="center"/>
            <w:hideMark/>
          </w:tcPr>
          <w:p w14:paraId="7FB37BBD" w14:textId="77777777" w:rsidR="00E403D6" w:rsidRPr="00F10391" w:rsidRDefault="00E403D6" w:rsidP="0063065F">
            <w:pPr>
              <w:jc w:val="left"/>
            </w:pPr>
            <w:r w:rsidRPr="00F10391">
              <w:t>Spatially Explicit Multi-Criteria Decision Analysis For Managing Vector-Borne Diseases.</w:t>
            </w:r>
          </w:p>
        </w:tc>
        <w:tc>
          <w:tcPr>
            <w:tcW w:w="1985" w:type="dxa"/>
            <w:tcBorders>
              <w:top w:val="nil"/>
              <w:left w:val="nil"/>
              <w:bottom w:val="single" w:sz="4" w:space="0" w:color="auto"/>
              <w:right w:val="single" w:sz="4" w:space="0" w:color="auto"/>
            </w:tcBorders>
            <w:shd w:val="clear" w:color="auto" w:fill="auto"/>
            <w:vAlign w:val="center"/>
            <w:hideMark/>
          </w:tcPr>
          <w:p w14:paraId="239F0EFA" w14:textId="77777777" w:rsidR="00E403D6" w:rsidRPr="00F10391" w:rsidRDefault="00E403D6" w:rsidP="0063065F">
            <w:pPr>
              <w:jc w:val="left"/>
            </w:pPr>
            <w:r w:rsidRPr="00F10391">
              <w:t>Hongoh V, Hoen Ag, Aenishaenslin C, Waaub Jp, Bí©Langer D, Michel P; Lyme-Mcda Consortium.</w:t>
            </w:r>
          </w:p>
        </w:tc>
        <w:tc>
          <w:tcPr>
            <w:tcW w:w="2078" w:type="dxa"/>
            <w:tcBorders>
              <w:top w:val="nil"/>
              <w:left w:val="nil"/>
              <w:bottom w:val="single" w:sz="4" w:space="0" w:color="auto"/>
              <w:right w:val="single" w:sz="4" w:space="0" w:color="auto"/>
            </w:tcBorders>
            <w:shd w:val="clear" w:color="auto" w:fill="auto"/>
            <w:vAlign w:val="center"/>
            <w:hideMark/>
          </w:tcPr>
          <w:p w14:paraId="280E567A" w14:textId="77777777" w:rsidR="00E403D6" w:rsidRPr="00F10391" w:rsidRDefault="00E403D6" w:rsidP="0063065F">
            <w:pPr>
              <w:jc w:val="left"/>
            </w:pPr>
            <w:r w:rsidRPr="00F10391">
              <w:t>Int J Health Geogr. 2011 Dec 29;10:70. Doi: 10.1186/1476-072X-10-70. Review.</w:t>
            </w:r>
          </w:p>
        </w:tc>
        <w:tc>
          <w:tcPr>
            <w:tcW w:w="862" w:type="dxa"/>
            <w:tcBorders>
              <w:top w:val="nil"/>
              <w:left w:val="nil"/>
              <w:bottom w:val="single" w:sz="4" w:space="0" w:color="auto"/>
              <w:right w:val="single" w:sz="4" w:space="0" w:color="auto"/>
            </w:tcBorders>
            <w:shd w:val="clear" w:color="auto" w:fill="auto"/>
            <w:noWrap/>
            <w:vAlign w:val="center"/>
            <w:hideMark/>
          </w:tcPr>
          <w:p w14:paraId="49184F0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49B942F"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1F90991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94E65F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FAAA7A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0EF3D6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512D8E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F170860" w14:textId="77777777" w:rsidR="00E403D6" w:rsidRPr="00F10391" w:rsidRDefault="00E403D6">
            <w:r w:rsidRPr="00F10391">
              <w:t>Not found</w:t>
            </w:r>
          </w:p>
        </w:tc>
      </w:tr>
      <w:tr w:rsidR="00E403D6" w:rsidRPr="00F10391" w14:paraId="6766870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602B7D4" w14:textId="77777777" w:rsidR="00E403D6" w:rsidRPr="00F10391" w:rsidRDefault="00E403D6" w:rsidP="0063065F">
            <w:pPr>
              <w:jc w:val="left"/>
            </w:pPr>
            <w:r w:rsidRPr="00F10391">
              <w:t>01/01/12</w:t>
            </w:r>
          </w:p>
        </w:tc>
        <w:tc>
          <w:tcPr>
            <w:tcW w:w="2720" w:type="dxa"/>
            <w:tcBorders>
              <w:top w:val="nil"/>
              <w:left w:val="nil"/>
              <w:bottom w:val="single" w:sz="4" w:space="0" w:color="auto"/>
              <w:right w:val="single" w:sz="4" w:space="0" w:color="auto"/>
            </w:tcBorders>
            <w:shd w:val="clear" w:color="auto" w:fill="auto"/>
            <w:vAlign w:val="center"/>
            <w:hideMark/>
          </w:tcPr>
          <w:p w14:paraId="5153083F" w14:textId="77777777" w:rsidR="00E403D6" w:rsidRPr="00F10391" w:rsidRDefault="00E403D6" w:rsidP="0063065F">
            <w:pPr>
              <w:jc w:val="left"/>
            </w:pPr>
            <w:r w:rsidRPr="00F10391">
              <w:t>Strategic Performance Measurement In A Healthcare Organisation: A Multiple Criteria Approach Based On Balanced Scorecard</w:t>
            </w:r>
          </w:p>
        </w:tc>
        <w:tc>
          <w:tcPr>
            <w:tcW w:w="1985" w:type="dxa"/>
            <w:tcBorders>
              <w:top w:val="nil"/>
              <w:left w:val="nil"/>
              <w:bottom w:val="single" w:sz="4" w:space="0" w:color="auto"/>
              <w:right w:val="single" w:sz="4" w:space="0" w:color="auto"/>
            </w:tcBorders>
            <w:shd w:val="clear" w:color="auto" w:fill="auto"/>
            <w:vAlign w:val="center"/>
            <w:hideMark/>
          </w:tcPr>
          <w:p w14:paraId="7970369E" w14:textId="77777777" w:rsidR="00E403D6" w:rsidRPr="00F10391" w:rsidRDefault="00E403D6" w:rsidP="0063065F">
            <w:pPr>
              <w:jc w:val="left"/>
            </w:pPr>
            <w:r w:rsidRPr="00F10391">
              <w:t>Grigoroudis, E.; Orfanoudaki, E.; Zopounidis, C.</w:t>
            </w:r>
          </w:p>
        </w:tc>
        <w:tc>
          <w:tcPr>
            <w:tcW w:w="2078" w:type="dxa"/>
            <w:tcBorders>
              <w:top w:val="nil"/>
              <w:left w:val="nil"/>
              <w:bottom w:val="single" w:sz="4" w:space="0" w:color="auto"/>
              <w:right w:val="single" w:sz="4" w:space="0" w:color="auto"/>
            </w:tcBorders>
            <w:shd w:val="clear" w:color="auto" w:fill="auto"/>
            <w:vAlign w:val="center"/>
            <w:hideMark/>
          </w:tcPr>
          <w:p w14:paraId="60EC5484" w14:textId="77777777" w:rsidR="00E403D6" w:rsidRPr="00F10391" w:rsidRDefault="00E403D6" w:rsidP="0063065F">
            <w:pPr>
              <w:jc w:val="left"/>
            </w:pPr>
            <w:r w:rsidRPr="00F10391">
              <w:t>Omega-International Journal Of Management Science. 2012;40(1):104-119</w:t>
            </w:r>
          </w:p>
        </w:tc>
        <w:tc>
          <w:tcPr>
            <w:tcW w:w="862" w:type="dxa"/>
            <w:tcBorders>
              <w:top w:val="nil"/>
              <w:left w:val="nil"/>
              <w:bottom w:val="single" w:sz="4" w:space="0" w:color="auto"/>
              <w:right w:val="single" w:sz="4" w:space="0" w:color="auto"/>
            </w:tcBorders>
            <w:shd w:val="clear" w:color="auto" w:fill="auto"/>
            <w:noWrap/>
            <w:vAlign w:val="center"/>
            <w:hideMark/>
          </w:tcPr>
          <w:p w14:paraId="65733560"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FD3938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2CF21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45BAB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19D3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C7627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A19C93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A486C11" w14:textId="77777777" w:rsidR="00E403D6" w:rsidRPr="00F10391" w:rsidRDefault="00E403D6">
            <w:r w:rsidRPr="00F10391">
              <w:t>Not found</w:t>
            </w:r>
          </w:p>
        </w:tc>
      </w:tr>
      <w:tr w:rsidR="00E403D6" w:rsidRPr="00F10391" w14:paraId="74D5DD7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35773AE" w14:textId="77777777" w:rsidR="00E403D6" w:rsidRPr="00F10391" w:rsidRDefault="00E403D6" w:rsidP="0063065F">
            <w:pPr>
              <w:jc w:val="left"/>
            </w:pPr>
            <w:r w:rsidRPr="00F10391">
              <w:t>10/01/12</w:t>
            </w:r>
          </w:p>
        </w:tc>
        <w:tc>
          <w:tcPr>
            <w:tcW w:w="2720" w:type="dxa"/>
            <w:tcBorders>
              <w:top w:val="nil"/>
              <w:left w:val="nil"/>
              <w:bottom w:val="single" w:sz="4" w:space="0" w:color="auto"/>
              <w:right w:val="single" w:sz="4" w:space="0" w:color="auto"/>
            </w:tcBorders>
            <w:shd w:val="clear" w:color="auto" w:fill="auto"/>
            <w:vAlign w:val="center"/>
            <w:hideMark/>
          </w:tcPr>
          <w:p w14:paraId="2CFDCD61" w14:textId="77777777" w:rsidR="00E403D6" w:rsidRPr="00F10391" w:rsidRDefault="00E403D6" w:rsidP="0063065F">
            <w:pPr>
              <w:jc w:val="left"/>
            </w:pPr>
            <w:r w:rsidRPr="00F10391">
              <w:t>Rehabilitation Settings After Joint Replacement: An Application Of Multiattribute Preference Elicitation.</w:t>
            </w:r>
          </w:p>
        </w:tc>
        <w:tc>
          <w:tcPr>
            <w:tcW w:w="1985" w:type="dxa"/>
            <w:tcBorders>
              <w:top w:val="nil"/>
              <w:left w:val="nil"/>
              <w:bottom w:val="single" w:sz="4" w:space="0" w:color="auto"/>
              <w:right w:val="single" w:sz="4" w:space="0" w:color="auto"/>
            </w:tcBorders>
            <w:shd w:val="clear" w:color="auto" w:fill="auto"/>
            <w:vAlign w:val="center"/>
            <w:hideMark/>
          </w:tcPr>
          <w:p w14:paraId="1FBCBCAF" w14:textId="77777777" w:rsidR="00E403D6" w:rsidRPr="00F10391" w:rsidRDefault="00E403D6" w:rsidP="0063065F">
            <w:pPr>
              <w:jc w:val="left"/>
            </w:pPr>
            <w:r w:rsidRPr="00F10391">
              <w:t>Radcliff Ta, Cí‰Tí© Mj, Olson Dl, Liebrecht D.</w:t>
            </w:r>
          </w:p>
        </w:tc>
        <w:tc>
          <w:tcPr>
            <w:tcW w:w="2078" w:type="dxa"/>
            <w:tcBorders>
              <w:top w:val="nil"/>
              <w:left w:val="nil"/>
              <w:bottom w:val="single" w:sz="4" w:space="0" w:color="auto"/>
              <w:right w:val="single" w:sz="4" w:space="0" w:color="auto"/>
            </w:tcBorders>
            <w:shd w:val="clear" w:color="auto" w:fill="auto"/>
            <w:vAlign w:val="center"/>
            <w:hideMark/>
          </w:tcPr>
          <w:p w14:paraId="269F5320" w14:textId="77777777" w:rsidR="00E403D6" w:rsidRPr="00F10391" w:rsidRDefault="00E403D6" w:rsidP="0063065F">
            <w:pPr>
              <w:jc w:val="left"/>
            </w:pPr>
            <w:r w:rsidRPr="00F10391">
              <w:t>Eval Health Prof. 2012 Jun;35(2):182-98. Doi: 10.1177/0163278711427558. Epub 2012 Jan 4.</w:t>
            </w:r>
          </w:p>
        </w:tc>
        <w:tc>
          <w:tcPr>
            <w:tcW w:w="862" w:type="dxa"/>
            <w:tcBorders>
              <w:top w:val="nil"/>
              <w:left w:val="nil"/>
              <w:bottom w:val="single" w:sz="4" w:space="0" w:color="auto"/>
              <w:right w:val="single" w:sz="4" w:space="0" w:color="auto"/>
            </w:tcBorders>
            <w:shd w:val="clear" w:color="auto" w:fill="auto"/>
            <w:noWrap/>
            <w:vAlign w:val="center"/>
            <w:hideMark/>
          </w:tcPr>
          <w:p w14:paraId="4944CC6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F61E30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94F876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0AE1B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82457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B0604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C69EFB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71DFF3F" w14:textId="77777777" w:rsidR="00E403D6" w:rsidRPr="00F10391" w:rsidRDefault="00E403D6">
            <w:r w:rsidRPr="00F10391">
              <w:t>Not found</w:t>
            </w:r>
          </w:p>
        </w:tc>
      </w:tr>
      <w:tr w:rsidR="00E403D6" w:rsidRPr="00F10391" w14:paraId="3EC563B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B9E064E" w14:textId="77777777" w:rsidR="00E403D6" w:rsidRPr="00F10391" w:rsidRDefault="00E403D6" w:rsidP="0063065F">
            <w:pPr>
              <w:jc w:val="left"/>
            </w:pPr>
            <w:r w:rsidRPr="00F10391">
              <w:t>17/01/12</w:t>
            </w:r>
          </w:p>
        </w:tc>
        <w:tc>
          <w:tcPr>
            <w:tcW w:w="2720" w:type="dxa"/>
            <w:tcBorders>
              <w:top w:val="nil"/>
              <w:left w:val="nil"/>
              <w:bottom w:val="single" w:sz="4" w:space="0" w:color="auto"/>
              <w:right w:val="single" w:sz="4" w:space="0" w:color="auto"/>
            </w:tcBorders>
            <w:shd w:val="clear" w:color="auto" w:fill="auto"/>
            <w:vAlign w:val="center"/>
            <w:hideMark/>
          </w:tcPr>
          <w:p w14:paraId="0864C3B8" w14:textId="77777777" w:rsidR="00E403D6" w:rsidRPr="00F10391" w:rsidRDefault="00E403D6" w:rsidP="0063065F">
            <w:pPr>
              <w:jc w:val="left"/>
            </w:pPr>
            <w:r w:rsidRPr="00F10391">
              <w:t>Spatial Analysis And Mapping Of Malaria Risk In An Endemic Area, South Of Iran: A Gis Based Decision Making For Planning Of Control.</w:t>
            </w:r>
          </w:p>
        </w:tc>
        <w:tc>
          <w:tcPr>
            <w:tcW w:w="1985" w:type="dxa"/>
            <w:tcBorders>
              <w:top w:val="nil"/>
              <w:left w:val="nil"/>
              <w:bottom w:val="single" w:sz="4" w:space="0" w:color="auto"/>
              <w:right w:val="single" w:sz="4" w:space="0" w:color="auto"/>
            </w:tcBorders>
            <w:shd w:val="clear" w:color="auto" w:fill="auto"/>
            <w:vAlign w:val="center"/>
            <w:hideMark/>
          </w:tcPr>
          <w:p w14:paraId="1CB5141B" w14:textId="77777777" w:rsidR="00E403D6" w:rsidRPr="00F10391" w:rsidRDefault="00E403D6" w:rsidP="0063065F">
            <w:pPr>
              <w:jc w:val="left"/>
            </w:pPr>
            <w:r w:rsidRPr="00F10391">
              <w:t>Hanafi-Bojd Aa, Vatandoost H, Oshaghi Ma, Charrahy Z, Haghdoost Aa, Zamani G, Abedi F, Sedaghat Mm, Soltani M, Shahi M, Raeisi A.</w:t>
            </w:r>
          </w:p>
        </w:tc>
        <w:tc>
          <w:tcPr>
            <w:tcW w:w="2078" w:type="dxa"/>
            <w:tcBorders>
              <w:top w:val="nil"/>
              <w:left w:val="nil"/>
              <w:bottom w:val="single" w:sz="4" w:space="0" w:color="auto"/>
              <w:right w:val="single" w:sz="4" w:space="0" w:color="auto"/>
            </w:tcBorders>
            <w:shd w:val="clear" w:color="auto" w:fill="auto"/>
            <w:vAlign w:val="center"/>
            <w:hideMark/>
          </w:tcPr>
          <w:p w14:paraId="69D1145E" w14:textId="77777777" w:rsidR="00E403D6" w:rsidRPr="00F10391" w:rsidRDefault="00E403D6" w:rsidP="0063065F">
            <w:pPr>
              <w:jc w:val="left"/>
            </w:pPr>
            <w:r w:rsidRPr="005D7324">
              <w:t xml:space="preserve">Acta Trop. 2012 Apr;122(1):132-7. Doi: 10.1016/J.Actatropica.2012.01.003. </w:t>
            </w:r>
            <w:r w:rsidRPr="00F10391">
              <w:t>Epub 2012 Jan 8.</w:t>
            </w:r>
          </w:p>
        </w:tc>
        <w:tc>
          <w:tcPr>
            <w:tcW w:w="862" w:type="dxa"/>
            <w:tcBorders>
              <w:top w:val="nil"/>
              <w:left w:val="nil"/>
              <w:bottom w:val="single" w:sz="4" w:space="0" w:color="auto"/>
              <w:right w:val="single" w:sz="4" w:space="0" w:color="auto"/>
            </w:tcBorders>
            <w:shd w:val="clear" w:color="auto" w:fill="auto"/>
            <w:noWrap/>
            <w:vAlign w:val="center"/>
            <w:hideMark/>
          </w:tcPr>
          <w:p w14:paraId="15073BB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18A554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2F5C24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2A2C6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1F7324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4FCD9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78EFBD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361173E" w14:textId="77777777" w:rsidR="00E403D6" w:rsidRPr="00F10391" w:rsidRDefault="00E403D6">
            <w:r w:rsidRPr="00F10391">
              <w:t>Not found</w:t>
            </w:r>
          </w:p>
        </w:tc>
      </w:tr>
      <w:tr w:rsidR="00E403D6" w:rsidRPr="00F10391" w14:paraId="666FA8E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58F342E" w14:textId="77777777" w:rsidR="00E403D6" w:rsidRPr="00F10391" w:rsidRDefault="00E403D6" w:rsidP="0063065F">
            <w:pPr>
              <w:jc w:val="left"/>
            </w:pPr>
            <w:r w:rsidRPr="00F10391">
              <w:t>04/02/12</w:t>
            </w:r>
          </w:p>
        </w:tc>
        <w:tc>
          <w:tcPr>
            <w:tcW w:w="2720" w:type="dxa"/>
            <w:tcBorders>
              <w:top w:val="nil"/>
              <w:left w:val="nil"/>
              <w:bottom w:val="single" w:sz="4" w:space="0" w:color="auto"/>
              <w:right w:val="single" w:sz="4" w:space="0" w:color="auto"/>
            </w:tcBorders>
            <w:shd w:val="clear" w:color="auto" w:fill="auto"/>
            <w:vAlign w:val="center"/>
            <w:hideMark/>
          </w:tcPr>
          <w:p w14:paraId="51D1943D" w14:textId="77777777" w:rsidR="00E403D6" w:rsidRPr="00F10391" w:rsidRDefault="00E403D6" w:rsidP="0063065F">
            <w:pPr>
              <w:jc w:val="left"/>
            </w:pPr>
            <w:r w:rsidRPr="00F10391">
              <w:t>Health Care System Performance Of 27 Oecd Countries.</w:t>
            </w:r>
          </w:p>
        </w:tc>
        <w:tc>
          <w:tcPr>
            <w:tcW w:w="1985" w:type="dxa"/>
            <w:tcBorders>
              <w:top w:val="nil"/>
              <w:left w:val="nil"/>
              <w:bottom w:val="single" w:sz="4" w:space="0" w:color="auto"/>
              <w:right w:val="single" w:sz="4" w:space="0" w:color="auto"/>
            </w:tcBorders>
            <w:shd w:val="clear" w:color="auto" w:fill="auto"/>
            <w:vAlign w:val="center"/>
            <w:hideMark/>
          </w:tcPr>
          <w:p w14:paraId="7030C598" w14:textId="77777777" w:rsidR="00E403D6" w:rsidRPr="005D7324" w:rsidRDefault="00E403D6" w:rsidP="0063065F">
            <w:pPr>
              <w:jc w:val="left"/>
            </w:pPr>
            <w:r w:rsidRPr="005D7324">
              <w:t>Tchouaket En, Lamarche Pa, Goulet L, Contandriopoulos Ap.</w:t>
            </w:r>
          </w:p>
        </w:tc>
        <w:tc>
          <w:tcPr>
            <w:tcW w:w="2078" w:type="dxa"/>
            <w:tcBorders>
              <w:top w:val="nil"/>
              <w:left w:val="nil"/>
              <w:bottom w:val="single" w:sz="4" w:space="0" w:color="auto"/>
              <w:right w:val="single" w:sz="4" w:space="0" w:color="auto"/>
            </w:tcBorders>
            <w:shd w:val="clear" w:color="auto" w:fill="auto"/>
            <w:vAlign w:val="center"/>
            <w:hideMark/>
          </w:tcPr>
          <w:p w14:paraId="1A194578" w14:textId="77777777" w:rsidR="00E403D6" w:rsidRPr="00F10391" w:rsidRDefault="00E403D6" w:rsidP="0063065F">
            <w:pPr>
              <w:jc w:val="left"/>
            </w:pPr>
            <w:r w:rsidRPr="00F10391">
              <w:t>Int J Health Plann Manage. 2012 Apr-Jun;27(2):104-29. Doi: 10.1002/Hpm.1110. Epub 2012 Feb 2.</w:t>
            </w:r>
          </w:p>
        </w:tc>
        <w:tc>
          <w:tcPr>
            <w:tcW w:w="862" w:type="dxa"/>
            <w:tcBorders>
              <w:top w:val="nil"/>
              <w:left w:val="nil"/>
              <w:bottom w:val="single" w:sz="4" w:space="0" w:color="auto"/>
              <w:right w:val="single" w:sz="4" w:space="0" w:color="auto"/>
            </w:tcBorders>
            <w:shd w:val="clear" w:color="auto" w:fill="auto"/>
            <w:noWrap/>
            <w:vAlign w:val="center"/>
            <w:hideMark/>
          </w:tcPr>
          <w:p w14:paraId="568AB9C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305CF1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0E5E63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BCBAE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5BB06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8B099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9FC3CE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CB9293B" w14:textId="77777777" w:rsidR="00E403D6" w:rsidRPr="00F10391" w:rsidRDefault="00E403D6">
            <w:r w:rsidRPr="00F10391">
              <w:t>Not found</w:t>
            </w:r>
          </w:p>
        </w:tc>
      </w:tr>
      <w:tr w:rsidR="00E403D6" w:rsidRPr="00F10391" w14:paraId="1A369E6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B08CE6" w14:textId="77777777" w:rsidR="00E403D6" w:rsidRPr="00F10391" w:rsidRDefault="00E403D6" w:rsidP="0063065F">
            <w:pPr>
              <w:jc w:val="left"/>
            </w:pPr>
            <w:r w:rsidRPr="00F10391">
              <w:t>07/02/12</w:t>
            </w:r>
          </w:p>
        </w:tc>
        <w:tc>
          <w:tcPr>
            <w:tcW w:w="2720" w:type="dxa"/>
            <w:tcBorders>
              <w:top w:val="nil"/>
              <w:left w:val="nil"/>
              <w:bottom w:val="single" w:sz="4" w:space="0" w:color="auto"/>
              <w:right w:val="single" w:sz="4" w:space="0" w:color="auto"/>
            </w:tcBorders>
            <w:shd w:val="clear" w:color="auto" w:fill="auto"/>
            <w:vAlign w:val="center"/>
            <w:hideMark/>
          </w:tcPr>
          <w:p w14:paraId="641A369C" w14:textId="77777777" w:rsidR="00E403D6" w:rsidRPr="00F10391" w:rsidRDefault="00E403D6" w:rsidP="0063065F">
            <w:pPr>
              <w:jc w:val="left"/>
            </w:pPr>
            <w:r w:rsidRPr="00F10391">
              <w:t>Use Of Stochastic Multi-Criteria Decision Analysis To Support Sustainable Management Of Contaminated Sediments</w:t>
            </w:r>
          </w:p>
        </w:tc>
        <w:tc>
          <w:tcPr>
            <w:tcW w:w="1985" w:type="dxa"/>
            <w:tcBorders>
              <w:top w:val="nil"/>
              <w:left w:val="nil"/>
              <w:bottom w:val="single" w:sz="4" w:space="0" w:color="auto"/>
              <w:right w:val="single" w:sz="4" w:space="0" w:color="auto"/>
            </w:tcBorders>
            <w:shd w:val="clear" w:color="auto" w:fill="auto"/>
            <w:vAlign w:val="center"/>
            <w:hideMark/>
          </w:tcPr>
          <w:p w14:paraId="5CADDD74" w14:textId="77777777" w:rsidR="00E403D6" w:rsidRPr="00F10391" w:rsidRDefault="00E403D6" w:rsidP="0063065F">
            <w:pPr>
              <w:jc w:val="left"/>
            </w:pPr>
            <w:r w:rsidRPr="00F10391">
              <w:t>Sparrevik, Magnus; Barton, David N.; Bates, Mathew E.; Linkov, Igor</w:t>
            </w:r>
          </w:p>
        </w:tc>
        <w:tc>
          <w:tcPr>
            <w:tcW w:w="2078" w:type="dxa"/>
            <w:tcBorders>
              <w:top w:val="nil"/>
              <w:left w:val="nil"/>
              <w:bottom w:val="single" w:sz="4" w:space="0" w:color="auto"/>
              <w:right w:val="single" w:sz="4" w:space="0" w:color="auto"/>
            </w:tcBorders>
            <w:shd w:val="clear" w:color="auto" w:fill="auto"/>
            <w:vAlign w:val="center"/>
            <w:hideMark/>
          </w:tcPr>
          <w:p w14:paraId="1515A2BB" w14:textId="77777777" w:rsidR="00E403D6" w:rsidRPr="00F10391" w:rsidRDefault="00E403D6" w:rsidP="0063065F">
            <w:pPr>
              <w:jc w:val="left"/>
            </w:pPr>
            <w:r w:rsidRPr="00F10391">
              <w:t>Environmental Science &amp; Technology. 2012;46(3):1326-1334</w:t>
            </w:r>
          </w:p>
        </w:tc>
        <w:tc>
          <w:tcPr>
            <w:tcW w:w="862" w:type="dxa"/>
            <w:tcBorders>
              <w:top w:val="nil"/>
              <w:left w:val="nil"/>
              <w:bottom w:val="single" w:sz="4" w:space="0" w:color="auto"/>
              <w:right w:val="single" w:sz="4" w:space="0" w:color="auto"/>
            </w:tcBorders>
            <w:shd w:val="clear" w:color="auto" w:fill="auto"/>
            <w:noWrap/>
            <w:vAlign w:val="center"/>
            <w:hideMark/>
          </w:tcPr>
          <w:p w14:paraId="7A108F8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85E7B8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B64D2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BBA99D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ACFB0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726928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DD1442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0305B98" w14:textId="77777777" w:rsidR="00E403D6" w:rsidRPr="00F10391" w:rsidRDefault="00E403D6">
            <w:r w:rsidRPr="00F10391">
              <w:t>Not found</w:t>
            </w:r>
          </w:p>
        </w:tc>
      </w:tr>
      <w:tr w:rsidR="00E403D6" w:rsidRPr="00F10391" w14:paraId="6914D90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669FA4" w14:textId="77777777" w:rsidR="00E403D6" w:rsidRPr="00F10391" w:rsidRDefault="00E403D6" w:rsidP="0063065F">
            <w:pPr>
              <w:jc w:val="left"/>
            </w:pPr>
            <w:r w:rsidRPr="00F10391">
              <w:t>14/02/12</w:t>
            </w:r>
          </w:p>
        </w:tc>
        <w:tc>
          <w:tcPr>
            <w:tcW w:w="2720" w:type="dxa"/>
            <w:tcBorders>
              <w:top w:val="nil"/>
              <w:left w:val="nil"/>
              <w:bottom w:val="single" w:sz="4" w:space="0" w:color="auto"/>
              <w:right w:val="single" w:sz="4" w:space="0" w:color="auto"/>
            </w:tcBorders>
            <w:shd w:val="clear" w:color="auto" w:fill="auto"/>
            <w:vAlign w:val="center"/>
            <w:hideMark/>
          </w:tcPr>
          <w:p w14:paraId="48073D74" w14:textId="77777777" w:rsidR="00E403D6" w:rsidRPr="00F10391" w:rsidRDefault="00E403D6" w:rsidP="0063065F">
            <w:pPr>
              <w:jc w:val="left"/>
            </w:pPr>
            <w:r w:rsidRPr="00F10391">
              <w:t>Coordination And Resource-Related Difficulties Encountered By Quebec'S Public Health Specialists And Infectious Diseases/Medical Microbiologists In The Management Of A (H1N1)--A Mixed-Method, Exploratory Survey.</w:t>
            </w:r>
          </w:p>
        </w:tc>
        <w:tc>
          <w:tcPr>
            <w:tcW w:w="1985" w:type="dxa"/>
            <w:tcBorders>
              <w:top w:val="nil"/>
              <w:left w:val="nil"/>
              <w:bottom w:val="single" w:sz="4" w:space="0" w:color="auto"/>
              <w:right w:val="single" w:sz="4" w:space="0" w:color="auto"/>
            </w:tcBorders>
            <w:shd w:val="clear" w:color="auto" w:fill="auto"/>
            <w:vAlign w:val="center"/>
            <w:hideMark/>
          </w:tcPr>
          <w:p w14:paraId="58CD740A" w14:textId="77777777" w:rsidR="00E403D6" w:rsidRPr="005D7324" w:rsidRDefault="00E403D6" w:rsidP="0063065F">
            <w:pPr>
              <w:jc w:val="left"/>
            </w:pPr>
            <w:r w:rsidRPr="005D7324">
              <w:t>Nhan C, Laprise R, Douville-Fradet M, Macdonald Me, Quach C.</w:t>
            </w:r>
          </w:p>
        </w:tc>
        <w:tc>
          <w:tcPr>
            <w:tcW w:w="2078" w:type="dxa"/>
            <w:tcBorders>
              <w:top w:val="nil"/>
              <w:left w:val="nil"/>
              <w:bottom w:val="single" w:sz="4" w:space="0" w:color="auto"/>
              <w:right w:val="single" w:sz="4" w:space="0" w:color="auto"/>
            </w:tcBorders>
            <w:shd w:val="clear" w:color="auto" w:fill="auto"/>
            <w:vAlign w:val="center"/>
            <w:hideMark/>
          </w:tcPr>
          <w:p w14:paraId="5CE988DC" w14:textId="77777777" w:rsidR="00E403D6" w:rsidRPr="00F10391" w:rsidRDefault="00E403D6" w:rsidP="0063065F">
            <w:pPr>
              <w:jc w:val="left"/>
            </w:pPr>
            <w:r w:rsidRPr="00F10391">
              <w:t>Bmc Public Health. 2012 Feb 10;12:115. Doi: 10.1186/1471-2458-12-115.</w:t>
            </w:r>
          </w:p>
        </w:tc>
        <w:tc>
          <w:tcPr>
            <w:tcW w:w="862" w:type="dxa"/>
            <w:tcBorders>
              <w:top w:val="nil"/>
              <w:left w:val="nil"/>
              <w:bottom w:val="single" w:sz="4" w:space="0" w:color="auto"/>
              <w:right w:val="single" w:sz="4" w:space="0" w:color="auto"/>
            </w:tcBorders>
            <w:shd w:val="clear" w:color="auto" w:fill="auto"/>
            <w:noWrap/>
            <w:vAlign w:val="center"/>
            <w:hideMark/>
          </w:tcPr>
          <w:p w14:paraId="063448F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EE0454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CCDD5C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8F4D9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79FB3C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4C1B08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59E7BA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BFA36CB" w14:textId="77777777" w:rsidR="00E403D6" w:rsidRPr="00F10391" w:rsidRDefault="00E403D6">
            <w:r w:rsidRPr="00F10391">
              <w:t>Not found</w:t>
            </w:r>
          </w:p>
        </w:tc>
      </w:tr>
      <w:tr w:rsidR="00E403D6" w:rsidRPr="00F10391" w14:paraId="49D14C9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D67566" w14:textId="77777777" w:rsidR="00E403D6" w:rsidRPr="00F10391" w:rsidRDefault="00E403D6" w:rsidP="0063065F">
            <w:pPr>
              <w:jc w:val="left"/>
            </w:pPr>
            <w:r w:rsidRPr="00F10391">
              <w:t>17/02/12</w:t>
            </w:r>
          </w:p>
        </w:tc>
        <w:tc>
          <w:tcPr>
            <w:tcW w:w="2720" w:type="dxa"/>
            <w:tcBorders>
              <w:top w:val="nil"/>
              <w:left w:val="nil"/>
              <w:bottom w:val="single" w:sz="4" w:space="0" w:color="auto"/>
              <w:right w:val="single" w:sz="4" w:space="0" w:color="auto"/>
            </w:tcBorders>
            <w:shd w:val="clear" w:color="auto" w:fill="auto"/>
            <w:vAlign w:val="center"/>
            <w:hideMark/>
          </w:tcPr>
          <w:p w14:paraId="4162A910" w14:textId="77777777" w:rsidR="00E403D6" w:rsidRPr="00F10391" w:rsidRDefault="00E403D6" w:rsidP="0063065F">
            <w:pPr>
              <w:jc w:val="left"/>
            </w:pPr>
            <w:r w:rsidRPr="00F10391">
              <w:t>Multi-Criteria Decision Analysis For Setting Priorities On Hiv/Aids Interventions In Thailand</w:t>
            </w:r>
          </w:p>
        </w:tc>
        <w:tc>
          <w:tcPr>
            <w:tcW w:w="1985" w:type="dxa"/>
            <w:tcBorders>
              <w:top w:val="nil"/>
              <w:left w:val="nil"/>
              <w:bottom w:val="single" w:sz="4" w:space="0" w:color="auto"/>
              <w:right w:val="single" w:sz="4" w:space="0" w:color="auto"/>
            </w:tcBorders>
            <w:shd w:val="clear" w:color="auto" w:fill="auto"/>
            <w:vAlign w:val="center"/>
            <w:hideMark/>
          </w:tcPr>
          <w:p w14:paraId="00FCB0F2" w14:textId="77777777" w:rsidR="00E403D6" w:rsidRPr="00F10391" w:rsidRDefault="00E403D6" w:rsidP="0063065F">
            <w:pPr>
              <w:jc w:val="left"/>
            </w:pPr>
            <w:r w:rsidRPr="00F10391">
              <w:t>Youngkong, Sitaporn; Teerawattananon, Yot; Tantivess, Sripen; Baltussen, Rob</w:t>
            </w:r>
          </w:p>
        </w:tc>
        <w:tc>
          <w:tcPr>
            <w:tcW w:w="2078" w:type="dxa"/>
            <w:tcBorders>
              <w:top w:val="nil"/>
              <w:left w:val="nil"/>
              <w:bottom w:val="single" w:sz="4" w:space="0" w:color="auto"/>
              <w:right w:val="single" w:sz="4" w:space="0" w:color="auto"/>
            </w:tcBorders>
            <w:shd w:val="clear" w:color="auto" w:fill="auto"/>
            <w:vAlign w:val="center"/>
            <w:hideMark/>
          </w:tcPr>
          <w:p w14:paraId="791CD721" w14:textId="77777777" w:rsidR="00E403D6" w:rsidRPr="00F10391" w:rsidRDefault="00E403D6" w:rsidP="0063065F">
            <w:pPr>
              <w:jc w:val="left"/>
            </w:pPr>
            <w:r w:rsidRPr="00F10391">
              <w:t>Health Research Policy And Systems. 2012;10():-</w:t>
            </w:r>
          </w:p>
        </w:tc>
        <w:tc>
          <w:tcPr>
            <w:tcW w:w="862" w:type="dxa"/>
            <w:tcBorders>
              <w:top w:val="nil"/>
              <w:left w:val="nil"/>
              <w:bottom w:val="single" w:sz="4" w:space="0" w:color="auto"/>
              <w:right w:val="single" w:sz="4" w:space="0" w:color="auto"/>
            </w:tcBorders>
            <w:shd w:val="clear" w:color="auto" w:fill="auto"/>
            <w:noWrap/>
            <w:vAlign w:val="center"/>
            <w:hideMark/>
          </w:tcPr>
          <w:p w14:paraId="6275F510"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24757B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5FD708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D2015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89755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16665B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057F2CC"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690A43A0" w14:textId="77777777" w:rsidR="00E403D6" w:rsidRPr="00F10391" w:rsidRDefault="00E403D6">
            <w:r w:rsidRPr="00F10391">
              <w:t>Not found</w:t>
            </w:r>
          </w:p>
        </w:tc>
      </w:tr>
      <w:tr w:rsidR="00E403D6" w:rsidRPr="00F10391" w14:paraId="1670FE9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D734D5C" w14:textId="77777777" w:rsidR="00E403D6" w:rsidRPr="00F10391" w:rsidRDefault="00E403D6" w:rsidP="0063065F">
            <w:pPr>
              <w:jc w:val="left"/>
            </w:pPr>
            <w:r w:rsidRPr="00F10391">
              <w:t>18/02/12</w:t>
            </w:r>
          </w:p>
        </w:tc>
        <w:tc>
          <w:tcPr>
            <w:tcW w:w="2720" w:type="dxa"/>
            <w:tcBorders>
              <w:top w:val="nil"/>
              <w:left w:val="nil"/>
              <w:bottom w:val="single" w:sz="4" w:space="0" w:color="auto"/>
              <w:right w:val="single" w:sz="4" w:space="0" w:color="auto"/>
            </w:tcBorders>
            <w:shd w:val="clear" w:color="auto" w:fill="auto"/>
            <w:vAlign w:val="center"/>
            <w:hideMark/>
          </w:tcPr>
          <w:p w14:paraId="4B6BB7D6" w14:textId="77777777" w:rsidR="00E403D6" w:rsidRPr="00F10391" w:rsidRDefault="00E403D6" w:rsidP="0063065F">
            <w:pPr>
              <w:jc w:val="left"/>
            </w:pPr>
            <w:r w:rsidRPr="00F10391">
              <w:t>Health Care Priority Setting In Norway A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7E78587E" w14:textId="77777777" w:rsidR="00E403D6" w:rsidRPr="00F10391" w:rsidRDefault="00E403D6" w:rsidP="0063065F">
            <w:pPr>
              <w:jc w:val="left"/>
            </w:pPr>
            <w:r w:rsidRPr="00F10391">
              <w:t>Defechereux T, Paolucci F, Mirelman A, Youngkong S, Botten G, Hagen Tp, Niessen Lw.</w:t>
            </w:r>
          </w:p>
        </w:tc>
        <w:tc>
          <w:tcPr>
            <w:tcW w:w="2078" w:type="dxa"/>
            <w:tcBorders>
              <w:top w:val="nil"/>
              <w:left w:val="nil"/>
              <w:bottom w:val="single" w:sz="4" w:space="0" w:color="auto"/>
              <w:right w:val="single" w:sz="4" w:space="0" w:color="auto"/>
            </w:tcBorders>
            <w:shd w:val="clear" w:color="auto" w:fill="auto"/>
            <w:vAlign w:val="center"/>
            <w:hideMark/>
          </w:tcPr>
          <w:p w14:paraId="69E7CC1D" w14:textId="77777777" w:rsidR="00E403D6" w:rsidRPr="00F10391" w:rsidRDefault="00E403D6" w:rsidP="0063065F">
            <w:pPr>
              <w:jc w:val="left"/>
            </w:pPr>
            <w:r w:rsidRPr="00F10391">
              <w:t>Bmc Health Serv Res. 2012 Feb 15;12:39. Doi: 10.1186/1472-6963-12-39.</w:t>
            </w:r>
          </w:p>
        </w:tc>
        <w:tc>
          <w:tcPr>
            <w:tcW w:w="862" w:type="dxa"/>
            <w:tcBorders>
              <w:top w:val="nil"/>
              <w:left w:val="nil"/>
              <w:bottom w:val="single" w:sz="4" w:space="0" w:color="auto"/>
              <w:right w:val="single" w:sz="4" w:space="0" w:color="auto"/>
            </w:tcBorders>
            <w:shd w:val="clear" w:color="auto" w:fill="auto"/>
            <w:noWrap/>
            <w:vAlign w:val="center"/>
            <w:hideMark/>
          </w:tcPr>
          <w:p w14:paraId="7C8E559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B757E2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574ABE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7F396C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EB622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21253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59CBD63"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491A7115" w14:textId="77777777" w:rsidR="00E403D6" w:rsidRPr="00F10391" w:rsidRDefault="00E403D6">
            <w:r w:rsidRPr="00F10391">
              <w:t>Not found</w:t>
            </w:r>
          </w:p>
        </w:tc>
      </w:tr>
      <w:tr w:rsidR="00E403D6" w:rsidRPr="00F10391" w14:paraId="23C06FA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7E46132" w14:textId="77777777" w:rsidR="00E403D6" w:rsidRPr="00F10391" w:rsidRDefault="00E403D6" w:rsidP="0063065F">
            <w:pPr>
              <w:jc w:val="left"/>
            </w:pPr>
            <w:r w:rsidRPr="00F10391">
              <w:t>22/02/12</w:t>
            </w:r>
          </w:p>
        </w:tc>
        <w:tc>
          <w:tcPr>
            <w:tcW w:w="2720" w:type="dxa"/>
            <w:tcBorders>
              <w:top w:val="nil"/>
              <w:left w:val="nil"/>
              <w:bottom w:val="single" w:sz="4" w:space="0" w:color="auto"/>
              <w:right w:val="single" w:sz="4" w:space="0" w:color="auto"/>
            </w:tcBorders>
            <w:shd w:val="clear" w:color="auto" w:fill="auto"/>
            <w:vAlign w:val="center"/>
            <w:hideMark/>
          </w:tcPr>
          <w:p w14:paraId="5F716951" w14:textId="77777777" w:rsidR="00E403D6" w:rsidRPr="00F10391" w:rsidRDefault="00E403D6" w:rsidP="0063065F">
            <w:pPr>
              <w:jc w:val="left"/>
            </w:pPr>
            <w:r w:rsidRPr="00F10391">
              <w:t>Multi-Criteria Decision Analysis For Setting Priorities On Hiv/Aids Interventions In Thailand.</w:t>
            </w:r>
          </w:p>
        </w:tc>
        <w:tc>
          <w:tcPr>
            <w:tcW w:w="1985" w:type="dxa"/>
            <w:tcBorders>
              <w:top w:val="nil"/>
              <w:left w:val="nil"/>
              <w:bottom w:val="single" w:sz="4" w:space="0" w:color="auto"/>
              <w:right w:val="single" w:sz="4" w:space="0" w:color="auto"/>
            </w:tcBorders>
            <w:shd w:val="clear" w:color="auto" w:fill="auto"/>
            <w:vAlign w:val="center"/>
            <w:hideMark/>
          </w:tcPr>
          <w:p w14:paraId="1CE2446F" w14:textId="77777777" w:rsidR="00E403D6" w:rsidRPr="00F10391" w:rsidRDefault="00E403D6" w:rsidP="0063065F">
            <w:pPr>
              <w:jc w:val="left"/>
            </w:pPr>
            <w:r w:rsidRPr="00F10391">
              <w:t>Youngkong S, Teerawattananon Y, Tantivess S, Baltussen R.</w:t>
            </w:r>
          </w:p>
        </w:tc>
        <w:tc>
          <w:tcPr>
            <w:tcW w:w="2078" w:type="dxa"/>
            <w:tcBorders>
              <w:top w:val="nil"/>
              <w:left w:val="nil"/>
              <w:bottom w:val="single" w:sz="4" w:space="0" w:color="auto"/>
              <w:right w:val="single" w:sz="4" w:space="0" w:color="auto"/>
            </w:tcBorders>
            <w:shd w:val="clear" w:color="auto" w:fill="auto"/>
            <w:vAlign w:val="center"/>
            <w:hideMark/>
          </w:tcPr>
          <w:p w14:paraId="2F682167" w14:textId="77777777" w:rsidR="00E403D6" w:rsidRPr="00F10391" w:rsidRDefault="00E403D6" w:rsidP="0063065F">
            <w:pPr>
              <w:jc w:val="left"/>
            </w:pPr>
            <w:r w:rsidRPr="00F10391">
              <w:t>Health Res Policy Syst. 2012 Feb 17;10:6. Doi: 10.1186/1478-4505-10-6.</w:t>
            </w:r>
          </w:p>
        </w:tc>
        <w:tc>
          <w:tcPr>
            <w:tcW w:w="862" w:type="dxa"/>
            <w:tcBorders>
              <w:top w:val="nil"/>
              <w:left w:val="nil"/>
              <w:bottom w:val="single" w:sz="4" w:space="0" w:color="auto"/>
              <w:right w:val="single" w:sz="4" w:space="0" w:color="auto"/>
            </w:tcBorders>
            <w:shd w:val="clear" w:color="auto" w:fill="auto"/>
            <w:noWrap/>
            <w:vAlign w:val="center"/>
            <w:hideMark/>
          </w:tcPr>
          <w:p w14:paraId="48D6466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F57E363"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49BB447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03ECB4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409E75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AFBFDE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04904F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C51A8AB" w14:textId="77777777" w:rsidR="00E403D6" w:rsidRPr="00F10391" w:rsidRDefault="00E403D6">
            <w:r w:rsidRPr="00F10391">
              <w:t>Not found</w:t>
            </w:r>
          </w:p>
        </w:tc>
      </w:tr>
      <w:tr w:rsidR="00E403D6" w:rsidRPr="00F10391" w14:paraId="4D590EA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8892B99" w14:textId="77777777" w:rsidR="00E403D6" w:rsidRPr="00F10391" w:rsidRDefault="00E403D6" w:rsidP="0063065F">
            <w:pPr>
              <w:jc w:val="left"/>
            </w:pPr>
            <w:r w:rsidRPr="00F10391">
              <w:t>29/02/12</w:t>
            </w:r>
          </w:p>
        </w:tc>
        <w:tc>
          <w:tcPr>
            <w:tcW w:w="2720" w:type="dxa"/>
            <w:tcBorders>
              <w:top w:val="nil"/>
              <w:left w:val="nil"/>
              <w:bottom w:val="single" w:sz="4" w:space="0" w:color="auto"/>
              <w:right w:val="single" w:sz="4" w:space="0" w:color="auto"/>
            </w:tcBorders>
            <w:shd w:val="clear" w:color="auto" w:fill="auto"/>
            <w:vAlign w:val="center"/>
            <w:hideMark/>
          </w:tcPr>
          <w:p w14:paraId="315A47B4" w14:textId="77777777" w:rsidR="00E403D6" w:rsidRPr="00F10391" w:rsidRDefault="00E403D6" w:rsidP="0063065F">
            <w:pPr>
              <w:jc w:val="left"/>
            </w:pPr>
            <w:r w:rsidRPr="00F10391">
              <w:t>Field Testing Of A Multicriteria Decision Analysis (Mcda) Framework For Coverage Of A Screening Test For Cervical Cancer In South Africa.</w:t>
            </w:r>
          </w:p>
        </w:tc>
        <w:tc>
          <w:tcPr>
            <w:tcW w:w="1985" w:type="dxa"/>
            <w:tcBorders>
              <w:top w:val="nil"/>
              <w:left w:val="nil"/>
              <w:bottom w:val="single" w:sz="4" w:space="0" w:color="auto"/>
              <w:right w:val="single" w:sz="4" w:space="0" w:color="auto"/>
            </w:tcBorders>
            <w:shd w:val="clear" w:color="auto" w:fill="auto"/>
            <w:vAlign w:val="center"/>
            <w:hideMark/>
          </w:tcPr>
          <w:p w14:paraId="6F7D83ED" w14:textId="77777777" w:rsidR="00E403D6" w:rsidRPr="00F10391" w:rsidRDefault="00E403D6" w:rsidP="0063065F">
            <w:pPr>
              <w:jc w:val="left"/>
            </w:pPr>
            <w:r w:rsidRPr="00F10391">
              <w:t>Miot, Jacqui; Wagner, Monika; Khoury, Hanane; Rindress, Donna; Goetghebeur, Mireille M</w:t>
            </w:r>
          </w:p>
        </w:tc>
        <w:tc>
          <w:tcPr>
            <w:tcW w:w="2078" w:type="dxa"/>
            <w:tcBorders>
              <w:top w:val="nil"/>
              <w:left w:val="nil"/>
              <w:bottom w:val="single" w:sz="4" w:space="0" w:color="auto"/>
              <w:right w:val="single" w:sz="4" w:space="0" w:color="auto"/>
            </w:tcBorders>
            <w:shd w:val="clear" w:color="auto" w:fill="auto"/>
            <w:vAlign w:val="center"/>
            <w:hideMark/>
          </w:tcPr>
          <w:p w14:paraId="3D3B1C80" w14:textId="77777777" w:rsidR="00E403D6" w:rsidRPr="00F10391" w:rsidRDefault="00E403D6" w:rsidP="0063065F">
            <w:pPr>
              <w:jc w:val="left"/>
            </w:pPr>
            <w:r w:rsidRPr="00F10391">
              <w:t>Cost Effectiveness And Resource Allocation : C/E. 2012;10(1):2-2</w:t>
            </w:r>
          </w:p>
        </w:tc>
        <w:tc>
          <w:tcPr>
            <w:tcW w:w="862" w:type="dxa"/>
            <w:tcBorders>
              <w:top w:val="nil"/>
              <w:left w:val="nil"/>
              <w:bottom w:val="single" w:sz="4" w:space="0" w:color="auto"/>
              <w:right w:val="single" w:sz="4" w:space="0" w:color="auto"/>
            </w:tcBorders>
            <w:shd w:val="clear" w:color="auto" w:fill="auto"/>
            <w:noWrap/>
            <w:vAlign w:val="center"/>
            <w:hideMark/>
          </w:tcPr>
          <w:p w14:paraId="1FC128A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0415374"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752B593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B0B59A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D7BCD2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17A882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4C5BCA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0E2F189" w14:textId="77777777" w:rsidR="00E403D6" w:rsidRPr="00F10391" w:rsidRDefault="00E403D6">
            <w:r w:rsidRPr="00F10391">
              <w:t>Not found</w:t>
            </w:r>
          </w:p>
        </w:tc>
      </w:tr>
      <w:tr w:rsidR="00E403D6" w:rsidRPr="00F10391" w14:paraId="7EB8745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C94F111" w14:textId="77777777" w:rsidR="00E403D6" w:rsidRPr="00F10391" w:rsidRDefault="00E403D6" w:rsidP="0063065F">
            <w:pPr>
              <w:jc w:val="left"/>
            </w:pPr>
            <w:r w:rsidRPr="00F10391">
              <w:t>01/03/12</w:t>
            </w:r>
          </w:p>
        </w:tc>
        <w:tc>
          <w:tcPr>
            <w:tcW w:w="2720" w:type="dxa"/>
            <w:tcBorders>
              <w:top w:val="nil"/>
              <w:left w:val="nil"/>
              <w:bottom w:val="single" w:sz="4" w:space="0" w:color="auto"/>
              <w:right w:val="single" w:sz="4" w:space="0" w:color="auto"/>
            </w:tcBorders>
            <w:shd w:val="clear" w:color="auto" w:fill="auto"/>
            <w:vAlign w:val="center"/>
            <w:hideMark/>
          </w:tcPr>
          <w:p w14:paraId="28F0FA6F" w14:textId="77777777" w:rsidR="00E403D6" w:rsidRPr="00F10391" w:rsidRDefault="00E403D6" w:rsidP="0063065F">
            <w:pPr>
              <w:jc w:val="left"/>
            </w:pPr>
            <w:r w:rsidRPr="00F10391">
              <w:t>System Tools For System Change</w:t>
            </w:r>
          </w:p>
        </w:tc>
        <w:tc>
          <w:tcPr>
            <w:tcW w:w="1985" w:type="dxa"/>
            <w:tcBorders>
              <w:top w:val="nil"/>
              <w:left w:val="nil"/>
              <w:bottom w:val="single" w:sz="4" w:space="0" w:color="auto"/>
              <w:right w:val="single" w:sz="4" w:space="0" w:color="auto"/>
            </w:tcBorders>
            <w:shd w:val="clear" w:color="auto" w:fill="auto"/>
            <w:vAlign w:val="center"/>
            <w:hideMark/>
          </w:tcPr>
          <w:p w14:paraId="3FC44579" w14:textId="77777777" w:rsidR="00E403D6" w:rsidRPr="00F10391" w:rsidRDefault="00E403D6" w:rsidP="0063065F">
            <w:pPr>
              <w:jc w:val="left"/>
            </w:pPr>
            <w:r w:rsidRPr="00F10391">
              <w:t>Willis, Cameron D.; Mitton, Craig; Gordon, Jason; Best, Allan</w:t>
            </w:r>
          </w:p>
        </w:tc>
        <w:tc>
          <w:tcPr>
            <w:tcW w:w="2078" w:type="dxa"/>
            <w:tcBorders>
              <w:top w:val="nil"/>
              <w:left w:val="nil"/>
              <w:bottom w:val="single" w:sz="4" w:space="0" w:color="auto"/>
              <w:right w:val="single" w:sz="4" w:space="0" w:color="auto"/>
            </w:tcBorders>
            <w:shd w:val="clear" w:color="auto" w:fill="auto"/>
            <w:vAlign w:val="center"/>
            <w:hideMark/>
          </w:tcPr>
          <w:p w14:paraId="67AA01EE" w14:textId="77777777" w:rsidR="00E403D6" w:rsidRPr="00F10391" w:rsidRDefault="00E403D6" w:rsidP="0063065F">
            <w:pPr>
              <w:jc w:val="left"/>
            </w:pPr>
            <w:r w:rsidRPr="00F10391">
              <w:t>Bmj Quality &amp; Safety. 2012;21(3):250-262</w:t>
            </w:r>
          </w:p>
        </w:tc>
        <w:tc>
          <w:tcPr>
            <w:tcW w:w="862" w:type="dxa"/>
            <w:tcBorders>
              <w:top w:val="nil"/>
              <w:left w:val="nil"/>
              <w:bottom w:val="single" w:sz="4" w:space="0" w:color="auto"/>
              <w:right w:val="single" w:sz="4" w:space="0" w:color="auto"/>
            </w:tcBorders>
            <w:shd w:val="clear" w:color="auto" w:fill="auto"/>
            <w:noWrap/>
            <w:vAlign w:val="center"/>
            <w:hideMark/>
          </w:tcPr>
          <w:p w14:paraId="0018F28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81D3AE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4696E2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B4E66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F6E0E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1E79D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B364132"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2B6FE532" w14:textId="77777777" w:rsidR="00E403D6" w:rsidRPr="00F10391" w:rsidRDefault="00E403D6">
            <w:r w:rsidRPr="00F10391">
              <w:t>Not found</w:t>
            </w:r>
          </w:p>
        </w:tc>
      </w:tr>
      <w:tr w:rsidR="00E403D6" w:rsidRPr="00F10391" w14:paraId="069F21D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5360BC" w14:textId="77777777" w:rsidR="00E403D6" w:rsidRPr="00F10391" w:rsidRDefault="00E403D6" w:rsidP="0063065F">
            <w:pPr>
              <w:jc w:val="left"/>
            </w:pPr>
            <w:r w:rsidRPr="00F10391">
              <w:t>01/03/12</w:t>
            </w:r>
          </w:p>
        </w:tc>
        <w:tc>
          <w:tcPr>
            <w:tcW w:w="2720" w:type="dxa"/>
            <w:tcBorders>
              <w:top w:val="nil"/>
              <w:left w:val="nil"/>
              <w:bottom w:val="single" w:sz="4" w:space="0" w:color="auto"/>
              <w:right w:val="single" w:sz="4" w:space="0" w:color="auto"/>
            </w:tcBorders>
            <w:shd w:val="clear" w:color="auto" w:fill="auto"/>
            <w:vAlign w:val="center"/>
            <w:hideMark/>
          </w:tcPr>
          <w:p w14:paraId="6AB2B1FC" w14:textId="77777777" w:rsidR="00E403D6" w:rsidRPr="00F10391" w:rsidRDefault="00E403D6" w:rsidP="0063065F">
            <w:pPr>
              <w:jc w:val="left"/>
            </w:pPr>
            <w:r w:rsidRPr="00F10391">
              <w:t>Development And Validation Of The System Of Quality Of Life Instruments For Cancer Patients: Head And Neck Cancer (Qlicp-Hn).</w:t>
            </w:r>
          </w:p>
        </w:tc>
        <w:tc>
          <w:tcPr>
            <w:tcW w:w="1985" w:type="dxa"/>
            <w:tcBorders>
              <w:top w:val="nil"/>
              <w:left w:val="nil"/>
              <w:bottom w:val="single" w:sz="4" w:space="0" w:color="auto"/>
              <w:right w:val="single" w:sz="4" w:space="0" w:color="auto"/>
            </w:tcBorders>
            <w:shd w:val="clear" w:color="auto" w:fill="auto"/>
            <w:vAlign w:val="center"/>
            <w:hideMark/>
          </w:tcPr>
          <w:p w14:paraId="6462F865" w14:textId="77777777" w:rsidR="00E403D6" w:rsidRPr="005D7324" w:rsidRDefault="00E403D6" w:rsidP="0063065F">
            <w:pPr>
              <w:jc w:val="left"/>
            </w:pPr>
            <w:r w:rsidRPr="005D7324">
              <w:t>Yang Z, Luo J, Meng Q, Li G, Li X, Ding Y, Wan C.</w:t>
            </w:r>
          </w:p>
        </w:tc>
        <w:tc>
          <w:tcPr>
            <w:tcW w:w="2078" w:type="dxa"/>
            <w:tcBorders>
              <w:top w:val="nil"/>
              <w:left w:val="nil"/>
              <w:bottom w:val="single" w:sz="4" w:space="0" w:color="auto"/>
              <w:right w:val="single" w:sz="4" w:space="0" w:color="auto"/>
            </w:tcBorders>
            <w:shd w:val="clear" w:color="auto" w:fill="auto"/>
            <w:vAlign w:val="center"/>
            <w:hideMark/>
          </w:tcPr>
          <w:p w14:paraId="43E03174" w14:textId="77777777" w:rsidR="00E403D6" w:rsidRPr="00F10391" w:rsidRDefault="00E403D6" w:rsidP="0063065F">
            <w:pPr>
              <w:jc w:val="left"/>
            </w:pPr>
            <w:r w:rsidRPr="00F10391">
              <w:t>Oral Oncol. 2012 Aug;48(8):737-46. Doi: 10.1016/J.Oraloncology.2012.01.025. Epub 2012 Feb 26.</w:t>
            </w:r>
          </w:p>
        </w:tc>
        <w:tc>
          <w:tcPr>
            <w:tcW w:w="862" w:type="dxa"/>
            <w:tcBorders>
              <w:top w:val="nil"/>
              <w:left w:val="nil"/>
              <w:bottom w:val="single" w:sz="4" w:space="0" w:color="auto"/>
              <w:right w:val="single" w:sz="4" w:space="0" w:color="auto"/>
            </w:tcBorders>
            <w:shd w:val="clear" w:color="auto" w:fill="auto"/>
            <w:noWrap/>
            <w:vAlign w:val="center"/>
            <w:hideMark/>
          </w:tcPr>
          <w:p w14:paraId="0AD6052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F90BD7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EC0D0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0C862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83B8D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58250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990FAC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9F13C33" w14:textId="77777777" w:rsidR="00E403D6" w:rsidRPr="00F10391" w:rsidRDefault="00E403D6">
            <w:r w:rsidRPr="00F10391">
              <w:t>Not found</w:t>
            </w:r>
          </w:p>
        </w:tc>
      </w:tr>
      <w:tr w:rsidR="00E403D6" w:rsidRPr="00F10391" w14:paraId="5BCEB3F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1E1AFCA" w14:textId="77777777" w:rsidR="00E403D6" w:rsidRPr="00F10391" w:rsidRDefault="00E403D6" w:rsidP="0063065F">
            <w:pPr>
              <w:jc w:val="left"/>
            </w:pPr>
            <w:r w:rsidRPr="00F10391">
              <w:t>02/03/12</w:t>
            </w:r>
          </w:p>
        </w:tc>
        <w:tc>
          <w:tcPr>
            <w:tcW w:w="2720" w:type="dxa"/>
            <w:tcBorders>
              <w:top w:val="nil"/>
              <w:left w:val="nil"/>
              <w:bottom w:val="single" w:sz="4" w:space="0" w:color="auto"/>
              <w:right w:val="single" w:sz="4" w:space="0" w:color="auto"/>
            </w:tcBorders>
            <w:shd w:val="clear" w:color="auto" w:fill="auto"/>
            <w:vAlign w:val="center"/>
            <w:hideMark/>
          </w:tcPr>
          <w:p w14:paraId="6A218FD4" w14:textId="77777777" w:rsidR="00E403D6" w:rsidRPr="00F10391" w:rsidRDefault="00E403D6" w:rsidP="0063065F">
            <w:pPr>
              <w:jc w:val="left"/>
            </w:pPr>
            <w:r w:rsidRPr="00F10391">
              <w:t>Field Testing Of A Multicriteria Decision Analysis (Mcda) Framework For Coverage Of A Screening Test For Cervical Cancer In South Africa.</w:t>
            </w:r>
          </w:p>
        </w:tc>
        <w:tc>
          <w:tcPr>
            <w:tcW w:w="1985" w:type="dxa"/>
            <w:tcBorders>
              <w:top w:val="nil"/>
              <w:left w:val="nil"/>
              <w:bottom w:val="single" w:sz="4" w:space="0" w:color="auto"/>
              <w:right w:val="single" w:sz="4" w:space="0" w:color="auto"/>
            </w:tcBorders>
            <w:shd w:val="clear" w:color="auto" w:fill="auto"/>
            <w:vAlign w:val="center"/>
            <w:hideMark/>
          </w:tcPr>
          <w:p w14:paraId="2497A1BE" w14:textId="77777777" w:rsidR="00E403D6" w:rsidRPr="00F10391" w:rsidRDefault="00E403D6" w:rsidP="0063065F">
            <w:pPr>
              <w:jc w:val="left"/>
            </w:pPr>
            <w:r w:rsidRPr="00F10391">
              <w:t>Miot J, Wagner M, Khoury H, Rindress D, Goetghebeur Mm.</w:t>
            </w:r>
          </w:p>
        </w:tc>
        <w:tc>
          <w:tcPr>
            <w:tcW w:w="2078" w:type="dxa"/>
            <w:tcBorders>
              <w:top w:val="nil"/>
              <w:left w:val="nil"/>
              <w:bottom w:val="single" w:sz="4" w:space="0" w:color="auto"/>
              <w:right w:val="single" w:sz="4" w:space="0" w:color="auto"/>
            </w:tcBorders>
            <w:shd w:val="clear" w:color="auto" w:fill="auto"/>
            <w:vAlign w:val="center"/>
            <w:hideMark/>
          </w:tcPr>
          <w:p w14:paraId="6824B4D0" w14:textId="77777777" w:rsidR="00E403D6" w:rsidRPr="00F10391" w:rsidRDefault="00E403D6" w:rsidP="0063065F">
            <w:pPr>
              <w:jc w:val="left"/>
            </w:pPr>
            <w:r w:rsidRPr="00F10391">
              <w:t>Cost Eff Resour Alloc. 2012 Feb 29;10(1):2. Doi: 10.1186/1478-7547-10-2.</w:t>
            </w:r>
          </w:p>
        </w:tc>
        <w:tc>
          <w:tcPr>
            <w:tcW w:w="862" w:type="dxa"/>
            <w:tcBorders>
              <w:top w:val="nil"/>
              <w:left w:val="nil"/>
              <w:bottom w:val="single" w:sz="4" w:space="0" w:color="auto"/>
              <w:right w:val="single" w:sz="4" w:space="0" w:color="auto"/>
            </w:tcBorders>
            <w:shd w:val="clear" w:color="auto" w:fill="auto"/>
            <w:noWrap/>
            <w:vAlign w:val="center"/>
            <w:hideMark/>
          </w:tcPr>
          <w:p w14:paraId="633971A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DC997D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9D3D9B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5438E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18576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9DCED1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B7F944C"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2868E966" w14:textId="77777777" w:rsidR="00E403D6" w:rsidRPr="00F10391" w:rsidRDefault="00E403D6">
            <w:r w:rsidRPr="00F10391">
              <w:t>Not found</w:t>
            </w:r>
          </w:p>
        </w:tc>
      </w:tr>
      <w:tr w:rsidR="00E403D6" w:rsidRPr="00F10391" w14:paraId="0A03437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3DAD044" w14:textId="77777777" w:rsidR="00E403D6" w:rsidRPr="00F10391" w:rsidRDefault="00E403D6" w:rsidP="0063065F">
            <w:pPr>
              <w:jc w:val="left"/>
            </w:pPr>
            <w:r w:rsidRPr="00F10391">
              <w:t>21/03/12</w:t>
            </w:r>
          </w:p>
        </w:tc>
        <w:tc>
          <w:tcPr>
            <w:tcW w:w="2720" w:type="dxa"/>
            <w:tcBorders>
              <w:top w:val="nil"/>
              <w:left w:val="nil"/>
              <w:bottom w:val="single" w:sz="4" w:space="0" w:color="auto"/>
              <w:right w:val="single" w:sz="4" w:space="0" w:color="auto"/>
            </w:tcBorders>
            <w:shd w:val="clear" w:color="auto" w:fill="auto"/>
            <w:vAlign w:val="center"/>
            <w:hideMark/>
          </w:tcPr>
          <w:p w14:paraId="1C7489C3" w14:textId="77777777" w:rsidR="00E403D6" w:rsidRPr="00F10391" w:rsidRDefault="00E403D6" w:rsidP="0063065F">
            <w:pPr>
              <w:jc w:val="left"/>
            </w:pPr>
            <w:r w:rsidRPr="00F10391">
              <w:t>Quantifying The Underestimated Burden Of Road Traffic Mortality In Mexico: A Comparison Of Three Approaches.</w:t>
            </w:r>
          </w:p>
        </w:tc>
        <w:tc>
          <w:tcPr>
            <w:tcW w:w="1985" w:type="dxa"/>
            <w:tcBorders>
              <w:top w:val="nil"/>
              <w:left w:val="nil"/>
              <w:bottom w:val="single" w:sz="4" w:space="0" w:color="auto"/>
              <w:right w:val="single" w:sz="4" w:space="0" w:color="auto"/>
            </w:tcBorders>
            <w:shd w:val="clear" w:color="auto" w:fill="auto"/>
            <w:vAlign w:val="center"/>
            <w:hideMark/>
          </w:tcPr>
          <w:p w14:paraId="3DD5B523" w14:textId="77777777" w:rsidR="00E403D6" w:rsidRPr="00F10391" w:rsidRDefault="00E403D6" w:rsidP="0063065F">
            <w:pPr>
              <w:jc w:val="left"/>
            </w:pPr>
            <w:r w:rsidRPr="00F10391">
              <w:t>Hijar M, Chandran A, Pí©Rez-Ní_Í±Ez R, Lunnen Jc, Martí_N Rodrí_Guez-HerníNdez J, Hyder Aa.</w:t>
            </w:r>
          </w:p>
        </w:tc>
        <w:tc>
          <w:tcPr>
            <w:tcW w:w="2078" w:type="dxa"/>
            <w:tcBorders>
              <w:top w:val="nil"/>
              <w:left w:val="nil"/>
              <w:bottom w:val="single" w:sz="4" w:space="0" w:color="auto"/>
              <w:right w:val="single" w:sz="4" w:space="0" w:color="auto"/>
            </w:tcBorders>
            <w:shd w:val="clear" w:color="auto" w:fill="auto"/>
            <w:vAlign w:val="center"/>
            <w:hideMark/>
          </w:tcPr>
          <w:p w14:paraId="4A92DB80" w14:textId="77777777" w:rsidR="00E403D6" w:rsidRPr="00F10391" w:rsidRDefault="00E403D6" w:rsidP="0063065F">
            <w:pPr>
              <w:jc w:val="left"/>
            </w:pPr>
            <w:r w:rsidRPr="00F10391">
              <w:t>Traffic Inj Prev. 2012;13 Suppl 1:5-10. Doi: 10.1080/15389588.2011.631065.</w:t>
            </w:r>
          </w:p>
        </w:tc>
        <w:tc>
          <w:tcPr>
            <w:tcW w:w="862" w:type="dxa"/>
            <w:tcBorders>
              <w:top w:val="nil"/>
              <w:left w:val="nil"/>
              <w:bottom w:val="single" w:sz="4" w:space="0" w:color="auto"/>
              <w:right w:val="single" w:sz="4" w:space="0" w:color="auto"/>
            </w:tcBorders>
            <w:shd w:val="clear" w:color="auto" w:fill="auto"/>
            <w:noWrap/>
            <w:vAlign w:val="center"/>
            <w:hideMark/>
          </w:tcPr>
          <w:p w14:paraId="7EFBAAE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7D7F48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2CC90B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D8CD1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40DA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1B7B5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4573F6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2290074" w14:textId="77777777" w:rsidR="00E403D6" w:rsidRPr="00F10391" w:rsidRDefault="00E403D6">
            <w:r w:rsidRPr="00F10391">
              <w:t>Not found</w:t>
            </w:r>
          </w:p>
        </w:tc>
      </w:tr>
      <w:tr w:rsidR="00E403D6" w:rsidRPr="00F10391" w14:paraId="60A6D47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A4050EC" w14:textId="77777777" w:rsidR="00E403D6" w:rsidRPr="00F10391" w:rsidRDefault="00E403D6" w:rsidP="0063065F">
            <w:pPr>
              <w:jc w:val="left"/>
            </w:pPr>
            <w:r w:rsidRPr="00F10391">
              <w:t>04/04/12</w:t>
            </w:r>
          </w:p>
        </w:tc>
        <w:tc>
          <w:tcPr>
            <w:tcW w:w="2720" w:type="dxa"/>
            <w:tcBorders>
              <w:top w:val="nil"/>
              <w:left w:val="nil"/>
              <w:bottom w:val="single" w:sz="4" w:space="0" w:color="auto"/>
              <w:right w:val="single" w:sz="4" w:space="0" w:color="auto"/>
            </w:tcBorders>
            <w:shd w:val="clear" w:color="auto" w:fill="auto"/>
            <w:vAlign w:val="center"/>
            <w:hideMark/>
          </w:tcPr>
          <w:p w14:paraId="506D5104" w14:textId="77777777" w:rsidR="00E403D6" w:rsidRPr="00F10391" w:rsidRDefault="00E403D6" w:rsidP="0063065F">
            <w:pPr>
              <w:jc w:val="left"/>
            </w:pPr>
            <w:r w:rsidRPr="00F10391">
              <w:t>Multidisciplinary And Evidence-Based Method For Prioritizing Diseases Of Food-Producing Animals And Zoonoses.</w:t>
            </w:r>
          </w:p>
        </w:tc>
        <w:tc>
          <w:tcPr>
            <w:tcW w:w="1985" w:type="dxa"/>
            <w:tcBorders>
              <w:top w:val="nil"/>
              <w:left w:val="nil"/>
              <w:bottom w:val="single" w:sz="4" w:space="0" w:color="auto"/>
              <w:right w:val="single" w:sz="4" w:space="0" w:color="auto"/>
            </w:tcBorders>
            <w:shd w:val="clear" w:color="auto" w:fill="auto"/>
            <w:vAlign w:val="center"/>
            <w:hideMark/>
          </w:tcPr>
          <w:p w14:paraId="0CC9D3C8" w14:textId="77777777" w:rsidR="00E403D6" w:rsidRPr="00F10391" w:rsidRDefault="00E403D6" w:rsidP="0063065F">
            <w:pPr>
              <w:jc w:val="left"/>
            </w:pPr>
            <w:r w:rsidRPr="00F10391">
              <w:t>Humblet Mf, Vandeputte S, Albert A, Gosset C, Kirschvink N, Haubruge E, Fecher-Bourgeois F, Pastoret Pp, Saegerman C.</w:t>
            </w:r>
          </w:p>
        </w:tc>
        <w:tc>
          <w:tcPr>
            <w:tcW w:w="2078" w:type="dxa"/>
            <w:tcBorders>
              <w:top w:val="nil"/>
              <w:left w:val="nil"/>
              <w:bottom w:val="single" w:sz="4" w:space="0" w:color="auto"/>
              <w:right w:val="single" w:sz="4" w:space="0" w:color="auto"/>
            </w:tcBorders>
            <w:shd w:val="clear" w:color="auto" w:fill="auto"/>
            <w:vAlign w:val="center"/>
            <w:hideMark/>
          </w:tcPr>
          <w:p w14:paraId="35CE6484" w14:textId="77777777" w:rsidR="00E403D6" w:rsidRPr="005D7324" w:rsidRDefault="00E403D6" w:rsidP="0063065F">
            <w:pPr>
              <w:jc w:val="left"/>
            </w:pPr>
            <w:r w:rsidRPr="005D7324">
              <w:t>Emerg Infect Dis. 2012 Apr;18(4). Doi: 10.3201/Eid1804.111151.</w:t>
            </w:r>
          </w:p>
        </w:tc>
        <w:tc>
          <w:tcPr>
            <w:tcW w:w="862" w:type="dxa"/>
            <w:tcBorders>
              <w:top w:val="nil"/>
              <w:left w:val="nil"/>
              <w:bottom w:val="single" w:sz="4" w:space="0" w:color="auto"/>
              <w:right w:val="single" w:sz="4" w:space="0" w:color="auto"/>
            </w:tcBorders>
            <w:shd w:val="clear" w:color="auto" w:fill="auto"/>
            <w:noWrap/>
            <w:vAlign w:val="center"/>
            <w:hideMark/>
          </w:tcPr>
          <w:p w14:paraId="49F2F30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861E33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E561A4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83C091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23485C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3FCEA6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8B9336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3F6DDC5" w14:textId="77777777" w:rsidR="00E403D6" w:rsidRPr="00F10391" w:rsidRDefault="00E403D6">
            <w:r w:rsidRPr="00F10391">
              <w:t>Not found</w:t>
            </w:r>
          </w:p>
        </w:tc>
      </w:tr>
      <w:tr w:rsidR="00E403D6" w:rsidRPr="00F10391" w14:paraId="0D01744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B31A37B" w14:textId="77777777" w:rsidR="00E403D6" w:rsidRPr="00F10391" w:rsidRDefault="00E403D6" w:rsidP="0063065F">
            <w:pPr>
              <w:jc w:val="left"/>
            </w:pPr>
            <w:r w:rsidRPr="00F10391">
              <w:t>30/04/12</w:t>
            </w:r>
          </w:p>
        </w:tc>
        <w:tc>
          <w:tcPr>
            <w:tcW w:w="2720" w:type="dxa"/>
            <w:tcBorders>
              <w:top w:val="nil"/>
              <w:left w:val="nil"/>
              <w:bottom w:val="single" w:sz="4" w:space="0" w:color="auto"/>
              <w:right w:val="single" w:sz="4" w:space="0" w:color="auto"/>
            </w:tcBorders>
            <w:shd w:val="clear" w:color="auto" w:fill="auto"/>
            <w:vAlign w:val="center"/>
            <w:hideMark/>
          </w:tcPr>
          <w:p w14:paraId="3A59A61D" w14:textId="77777777" w:rsidR="00E403D6" w:rsidRPr="00F10391" w:rsidRDefault="00E403D6" w:rsidP="0063065F">
            <w:pPr>
              <w:jc w:val="left"/>
            </w:pPr>
            <w:r w:rsidRPr="00F10391">
              <w:t>Evaluation Of Remedial Options For A Benzene-Contaminated Site Through A Simulation-Based Fuzzy-Mcda Approach</w:t>
            </w:r>
          </w:p>
        </w:tc>
        <w:tc>
          <w:tcPr>
            <w:tcW w:w="1985" w:type="dxa"/>
            <w:tcBorders>
              <w:top w:val="nil"/>
              <w:left w:val="nil"/>
              <w:bottom w:val="single" w:sz="4" w:space="0" w:color="auto"/>
              <w:right w:val="single" w:sz="4" w:space="0" w:color="auto"/>
            </w:tcBorders>
            <w:shd w:val="clear" w:color="auto" w:fill="auto"/>
            <w:vAlign w:val="center"/>
            <w:hideMark/>
          </w:tcPr>
          <w:p w14:paraId="1C4666E7" w14:textId="77777777" w:rsidR="00E403D6" w:rsidRPr="005D7324" w:rsidRDefault="00E403D6" w:rsidP="0063065F">
            <w:pPr>
              <w:jc w:val="left"/>
            </w:pPr>
            <w:r w:rsidRPr="005D7324">
              <w:t>Yang, A. L.; Huang, G. H.; Qin, X. S.; Fan, Y. R.</w:t>
            </w:r>
          </w:p>
        </w:tc>
        <w:tc>
          <w:tcPr>
            <w:tcW w:w="2078" w:type="dxa"/>
            <w:tcBorders>
              <w:top w:val="nil"/>
              <w:left w:val="nil"/>
              <w:bottom w:val="single" w:sz="4" w:space="0" w:color="auto"/>
              <w:right w:val="single" w:sz="4" w:space="0" w:color="auto"/>
            </w:tcBorders>
            <w:shd w:val="clear" w:color="auto" w:fill="auto"/>
            <w:vAlign w:val="center"/>
            <w:hideMark/>
          </w:tcPr>
          <w:p w14:paraId="53E66084" w14:textId="77777777" w:rsidR="00E403D6" w:rsidRPr="00F10391" w:rsidRDefault="00E403D6" w:rsidP="0063065F">
            <w:pPr>
              <w:jc w:val="left"/>
            </w:pPr>
            <w:r w:rsidRPr="00F10391">
              <w:t>Journal Of Hazardous Materials. 2012;213():421-433</w:t>
            </w:r>
          </w:p>
        </w:tc>
        <w:tc>
          <w:tcPr>
            <w:tcW w:w="862" w:type="dxa"/>
            <w:tcBorders>
              <w:top w:val="nil"/>
              <w:left w:val="nil"/>
              <w:bottom w:val="single" w:sz="4" w:space="0" w:color="auto"/>
              <w:right w:val="single" w:sz="4" w:space="0" w:color="auto"/>
            </w:tcBorders>
            <w:shd w:val="clear" w:color="auto" w:fill="auto"/>
            <w:noWrap/>
            <w:vAlign w:val="center"/>
            <w:hideMark/>
          </w:tcPr>
          <w:p w14:paraId="4811956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59E388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1EBB39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A5671B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545D1B" w14:textId="77777777" w:rsidR="00E403D6" w:rsidRPr="00F10391" w:rsidRDefault="00E403D6"/>
        </w:tc>
        <w:tc>
          <w:tcPr>
            <w:tcW w:w="840" w:type="dxa"/>
            <w:tcBorders>
              <w:top w:val="nil"/>
              <w:left w:val="nil"/>
              <w:bottom w:val="single" w:sz="4" w:space="0" w:color="auto"/>
              <w:right w:val="single" w:sz="4" w:space="0" w:color="auto"/>
            </w:tcBorders>
            <w:shd w:val="clear" w:color="auto" w:fill="auto"/>
            <w:noWrap/>
            <w:vAlign w:val="center"/>
            <w:hideMark/>
          </w:tcPr>
          <w:p w14:paraId="4C84C26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C23C5E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6C4E38" w14:textId="77777777" w:rsidR="00E403D6" w:rsidRPr="00F10391" w:rsidRDefault="00E403D6">
            <w:r w:rsidRPr="00F10391">
              <w:t>Not found</w:t>
            </w:r>
          </w:p>
        </w:tc>
      </w:tr>
      <w:tr w:rsidR="00E403D6" w:rsidRPr="00F10391" w14:paraId="2DBDBFB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D617D8" w14:textId="77777777" w:rsidR="00E403D6" w:rsidRPr="00F10391" w:rsidRDefault="00E403D6" w:rsidP="0063065F">
            <w:pPr>
              <w:jc w:val="left"/>
            </w:pPr>
            <w:r w:rsidRPr="00F10391">
              <w:t>16/05/12</w:t>
            </w:r>
          </w:p>
        </w:tc>
        <w:tc>
          <w:tcPr>
            <w:tcW w:w="2720" w:type="dxa"/>
            <w:tcBorders>
              <w:top w:val="nil"/>
              <w:left w:val="nil"/>
              <w:bottom w:val="single" w:sz="4" w:space="0" w:color="auto"/>
              <w:right w:val="single" w:sz="4" w:space="0" w:color="auto"/>
            </w:tcBorders>
            <w:shd w:val="clear" w:color="auto" w:fill="auto"/>
            <w:vAlign w:val="center"/>
            <w:hideMark/>
          </w:tcPr>
          <w:p w14:paraId="2F5D635B" w14:textId="77777777" w:rsidR="00E403D6" w:rsidRPr="00F10391" w:rsidRDefault="00E403D6" w:rsidP="0063065F">
            <w:pPr>
              <w:jc w:val="left"/>
            </w:pPr>
            <w:r w:rsidRPr="00F10391">
              <w:t>Decision-Making Criteria Among National Policymakers In Five Countries: A Discrete Choice Experiment Eliciting Relative Preferences For Equity And Efficiency.</w:t>
            </w:r>
          </w:p>
        </w:tc>
        <w:tc>
          <w:tcPr>
            <w:tcW w:w="1985" w:type="dxa"/>
            <w:tcBorders>
              <w:top w:val="nil"/>
              <w:left w:val="nil"/>
              <w:bottom w:val="single" w:sz="4" w:space="0" w:color="auto"/>
              <w:right w:val="single" w:sz="4" w:space="0" w:color="auto"/>
            </w:tcBorders>
            <w:shd w:val="clear" w:color="auto" w:fill="auto"/>
            <w:vAlign w:val="center"/>
            <w:hideMark/>
          </w:tcPr>
          <w:p w14:paraId="2CB96224" w14:textId="77777777" w:rsidR="00E403D6" w:rsidRPr="00F10391" w:rsidRDefault="00E403D6" w:rsidP="0063065F">
            <w:pPr>
              <w:jc w:val="left"/>
            </w:pPr>
            <w:r w:rsidRPr="00F10391">
              <w:t>Mirelman A, Mentzakis E, Kinter E, Paolucci F, Fordham R, Ozawa S, Ferraz M, Baltussen R, Niessen Lw.</w:t>
            </w:r>
          </w:p>
        </w:tc>
        <w:tc>
          <w:tcPr>
            <w:tcW w:w="2078" w:type="dxa"/>
            <w:tcBorders>
              <w:top w:val="nil"/>
              <w:left w:val="nil"/>
              <w:bottom w:val="single" w:sz="4" w:space="0" w:color="auto"/>
              <w:right w:val="single" w:sz="4" w:space="0" w:color="auto"/>
            </w:tcBorders>
            <w:shd w:val="clear" w:color="auto" w:fill="auto"/>
            <w:vAlign w:val="center"/>
            <w:hideMark/>
          </w:tcPr>
          <w:p w14:paraId="5EF6CEE0" w14:textId="77777777" w:rsidR="00E403D6" w:rsidRPr="00F10391" w:rsidRDefault="00E403D6" w:rsidP="0063065F">
            <w:pPr>
              <w:jc w:val="left"/>
            </w:pPr>
            <w:r w:rsidRPr="00F10391">
              <w:t>Value Health. 2012 May;15(3):534-9. Doi: 10.1016/J.Jval.2012.04.001.</w:t>
            </w:r>
          </w:p>
        </w:tc>
        <w:tc>
          <w:tcPr>
            <w:tcW w:w="862" w:type="dxa"/>
            <w:tcBorders>
              <w:top w:val="nil"/>
              <w:left w:val="nil"/>
              <w:bottom w:val="single" w:sz="4" w:space="0" w:color="auto"/>
              <w:right w:val="single" w:sz="4" w:space="0" w:color="auto"/>
            </w:tcBorders>
            <w:shd w:val="clear" w:color="auto" w:fill="auto"/>
            <w:noWrap/>
            <w:vAlign w:val="center"/>
            <w:hideMark/>
          </w:tcPr>
          <w:p w14:paraId="3D6B526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943EF0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E36150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D1381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62551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67928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F6BF9FD"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0C622F50" w14:textId="77777777" w:rsidR="00E403D6" w:rsidRPr="00F10391" w:rsidRDefault="00E403D6">
            <w:r w:rsidRPr="00F10391">
              <w:t>Not found</w:t>
            </w:r>
          </w:p>
        </w:tc>
      </w:tr>
      <w:tr w:rsidR="00E403D6" w:rsidRPr="00F10391" w14:paraId="05A2376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370BD66" w14:textId="77777777" w:rsidR="00E403D6" w:rsidRPr="00F10391" w:rsidRDefault="00E403D6" w:rsidP="0063065F">
            <w:pPr>
              <w:jc w:val="left"/>
            </w:pPr>
            <w:r w:rsidRPr="00F10391">
              <w:t>15/06/12</w:t>
            </w:r>
          </w:p>
        </w:tc>
        <w:tc>
          <w:tcPr>
            <w:tcW w:w="2720" w:type="dxa"/>
            <w:tcBorders>
              <w:top w:val="nil"/>
              <w:left w:val="nil"/>
              <w:bottom w:val="single" w:sz="4" w:space="0" w:color="auto"/>
              <w:right w:val="single" w:sz="4" w:space="0" w:color="auto"/>
            </w:tcBorders>
            <w:shd w:val="clear" w:color="auto" w:fill="auto"/>
            <w:vAlign w:val="center"/>
            <w:hideMark/>
          </w:tcPr>
          <w:p w14:paraId="771EDDCC" w14:textId="77777777" w:rsidR="00E403D6" w:rsidRPr="00F10391" w:rsidRDefault="00E403D6" w:rsidP="0063065F">
            <w:pPr>
              <w:jc w:val="left"/>
            </w:pPr>
            <w:r w:rsidRPr="00F10391">
              <w:t>Exercise And Mobilisation Interventions For Carpal Tunnel Syndrome.</w:t>
            </w:r>
          </w:p>
        </w:tc>
        <w:tc>
          <w:tcPr>
            <w:tcW w:w="1985" w:type="dxa"/>
            <w:tcBorders>
              <w:top w:val="nil"/>
              <w:left w:val="nil"/>
              <w:bottom w:val="single" w:sz="4" w:space="0" w:color="auto"/>
              <w:right w:val="single" w:sz="4" w:space="0" w:color="auto"/>
            </w:tcBorders>
            <w:shd w:val="clear" w:color="auto" w:fill="auto"/>
            <w:vAlign w:val="center"/>
            <w:hideMark/>
          </w:tcPr>
          <w:p w14:paraId="762FE2F4" w14:textId="77777777" w:rsidR="00E403D6" w:rsidRPr="00F10391" w:rsidRDefault="00E403D6" w:rsidP="0063065F">
            <w:pPr>
              <w:jc w:val="left"/>
            </w:pPr>
            <w:r w:rsidRPr="00F10391">
              <w:t>Page Mj, O'Connor D, Pitt V, Massy-Westropp N.</w:t>
            </w:r>
          </w:p>
        </w:tc>
        <w:tc>
          <w:tcPr>
            <w:tcW w:w="2078" w:type="dxa"/>
            <w:tcBorders>
              <w:top w:val="nil"/>
              <w:left w:val="nil"/>
              <w:bottom w:val="single" w:sz="4" w:space="0" w:color="auto"/>
              <w:right w:val="single" w:sz="4" w:space="0" w:color="auto"/>
            </w:tcBorders>
            <w:shd w:val="clear" w:color="auto" w:fill="auto"/>
            <w:vAlign w:val="center"/>
            <w:hideMark/>
          </w:tcPr>
          <w:p w14:paraId="2622909F" w14:textId="77777777" w:rsidR="00E403D6" w:rsidRPr="00F10391" w:rsidRDefault="00E403D6" w:rsidP="0063065F">
            <w:pPr>
              <w:jc w:val="left"/>
            </w:pPr>
            <w:r w:rsidRPr="00F10391">
              <w:t>Cochrane Database Syst Rev. 2012 Jun 13;6:Cd009899. Doi: 10.1002/14651858.Cd009899. Review.</w:t>
            </w:r>
          </w:p>
        </w:tc>
        <w:tc>
          <w:tcPr>
            <w:tcW w:w="862" w:type="dxa"/>
            <w:tcBorders>
              <w:top w:val="nil"/>
              <w:left w:val="nil"/>
              <w:bottom w:val="single" w:sz="4" w:space="0" w:color="auto"/>
              <w:right w:val="single" w:sz="4" w:space="0" w:color="auto"/>
            </w:tcBorders>
            <w:shd w:val="clear" w:color="auto" w:fill="auto"/>
            <w:noWrap/>
            <w:vAlign w:val="center"/>
            <w:hideMark/>
          </w:tcPr>
          <w:p w14:paraId="1712DF7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A14429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64C14B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FC48E1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28C1D1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444C42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D272E3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323F607" w14:textId="77777777" w:rsidR="00E403D6" w:rsidRPr="00F10391" w:rsidRDefault="00E403D6">
            <w:r w:rsidRPr="00F10391">
              <w:t>Not found</w:t>
            </w:r>
          </w:p>
        </w:tc>
      </w:tr>
      <w:tr w:rsidR="00E403D6" w:rsidRPr="00F10391" w14:paraId="0B13509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B34EBA6" w14:textId="77777777" w:rsidR="00E403D6" w:rsidRPr="00F10391" w:rsidRDefault="00E403D6" w:rsidP="0063065F">
            <w:pPr>
              <w:jc w:val="left"/>
            </w:pPr>
            <w:r w:rsidRPr="00F10391">
              <w:t>04/07/12</w:t>
            </w:r>
          </w:p>
        </w:tc>
        <w:tc>
          <w:tcPr>
            <w:tcW w:w="2720" w:type="dxa"/>
            <w:tcBorders>
              <w:top w:val="nil"/>
              <w:left w:val="nil"/>
              <w:bottom w:val="single" w:sz="4" w:space="0" w:color="auto"/>
              <w:right w:val="single" w:sz="4" w:space="0" w:color="auto"/>
            </w:tcBorders>
            <w:shd w:val="clear" w:color="auto" w:fill="auto"/>
            <w:vAlign w:val="center"/>
            <w:hideMark/>
          </w:tcPr>
          <w:p w14:paraId="784108BB" w14:textId="77777777" w:rsidR="00E403D6" w:rsidRPr="00F10391" w:rsidRDefault="00E403D6" w:rsidP="0063065F">
            <w:pPr>
              <w:jc w:val="left"/>
            </w:pPr>
            <w:r w:rsidRPr="00F10391">
              <w:t>Spatial Modelling Of Disease Using Data- And Knowledge-Driven Approaches.</w:t>
            </w:r>
          </w:p>
        </w:tc>
        <w:tc>
          <w:tcPr>
            <w:tcW w:w="1985" w:type="dxa"/>
            <w:tcBorders>
              <w:top w:val="nil"/>
              <w:left w:val="nil"/>
              <w:bottom w:val="single" w:sz="4" w:space="0" w:color="auto"/>
              <w:right w:val="single" w:sz="4" w:space="0" w:color="auto"/>
            </w:tcBorders>
            <w:shd w:val="clear" w:color="auto" w:fill="auto"/>
            <w:vAlign w:val="center"/>
            <w:hideMark/>
          </w:tcPr>
          <w:p w14:paraId="71F8EE6F" w14:textId="77777777" w:rsidR="00E403D6" w:rsidRPr="00F10391" w:rsidRDefault="00E403D6" w:rsidP="0063065F">
            <w:pPr>
              <w:jc w:val="left"/>
            </w:pPr>
            <w:r w:rsidRPr="00F10391">
              <w:t>Stevens Kb, Pfeiffer Du.</w:t>
            </w:r>
          </w:p>
        </w:tc>
        <w:tc>
          <w:tcPr>
            <w:tcW w:w="2078" w:type="dxa"/>
            <w:tcBorders>
              <w:top w:val="nil"/>
              <w:left w:val="nil"/>
              <w:bottom w:val="single" w:sz="4" w:space="0" w:color="auto"/>
              <w:right w:val="single" w:sz="4" w:space="0" w:color="auto"/>
            </w:tcBorders>
            <w:shd w:val="clear" w:color="auto" w:fill="auto"/>
            <w:vAlign w:val="center"/>
            <w:hideMark/>
          </w:tcPr>
          <w:p w14:paraId="75E005F1" w14:textId="77777777" w:rsidR="00E403D6" w:rsidRPr="00F10391" w:rsidRDefault="00E403D6" w:rsidP="0063065F">
            <w:pPr>
              <w:jc w:val="left"/>
            </w:pPr>
            <w:r w:rsidRPr="00F10391">
              <w:t>Spat Spatiotemporal Epidemiol. 2011 Sep;2(3):125-33. Doi: 10.1016/J.Sste.2011.07.007. Epub 2011 Jul 19. Review.</w:t>
            </w:r>
          </w:p>
        </w:tc>
        <w:tc>
          <w:tcPr>
            <w:tcW w:w="862" w:type="dxa"/>
            <w:tcBorders>
              <w:top w:val="nil"/>
              <w:left w:val="nil"/>
              <w:bottom w:val="single" w:sz="4" w:space="0" w:color="auto"/>
              <w:right w:val="single" w:sz="4" w:space="0" w:color="auto"/>
            </w:tcBorders>
            <w:shd w:val="clear" w:color="auto" w:fill="auto"/>
            <w:noWrap/>
            <w:vAlign w:val="center"/>
            <w:hideMark/>
          </w:tcPr>
          <w:p w14:paraId="2E50E4D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068C4E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E57C5B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48BCA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79E49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42C50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08E61E9"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414EE77C" w14:textId="77777777" w:rsidR="00E403D6" w:rsidRPr="00F10391" w:rsidRDefault="00E403D6">
            <w:r w:rsidRPr="00F10391">
              <w:t>Not found</w:t>
            </w:r>
          </w:p>
        </w:tc>
      </w:tr>
      <w:tr w:rsidR="00E403D6" w:rsidRPr="00F10391" w14:paraId="6430B7A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F07BB2B" w14:textId="77777777" w:rsidR="00E403D6" w:rsidRPr="00F10391" w:rsidRDefault="00E403D6" w:rsidP="0063065F">
            <w:pPr>
              <w:jc w:val="left"/>
            </w:pPr>
            <w:r w:rsidRPr="00F10391">
              <w:t>11/09/12</w:t>
            </w:r>
          </w:p>
        </w:tc>
        <w:tc>
          <w:tcPr>
            <w:tcW w:w="2720" w:type="dxa"/>
            <w:tcBorders>
              <w:top w:val="nil"/>
              <w:left w:val="nil"/>
              <w:bottom w:val="single" w:sz="4" w:space="0" w:color="auto"/>
              <w:right w:val="single" w:sz="4" w:space="0" w:color="auto"/>
            </w:tcBorders>
            <w:shd w:val="clear" w:color="auto" w:fill="auto"/>
            <w:vAlign w:val="center"/>
            <w:hideMark/>
          </w:tcPr>
          <w:p w14:paraId="66A46CA9" w14:textId="77777777" w:rsidR="00E403D6" w:rsidRPr="00F10391" w:rsidRDefault="00E403D6" w:rsidP="0063065F">
            <w:pPr>
              <w:jc w:val="left"/>
            </w:pPr>
            <w:r w:rsidRPr="00F10391">
              <w:t>The Effectiveness Of Knowledge Translation Strategies Used In Public Health: A Systematic Review.</w:t>
            </w:r>
          </w:p>
        </w:tc>
        <w:tc>
          <w:tcPr>
            <w:tcW w:w="1985" w:type="dxa"/>
            <w:tcBorders>
              <w:top w:val="nil"/>
              <w:left w:val="nil"/>
              <w:bottom w:val="single" w:sz="4" w:space="0" w:color="auto"/>
              <w:right w:val="single" w:sz="4" w:space="0" w:color="auto"/>
            </w:tcBorders>
            <w:shd w:val="clear" w:color="auto" w:fill="auto"/>
            <w:vAlign w:val="center"/>
            <w:hideMark/>
          </w:tcPr>
          <w:p w14:paraId="4CE97BF7" w14:textId="77777777" w:rsidR="00E403D6" w:rsidRPr="00F10391" w:rsidRDefault="00E403D6" w:rsidP="0063065F">
            <w:pPr>
              <w:jc w:val="left"/>
            </w:pPr>
            <w:r w:rsidRPr="00F10391">
              <w:t>Larocca R, Yost J, Dobbins M, Ciliska D, Butt M.</w:t>
            </w:r>
          </w:p>
        </w:tc>
        <w:tc>
          <w:tcPr>
            <w:tcW w:w="2078" w:type="dxa"/>
            <w:tcBorders>
              <w:top w:val="nil"/>
              <w:left w:val="nil"/>
              <w:bottom w:val="single" w:sz="4" w:space="0" w:color="auto"/>
              <w:right w:val="single" w:sz="4" w:space="0" w:color="auto"/>
            </w:tcBorders>
            <w:shd w:val="clear" w:color="auto" w:fill="auto"/>
            <w:vAlign w:val="center"/>
            <w:hideMark/>
          </w:tcPr>
          <w:p w14:paraId="34459423" w14:textId="77777777" w:rsidR="00E403D6" w:rsidRPr="00F10391" w:rsidRDefault="00E403D6" w:rsidP="0063065F">
            <w:pPr>
              <w:jc w:val="left"/>
            </w:pPr>
            <w:r w:rsidRPr="00F10391">
              <w:t>Bmc Public Health. 2012 Sep 7;12:751. Doi: 10.1186/1471-2458-12-751. Review.</w:t>
            </w:r>
          </w:p>
        </w:tc>
        <w:tc>
          <w:tcPr>
            <w:tcW w:w="862" w:type="dxa"/>
            <w:tcBorders>
              <w:top w:val="nil"/>
              <w:left w:val="nil"/>
              <w:bottom w:val="single" w:sz="4" w:space="0" w:color="auto"/>
              <w:right w:val="single" w:sz="4" w:space="0" w:color="auto"/>
            </w:tcBorders>
            <w:shd w:val="clear" w:color="auto" w:fill="auto"/>
            <w:noWrap/>
            <w:vAlign w:val="center"/>
            <w:hideMark/>
          </w:tcPr>
          <w:p w14:paraId="6C50E1A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5ED7C7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2CCAF1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6587F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F1E69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CBD3C8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2C8BB4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9C636CB" w14:textId="77777777" w:rsidR="00E403D6" w:rsidRPr="00F10391" w:rsidRDefault="00E403D6">
            <w:r w:rsidRPr="00F10391">
              <w:t>Not found</w:t>
            </w:r>
          </w:p>
        </w:tc>
      </w:tr>
      <w:tr w:rsidR="00E403D6" w:rsidRPr="00F10391" w14:paraId="2767095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034EF3" w14:textId="77777777" w:rsidR="00E403D6" w:rsidRPr="00F10391" w:rsidRDefault="00E403D6" w:rsidP="0063065F">
            <w:pPr>
              <w:jc w:val="left"/>
            </w:pPr>
            <w:r w:rsidRPr="00F10391">
              <w:t>25/09/12</w:t>
            </w:r>
          </w:p>
        </w:tc>
        <w:tc>
          <w:tcPr>
            <w:tcW w:w="2720" w:type="dxa"/>
            <w:tcBorders>
              <w:top w:val="nil"/>
              <w:left w:val="nil"/>
              <w:bottom w:val="single" w:sz="4" w:space="0" w:color="auto"/>
              <w:right w:val="single" w:sz="4" w:space="0" w:color="auto"/>
            </w:tcBorders>
            <w:shd w:val="clear" w:color="auto" w:fill="auto"/>
            <w:vAlign w:val="center"/>
            <w:hideMark/>
          </w:tcPr>
          <w:p w14:paraId="65F897B7" w14:textId="77777777" w:rsidR="00E403D6" w:rsidRPr="00F10391" w:rsidRDefault="00E403D6" w:rsidP="0063065F">
            <w:pPr>
              <w:jc w:val="left"/>
            </w:pPr>
            <w:r w:rsidRPr="00F10391">
              <w:t>Multicriteria Decision Analysis For Including Health Interventions In The Universal Health Coverage Benefit Package In Thailand.</w:t>
            </w:r>
          </w:p>
        </w:tc>
        <w:tc>
          <w:tcPr>
            <w:tcW w:w="1985" w:type="dxa"/>
            <w:tcBorders>
              <w:top w:val="nil"/>
              <w:left w:val="nil"/>
              <w:bottom w:val="single" w:sz="4" w:space="0" w:color="auto"/>
              <w:right w:val="single" w:sz="4" w:space="0" w:color="auto"/>
            </w:tcBorders>
            <w:shd w:val="clear" w:color="auto" w:fill="auto"/>
            <w:vAlign w:val="center"/>
            <w:hideMark/>
          </w:tcPr>
          <w:p w14:paraId="0CE146B6" w14:textId="77777777" w:rsidR="00E403D6" w:rsidRPr="00F10391" w:rsidRDefault="00E403D6" w:rsidP="0063065F">
            <w:pPr>
              <w:jc w:val="left"/>
            </w:pPr>
            <w:r w:rsidRPr="00F10391">
              <w:t>Youngkong S, Baltussen R, Tantivess S, Mohara A, Teerawattananon Y.</w:t>
            </w:r>
          </w:p>
        </w:tc>
        <w:tc>
          <w:tcPr>
            <w:tcW w:w="2078" w:type="dxa"/>
            <w:tcBorders>
              <w:top w:val="nil"/>
              <w:left w:val="nil"/>
              <w:bottom w:val="single" w:sz="4" w:space="0" w:color="auto"/>
              <w:right w:val="single" w:sz="4" w:space="0" w:color="auto"/>
            </w:tcBorders>
            <w:shd w:val="clear" w:color="auto" w:fill="auto"/>
            <w:vAlign w:val="center"/>
            <w:hideMark/>
          </w:tcPr>
          <w:p w14:paraId="396277EE" w14:textId="77777777" w:rsidR="00E403D6" w:rsidRPr="00F10391" w:rsidRDefault="00E403D6" w:rsidP="0063065F">
            <w:pPr>
              <w:jc w:val="left"/>
            </w:pPr>
            <w:r w:rsidRPr="00F10391">
              <w:t>Value Health. 2012 Sep-Oct;15(6):961-70. Doi: 10.1016/J.Jval.2012.06.006.</w:t>
            </w:r>
          </w:p>
        </w:tc>
        <w:tc>
          <w:tcPr>
            <w:tcW w:w="862" w:type="dxa"/>
            <w:tcBorders>
              <w:top w:val="nil"/>
              <w:left w:val="nil"/>
              <w:bottom w:val="single" w:sz="4" w:space="0" w:color="auto"/>
              <w:right w:val="single" w:sz="4" w:space="0" w:color="auto"/>
            </w:tcBorders>
            <w:shd w:val="clear" w:color="auto" w:fill="auto"/>
            <w:noWrap/>
            <w:vAlign w:val="center"/>
            <w:hideMark/>
          </w:tcPr>
          <w:p w14:paraId="119FA7B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4F1476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74C4DC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50703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EE765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C3E47C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C53D61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749DB18" w14:textId="77777777" w:rsidR="00E403D6" w:rsidRPr="00F10391" w:rsidRDefault="00E403D6">
            <w:r w:rsidRPr="00F10391">
              <w:t>Not found</w:t>
            </w:r>
          </w:p>
        </w:tc>
      </w:tr>
      <w:tr w:rsidR="00E403D6" w:rsidRPr="00F10391" w14:paraId="4DB5830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DE8F2C" w14:textId="77777777" w:rsidR="00E403D6" w:rsidRPr="00F10391" w:rsidRDefault="00E403D6" w:rsidP="0063065F">
            <w:pPr>
              <w:jc w:val="left"/>
            </w:pPr>
            <w:r w:rsidRPr="00F10391">
              <w:t>01/11/12</w:t>
            </w:r>
          </w:p>
        </w:tc>
        <w:tc>
          <w:tcPr>
            <w:tcW w:w="2720" w:type="dxa"/>
            <w:tcBorders>
              <w:top w:val="nil"/>
              <w:left w:val="nil"/>
              <w:bottom w:val="single" w:sz="4" w:space="0" w:color="auto"/>
              <w:right w:val="single" w:sz="4" w:space="0" w:color="auto"/>
            </w:tcBorders>
            <w:shd w:val="clear" w:color="auto" w:fill="auto"/>
            <w:vAlign w:val="center"/>
            <w:hideMark/>
          </w:tcPr>
          <w:p w14:paraId="13275DC8" w14:textId="77777777" w:rsidR="00E403D6" w:rsidRPr="00F10391" w:rsidRDefault="00E403D6" w:rsidP="0063065F">
            <w:pPr>
              <w:jc w:val="left"/>
            </w:pPr>
            <w:r w:rsidRPr="00F10391">
              <w:t>A Proposal For A Computer-Based Framework Of Support For Public Health In The Management Of Biological Incidents: The Czech Republic Experience.</w:t>
            </w:r>
          </w:p>
        </w:tc>
        <w:tc>
          <w:tcPr>
            <w:tcW w:w="1985" w:type="dxa"/>
            <w:tcBorders>
              <w:top w:val="nil"/>
              <w:left w:val="nil"/>
              <w:bottom w:val="single" w:sz="4" w:space="0" w:color="auto"/>
              <w:right w:val="single" w:sz="4" w:space="0" w:color="auto"/>
            </w:tcBorders>
            <w:shd w:val="clear" w:color="auto" w:fill="auto"/>
            <w:vAlign w:val="center"/>
            <w:hideMark/>
          </w:tcPr>
          <w:p w14:paraId="6845907B" w14:textId="77777777" w:rsidR="00E403D6" w:rsidRPr="005D7324" w:rsidRDefault="00E403D6" w:rsidP="0063065F">
            <w:pPr>
              <w:jc w:val="left"/>
            </w:pPr>
            <w:r w:rsidRPr="005D7324">
              <w:t>Bures V, Otcení</w:t>
            </w:r>
            <w:r w:rsidRPr="00F10391">
              <w:t></w:t>
            </w:r>
            <w:r w:rsidRPr="005D7324">
              <w:t>Skoví</w:t>
            </w:r>
            <w:r w:rsidRPr="00F10391">
              <w:t></w:t>
            </w:r>
            <w:r w:rsidRPr="005D7324">
              <w:t xml:space="preserve"> T, Cech P, Antos K.</w:t>
            </w:r>
          </w:p>
        </w:tc>
        <w:tc>
          <w:tcPr>
            <w:tcW w:w="2078" w:type="dxa"/>
            <w:tcBorders>
              <w:top w:val="nil"/>
              <w:left w:val="nil"/>
              <w:bottom w:val="single" w:sz="4" w:space="0" w:color="auto"/>
              <w:right w:val="single" w:sz="4" w:space="0" w:color="auto"/>
            </w:tcBorders>
            <w:shd w:val="clear" w:color="auto" w:fill="auto"/>
            <w:vAlign w:val="center"/>
            <w:hideMark/>
          </w:tcPr>
          <w:p w14:paraId="4FC49BD2" w14:textId="77777777" w:rsidR="00E403D6" w:rsidRPr="00F10391" w:rsidRDefault="00E403D6" w:rsidP="0063065F">
            <w:pPr>
              <w:jc w:val="left"/>
            </w:pPr>
            <w:r w:rsidRPr="00F10391">
              <w:t>Perspect Public Health. 2012 Nov;132(6):292-8. Doi: 10.1177/1757913912444260. Epub 2012 May 18.</w:t>
            </w:r>
          </w:p>
        </w:tc>
        <w:tc>
          <w:tcPr>
            <w:tcW w:w="862" w:type="dxa"/>
            <w:tcBorders>
              <w:top w:val="nil"/>
              <w:left w:val="nil"/>
              <w:bottom w:val="single" w:sz="4" w:space="0" w:color="auto"/>
              <w:right w:val="single" w:sz="4" w:space="0" w:color="auto"/>
            </w:tcBorders>
            <w:shd w:val="clear" w:color="auto" w:fill="auto"/>
            <w:noWrap/>
            <w:vAlign w:val="center"/>
            <w:hideMark/>
          </w:tcPr>
          <w:p w14:paraId="449A98A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9DF6F4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BCAF2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097C25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90710F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F21D42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FD3C30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9ED3FCD" w14:textId="77777777" w:rsidR="00E403D6" w:rsidRPr="00F10391" w:rsidRDefault="00E403D6">
            <w:r w:rsidRPr="00F10391">
              <w:t>Not found</w:t>
            </w:r>
          </w:p>
        </w:tc>
      </w:tr>
      <w:tr w:rsidR="00E403D6" w:rsidRPr="00F10391" w14:paraId="6CF4302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7705811" w14:textId="77777777" w:rsidR="00E403D6" w:rsidRPr="00F10391" w:rsidRDefault="00E403D6" w:rsidP="0063065F">
            <w:pPr>
              <w:jc w:val="left"/>
            </w:pPr>
            <w:r w:rsidRPr="00F10391">
              <w:t>29/11/12</w:t>
            </w:r>
          </w:p>
        </w:tc>
        <w:tc>
          <w:tcPr>
            <w:tcW w:w="2720" w:type="dxa"/>
            <w:tcBorders>
              <w:top w:val="nil"/>
              <w:left w:val="nil"/>
              <w:bottom w:val="single" w:sz="4" w:space="0" w:color="auto"/>
              <w:right w:val="single" w:sz="4" w:space="0" w:color="auto"/>
            </w:tcBorders>
            <w:shd w:val="clear" w:color="auto" w:fill="auto"/>
            <w:vAlign w:val="center"/>
            <w:hideMark/>
          </w:tcPr>
          <w:p w14:paraId="3BEF6AAE" w14:textId="77777777" w:rsidR="00E403D6" w:rsidRPr="00F10391" w:rsidRDefault="00E403D6" w:rsidP="0063065F">
            <w:pPr>
              <w:jc w:val="left"/>
            </w:pPr>
            <w:r w:rsidRPr="00F10391">
              <w:t>Appropriate Drinking Water Treatment Processes For Organic Micropollutants Removal Based On Experimental And Model Studies - A Multi-Criteria Analysis Study.</w:t>
            </w:r>
          </w:p>
        </w:tc>
        <w:tc>
          <w:tcPr>
            <w:tcW w:w="1985" w:type="dxa"/>
            <w:tcBorders>
              <w:top w:val="nil"/>
              <w:left w:val="nil"/>
              <w:bottom w:val="single" w:sz="4" w:space="0" w:color="auto"/>
              <w:right w:val="single" w:sz="4" w:space="0" w:color="auto"/>
            </w:tcBorders>
            <w:shd w:val="clear" w:color="auto" w:fill="auto"/>
            <w:vAlign w:val="center"/>
            <w:hideMark/>
          </w:tcPr>
          <w:p w14:paraId="6ADC5B44" w14:textId="77777777" w:rsidR="00E403D6" w:rsidRPr="00F10391" w:rsidRDefault="00E403D6" w:rsidP="0063065F">
            <w:pPr>
              <w:jc w:val="left"/>
            </w:pPr>
            <w:r w:rsidRPr="00F10391">
              <w:t>Sudhakaran S, Lattemann S, Amy Gl.</w:t>
            </w:r>
          </w:p>
        </w:tc>
        <w:tc>
          <w:tcPr>
            <w:tcW w:w="2078" w:type="dxa"/>
            <w:tcBorders>
              <w:top w:val="nil"/>
              <w:left w:val="nil"/>
              <w:bottom w:val="single" w:sz="4" w:space="0" w:color="auto"/>
              <w:right w:val="single" w:sz="4" w:space="0" w:color="auto"/>
            </w:tcBorders>
            <w:shd w:val="clear" w:color="auto" w:fill="auto"/>
            <w:vAlign w:val="center"/>
            <w:hideMark/>
          </w:tcPr>
          <w:p w14:paraId="22A6398A" w14:textId="77777777" w:rsidR="00E403D6" w:rsidRPr="00F10391" w:rsidRDefault="00E403D6" w:rsidP="0063065F">
            <w:pPr>
              <w:jc w:val="left"/>
            </w:pPr>
            <w:r w:rsidRPr="005D7324">
              <w:t xml:space="preserve">Sci Total Environ. 2013 Jan 1;442:478-88. Doi: 10.1016/J.Scitotenv.2012.09.076. </w:t>
            </w:r>
            <w:r w:rsidRPr="00F10391">
              <w:t>Epub 2012 Nov 24.</w:t>
            </w:r>
          </w:p>
        </w:tc>
        <w:tc>
          <w:tcPr>
            <w:tcW w:w="862" w:type="dxa"/>
            <w:tcBorders>
              <w:top w:val="nil"/>
              <w:left w:val="nil"/>
              <w:bottom w:val="single" w:sz="4" w:space="0" w:color="auto"/>
              <w:right w:val="single" w:sz="4" w:space="0" w:color="auto"/>
            </w:tcBorders>
            <w:shd w:val="clear" w:color="auto" w:fill="auto"/>
            <w:noWrap/>
            <w:vAlign w:val="center"/>
            <w:hideMark/>
          </w:tcPr>
          <w:p w14:paraId="5DFA241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047991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5C7EDA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F5F12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330F679" w14:textId="77777777" w:rsidR="00E403D6" w:rsidRPr="00F10391" w:rsidRDefault="00E403D6"/>
        </w:tc>
        <w:tc>
          <w:tcPr>
            <w:tcW w:w="840" w:type="dxa"/>
            <w:tcBorders>
              <w:top w:val="nil"/>
              <w:left w:val="nil"/>
              <w:bottom w:val="single" w:sz="4" w:space="0" w:color="auto"/>
              <w:right w:val="single" w:sz="4" w:space="0" w:color="auto"/>
            </w:tcBorders>
            <w:shd w:val="clear" w:color="auto" w:fill="auto"/>
            <w:noWrap/>
            <w:vAlign w:val="center"/>
            <w:hideMark/>
          </w:tcPr>
          <w:p w14:paraId="686C7E9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541194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D73C25C" w14:textId="77777777" w:rsidR="00E403D6" w:rsidRPr="00F10391" w:rsidRDefault="00E403D6">
            <w:r w:rsidRPr="00F10391">
              <w:t>Not found</w:t>
            </w:r>
          </w:p>
        </w:tc>
      </w:tr>
      <w:tr w:rsidR="00E403D6" w:rsidRPr="00F10391" w14:paraId="403BEEE4"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EE7C46B" w14:textId="77777777" w:rsidR="00E403D6" w:rsidRPr="00F10391" w:rsidRDefault="00E403D6" w:rsidP="0063065F">
            <w:pPr>
              <w:jc w:val="left"/>
            </w:pPr>
            <w:r w:rsidRPr="00F10391">
              <w:t>18/12/12</w:t>
            </w:r>
          </w:p>
        </w:tc>
        <w:tc>
          <w:tcPr>
            <w:tcW w:w="2720" w:type="dxa"/>
            <w:tcBorders>
              <w:top w:val="nil"/>
              <w:left w:val="nil"/>
              <w:bottom w:val="single" w:sz="4" w:space="0" w:color="auto"/>
              <w:right w:val="single" w:sz="4" w:space="0" w:color="auto"/>
            </w:tcBorders>
            <w:shd w:val="clear" w:color="auto" w:fill="auto"/>
            <w:vAlign w:val="center"/>
            <w:hideMark/>
          </w:tcPr>
          <w:p w14:paraId="4C673A13" w14:textId="77777777" w:rsidR="00E403D6" w:rsidRPr="00F10391" w:rsidRDefault="00E403D6" w:rsidP="0063065F">
            <w:pPr>
              <w:jc w:val="left"/>
            </w:pPr>
            <w:r w:rsidRPr="00F10391">
              <w:t>Prioritizing Investments In Public Health: A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2F2BD8D3" w14:textId="77777777" w:rsidR="00E403D6" w:rsidRPr="00F10391" w:rsidRDefault="00E403D6" w:rsidP="0063065F">
            <w:pPr>
              <w:jc w:val="left"/>
            </w:pPr>
            <w:r w:rsidRPr="00F10391">
              <w:t>Marsh K, Dolan P, Kempster J, Lugon M.</w:t>
            </w:r>
          </w:p>
        </w:tc>
        <w:tc>
          <w:tcPr>
            <w:tcW w:w="2078" w:type="dxa"/>
            <w:tcBorders>
              <w:top w:val="nil"/>
              <w:left w:val="nil"/>
              <w:bottom w:val="single" w:sz="4" w:space="0" w:color="auto"/>
              <w:right w:val="single" w:sz="4" w:space="0" w:color="auto"/>
            </w:tcBorders>
            <w:shd w:val="clear" w:color="auto" w:fill="auto"/>
            <w:vAlign w:val="center"/>
            <w:hideMark/>
          </w:tcPr>
          <w:p w14:paraId="4029DC09" w14:textId="77777777" w:rsidR="00E403D6" w:rsidRPr="00F10391" w:rsidRDefault="00E403D6" w:rsidP="0063065F">
            <w:pPr>
              <w:jc w:val="left"/>
            </w:pPr>
            <w:r w:rsidRPr="00F10391">
              <w:t>J Public Health (Oxf). 2013 Sep;35(3):460-6. Doi: 10.1093/Pubmed/Fds099. Epub 2012 Dec 14.</w:t>
            </w:r>
          </w:p>
        </w:tc>
        <w:tc>
          <w:tcPr>
            <w:tcW w:w="862" w:type="dxa"/>
            <w:tcBorders>
              <w:top w:val="nil"/>
              <w:left w:val="nil"/>
              <w:bottom w:val="single" w:sz="4" w:space="0" w:color="auto"/>
              <w:right w:val="single" w:sz="4" w:space="0" w:color="auto"/>
            </w:tcBorders>
            <w:shd w:val="clear" w:color="auto" w:fill="auto"/>
            <w:noWrap/>
            <w:vAlign w:val="center"/>
            <w:hideMark/>
          </w:tcPr>
          <w:p w14:paraId="20EB26C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83A79A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659D6B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8EABE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F65A82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9F0443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175FBB2"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0645D653" w14:textId="77777777" w:rsidR="00E403D6" w:rsidRPr="00F10391" w:rsidRDefault="00E403D6">
            <w:r w:rsidRPr="00F10391">
              <w:t>Not found</w:t>
            </w:r>
          </w:p>
        </w:tc>
      </w:tr>
      <w:tr w:rsidR="00E403D6" w:rsidRPr="00F10391" w14:paraId="4B6433C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6487845" w14:textId="77777777" w:rsidR="00E403D6" w:rsidRPr="00F10391" w:rsidRDefault="00E403D6" w:rsidP="0063065F">
            <w:pPr>
              <w:jc w:val="left"/>
            </w:pPr>
            <w:r w:rsidRPr="00F10391">
              <w:t>21/12/12</w:t>
            </w:r>
          </w:p>
        </w:tc>
        <w:tc>
          <w:tcPr>
            <w:tcW w:w="2720" w:type="dxa"/>
            <w:tcBorders>
              <w:top w:val="nil"/>
              <w:left w:val="nil"/>
              <w:bottom w:val="single" w:sz="4" w:space="0" w:color="auto"/>
              <w:right w:val="single" w:sz="4" w:space="0" w:color="auto"/>
            </w:tcBorders>
            <w:shd w:val="clear" w:color="auto" w:fill="auto"/>
            <w:vAlign w:val="center"/>
            <w:hideMark/>
          </w:tcPr>
          <w:p w14:paraId="353AC7EF" w14:textId="77777777" w:rsidR="00E403D6" w:rsidRPr="00F10391" w:rsidRDefault="00E403D6" w:rsidP="0063065F">
            <w:pPr>
              <w:jc w:val="left"/>
            </w:pPr>
            <w:r w:rsidRPr="00F10391">
              <w:t>The Changing Role Of Economic Evaluation In Valuing Medical Technologies.</w:t>
            </w:r>
          </w:p>
        </w:tc>
        <w:tc>
          <w:tcPr>
            <w:tcW w:w="1985" w:type="dxa"/>
            <w:tcBorders>
              <w:top w:val="nil"/>
              <w:left w:val="nil"/>
              <w:bottom w:val="single" w:sz="4" w:space="0" w:color="auto"/>
              <w:right w:val="single" w:sz="4" w:space="0" w:color="auto"/>
            </w:tcBorders>
            <w:shd w:val="clear" w:color="auto" w:fill="auto"/>
            <w:vAlign w:val="center"/>
            <w:hideMark/>
          </w:tcPr>
          <w:p w14:paraId="2B14DFA3" w14:textId="77777777" w:rsidR="00E403D6" w:rsidRPr="00F10391" w:rsidRDefault="00E403D6" w:rsidP="0063065F">
            <w:pPr>
              <w:jc w:val="left"/>
            </w:pPr>
            <w:r w:rsidRPr="00F10391">
              <w:t>Rotter Js, Foerster D, Bridges Jf.</w:t>
            </w:r>
          </w:p>
        </w:tc>
        <w:tc>
          <w:tcPr>
            <w:tcW w:w="2078" w:type="dxa"/>
            <w:tcBorders>
              <w:top w:val="nil"/>
              <w:left w:val="nil"/>
              <w:bottom w:val="single" w:sz="4" w:space="0" w:color="auto"/>
              <w:right w:val="single" w:sz="4" w:space="0" w:color="auto"/>
            </w:tcBorders>
            <w:shd w:val="clear" w:color="auto" w:fill="auto"/>
            <w:vAlign w:val="center"/>
            <w:hideMark/>
          </w:tcPr>
          <w:p w14:paraId="5AD43273" w14:textId="77777777" w:rsidR="00E403D6" w:rsidRPr="00F10391" w:rsidRDefault="00E403D6" w:rsidP="0063065F">
            <w:pPr>
              <w:jc w:val="left"/>
            </w:pPr>
            <w:r w:rsidRPr="005D7324">
              <w:t xml:space="preserve">Expert Rev Pharmacoecon Outcomes Res. 2012 Dec;12(6):711-23. </w:t>
            </w:r>
            <w:r w:rsidRPr="00F10391">
              <w:t>Doi: 10.1586/Erp.12.73.</w:t>
            </w:r>
          </w:p>
        </w:tc>
        <w:tc>
          <w:tcPr>
            <w:tcW w:w="862" w:type="dxa"/>
            <w:tcBorders>
              <w:top w:val="nil"/>
              <w:left w:val="nil"/>
              <w:bottom w:val="single" w:sz="4" w:space="0" w:color="auto"/>
              <w:right w:val="single" w:sz="4" w:space="0" w:color="auto"/>
            </w:tcBorders>
            <w:shd w:val="clear" w:color="auto" w:fill="auto"/>
            <w:noWrap/>
            <w:vAlign w:val="center"/>
            <w:hideMark/>
          </w:tcPr>
          <w:p w14:paraId="19A0558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6FCBC4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8D0EE0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24764E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7F6787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57732F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8EACBC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29864EA" w14:textId="77777777" w:rsidR="00E403D6" w:rsidRPr="00F10391" w:rsidRDefault="00E403D6">
            <w:r w:rsidRPr="00F10391">
              <w:t>Not found</w:t>
            </w:r>
          </w:p>
        </w:tc>
      </w:tr>
      <w:tr w:rsidR="00E403D6" w:rsidRPr="00F10391" w14:paraId="4DD1A42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E226FA5" w14:textId="77777777" w:rsidR="00E403D6" w:rsidRPr="00F10391" w:rsidRDefault="00E403D6" w:rsidP="0063065F">
            <w:pPr>
              <w:jc w:val="left"/>
            </w:pPr>
            <w:r w:rsidRPr="00F10391">
              <w:t>11/01/13</w:t>
            </w:r>
          </w:p>
        </w:tc>
        <w:tc>
          <w:tcPr>
            <w:tcW w:w="2720" w:type="dxa"/>
            <w:tcBorders>
              <w:top w:val="nil"/>
              <w:left w:val="nil"/>
              <w:bottom w:val="single" w:sz="4" w:space="0" w:color="auto"/>
              <w:right w:val="single" w:sz="4" w:space="0" w:color="auto"/>
            </w:tcBorders>
            <w:shd w:val="clear" w:color="auto" w:fill="auto"/>
            <w:vAlign w:val="center"/>
            <w:hideMark/>
          </w:tcPr>
          <w:p w14:paraId="6A21E26F" w14:textId="77777777" w:rsidR="00E403D6" w:rsidRPr="00F10391" w:rsidRDefault="00E403D6" w:rsidP="0063065F">
            <w:pPr>
              <w:jc w:val="left"/>
            </w:pPr>
            <w:r w:rsidRPr="00F10391">
              <w:t>Cost-Effectiveness Of Multiple Sclerosis Disease-Modifying Therapies: A Systematic Review Of The Literature.</w:t>
            </w:r>
          </w:p>
        </w:tc>
        <w:tc>
          <w:tcPr>
            <w:tcW w:w="1985" w:type="dxa"/>
            <w:tcBorders>
              <w:top w:val="nil"/>
              <w:left w:val="nil"/>
              <w:bottom w:val="single" w:sz="4" w:space="0" w:color="auto"/>
              <w:right w:val="single" w:sz="4" w:space="0" w:color="auto"/>
            </w:tcBorders>
            <w:shd w:val="clear" w:color="auto" w:fill="auto"/>
            <w:vAlign w:val="center"/>
            <w:hideMark/>
          </w:tcPr>
          <w:p w14:paraId="30F89FD5" w14:textId="77777777" w:rsidR="00E403D6" w:rsidRPr="00F10391" w:rsidRDefault="00E403D6" w:rsidP="0063065F">
            <w:pPr>
              <w:jc w:val="left"/>
            </w:pPr>
            <w:r w:rsidRPr="00F10391">
              <w:t>Yamamoto D, Campbell Jd.</w:t>
            </w:r>
          </w:p>
        </w:tc>
        <w:tc>
          <w:tcPr>
            <w:tcW w:w="2078" w:type="dxa"/>
            <w:tcBorders>
              <w:top w:val="nil"/>
              <w:left w:val="nil"/>
              <w:bottom w:val="single" w:sz="4" w:space="0" w:color="auto"/>
              <w:right w:val="single" w:sz="4" w:space="0" w:color="auto"/>
            </w:tcBorders>
            <w:shd w:val="clear" w:color="auto" w:fill="auto"/>
            <w:vAlign w:val="center"/>
            <w:hideMark/>
          </w:tcPr>
          <w:p w14:paraId="4D186A3F" w14:textId="77777777" w:rsidR="00E403D6" w:rsidRPr="005D7324" w:rsidRDefault="00E403D6" w:rsidP="0063065F">
            <w:pPr>
              <w:jc w:val="left"/>
            </w:pPr>
            <w:r w:rsidRPr="005D7324">
              <w:t>Autoimmune Dis. 2012;2012:784364. Doi: 10.1155/2012/784364. Epub 2012 Dec 6.</w:t>
            </w:r>
          </w:p>
        </w:tc>
        <w:tc>
          <w:tcPr>
            <w:tcW w:w="862" w:type="dxa"/>
            <w:tcBorders>
              <w:top w:val="nil"/>
              <w:left w:val="nil"/>
              <w:bottom w:val="single" w:sz="4" w:space="0" w:color="auto"/>
              <w:right w:val="single" w:sz="4" w:space="0" w:color="auto"/>
            </w:tcBorders>
            <w:shd w:val="clear" w:color="auto" w:fill="auto"/>
            <w:noWrap/>
            <w:vAlign w:val="center"/>
            <w:hideMark/>
          </w:tcPr>
          <w:p w14:paraId="3CB0D1B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66B649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0FE539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D988D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62A6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91981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A84309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48542B" w14:textId="77777777" w:rsidR="00E403D6" w:rsidRPr="00F10391" w:rsidRDefault="00E403D6">
            <w:r w:rsidRPr="00F10391">
              <w:t>Not found</w:t>
            </w:r>
          </w:p>
        </w:tc>
      </w:tr>
      <w:tr w:rsidR="00E403D6" w:rsidRPr="00F10391" w14:paraId="5961C16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E933E49" w14:textId="77777777" w:rsidR="00E403D6" w:rsidRPr="00F10391" w:rsidRDefault="00E403D6" w:rsidP="0063065F">
            <w:pPr>
              <w:jc w:val="left"/>
            </w:pPr>
            <w:r w:rsidRPr="00F10391">
              <w:t>22/01/13</w:t>
            </w:r>
          </w:p>
        </w:tc>
        <w:tc>
          <w:tcPr>
            <w:tcW w:w="2720" w:type="dxa"/>
            <w:tcBorders>
              <w:top w:val="nil"/>
              <w:left w:val="nil"/>
              <w:bottom w:val="single" w:sz="4" w:space="0" w:color="auto"/>
              <w:right w:val="single" w:sz="4" w:space="0" w:color="auto"/>
            </w:tcBorders>
            <w:shd w:val="clear" w:color="auto" w:fill="auto"/>
            <w:vAlign w:val="center"/>
            <w:hideMark/>
          </w:tcPr>
          <w:p w14:paraId="71C979B7" w14:textId="77777777" w:rsidR="00E403D6" w:rsidRPr="00F10391" w:rsidRDefault="00E403D6" w:rsidP="0063065F">
            <w:pPr>
              <w:jc w:val="left"/>
            </w:pPr>
            <w:r w:rsidRPr="00F10391">
              <w:t>A Bayesian Group Sequential Approach To Safety Signal Detection.</w:t>
            </w:r>
          </w:p>
        </w:tc>
        <w:tc>
          <w:tcPr>
            <w:tcW w:w="1985" w:type="dxa"/>
            <w:tcBorders>
              <w:top w:val="nil"/>
              <w:left w:val="nil"/>
              <w:bottom w:val="single" w:sz="4" w:space="0" w:color="auto"/>
              <w:right w:val="single" w:sz="4" w:space="0" w:color="auto"/>
            </w:tcBorders>
            <w:shd w:val="clear" w:color="auto" w:fill="auto"/>
            <w:vAlign w:val="center"/>
            <w:hideMark/>
          </w:tcPr>
          <w:p w14:paraId="594F63C8" w14:textId="77777777" w:rsidR="00E403D6" w:rsidRPr="005D7324" w:rsidRDefault="00E403D6" w:rsidP="0063065F">
            <w:pPr>
              <w:jc w:val="left"/>
            </w:pPr>
            <w:r w:rsidRPr="005D7324">
              <w:t>Chen W, Zhao N, Qin G, Chen J.</w:t>
            </w:r>
          </w:p>
        </w:tc>
        <w:tc>
          <w:tcPr>
            <w:tcW w:w="2078" w:type="dxa"/>
            <w:tcBorders>
              <w:top w:val="nil"/>
              <w:left w:val="nil"/>
              <w:bottom w:val="single" w:sz="4" w:space="0" w:color="auto"/>
              <w:right w:val="single" w:sz="4" w:space="0" w:color="auto"/>
            </w:tcBorders>
            <w:shd w:val="clear" w:color="auto" w:fill="auto"/>
            <w:vAlign w:val="center"/>
            <w:hideMark/>
          </w:tcPr>
          <w:p w14:paraId="55B3C4B3" w14:textId="77777777" w:rsidR="00E403D6" w:rsidRPr="00F10391" w:rsidRDefault="00E403D6" w:rsidP="0063065F">
            <w:pPr>
              <w:jc w:val="left"/>
            </w:pPr>
            <w:r w:rsidRPr="00F10391">
              <w:t>J Biopharm Stat. 2013;23(1):213-30. Doi: 10.1080/10543406.2013.736813.</w:t>
            </w:r>
          </w:p>
        </w:tc>
        <w:tc>
          <w:tcPr>
            <w:tcW w:w="862" w:type="dxa"/>
            <w:tcBorders>
              <w:top w:val="nil"/>
              <w:left w:val="nil"/>
              <w:bottom w:val="single" w:sz="4" w:space="0" w:color="auto"/>
              <w:right w:val="single" w:sz="4" w:space="0" w:color="auto"/>
            </w:tcBorders>
            <w:shd w:val="clear" w:color="auto" w:fill="auto"/>
            <w:noWrap/>
            <w:vAlign w:val="center"/>
            <w:hideMark/>
          </w:tcPr>
          <w:p w14:paraId="6C8DE71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AE70B9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B456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D5AF0A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CE737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302BF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613821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5737525" w14:textId="77777777" w:rsidR="00E403D6" w:rsidRPr="00F10391" w:rsidRDefault="00E403D6">
            <w:r w:rsidRPr="00F10391">
              <w:t>Not found</w:t>
            </w:r>
          </w:p>
        </w:tc>
      </w:tr>
      <w:tr w:rsidR="00E403D6" w:rsidRPr="00F10391" w14:paraId="12AAB8F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645E976" w14:textId="77777777" w:rsidR="00E403D6" w:rsidRPr="00F10391" w:rsidRDefault="00E403D6" w:rsidP="0063065F">
            <w:pPr>
              <w:jc w:val="left"/>
            </w:pPr>
            <w:r w:rsidRPr="00F10391">
              <w:t>01/02/13</w:t>
            </w:r>
          </w:p>
        </w:tc>
        <w:tc>
          <w:tcPr>
            <w:tcW w:w="2720" w:type="dxa"/>
            <w:tcBorders>
              <w:top w:val="nil"/>
              <w:left w:val="nil"/>
              <w:bottom w:val="single" w:sz="4" w:space="0" w:color="auto"/>
              <w:right w:val="single" w:sz="4" w:space="0" w:color="auto"/>
            </w:tcBorders>
            <w:shd w:val="clear" w:color="auto" w:fill="auto"/>
            <w:vAlign w:val="center"/>
            <w:hideMark/>
          </w:tcPr>
          <w:p w14:paraId="131A0134" w14:textId="77777777" w:rsidR="00E403D6" w:rsidRPr="00F10391" w:rsidRDefault="00E403D6" w:rsidP="0063065F">
            <w:pPr>
              <w:jc w:val="left"/>
            </w:pPr>
            <w:r w:rsidRPr="00F10391">
              <w:t>Evaluation Of Healthcare Waste Treatment/Disposal Alternatives By Using Multi-Criteria Decision-Making Techniques</w:t>
            </w:r>
          </w:p>
        </w:tc>
        <w:tc>
          <w:tcPr>
            <w:tcW w:w="1985" w:type="dxa"/>
            <w:tcBorders>
              <w:top w:val="nil"/>
              <w:left w:val="nil"/>
              <w:bottom w:val="single" w:sz="4" w:space="0" w:color="auto"/>
              <w:right w:val="single" w:sz="4" w:space="0" w:color="auto"/>
            </w:tcBorders>
            <w:shd w:val="clear" w:color="auto" w:fill="auto"/>
            <w:vAlign w:val="center"/>
            <w:hideMark/>
          </w:tcPr>
          <w:p w14:paraId="67ACD73E" w14:textId="77777777" w:rsidR="00E403D6" w:rsidRPr="00F10391" w:rsidRDefault="00E403D6" w:rsidP="0063065F">
            <w:pPr>
              <w:jc w:val="left"/>
            </w:pPr>
            <w:r w:rsidRPr="00F10391">
              <w:t>Ozkan, Aysun</w:t>
            </w:r>
          </w:p>
        </w:tc>
        <w:tc>
          <w:tcPr>
            <w:tcW w:w="2078" w:type="dxa"/>
            <w:tcBorders>
              <w:top w:val="nil"/>
              <w:left w:val="nil"/>
              <w:bottom w:val="single" w:sz="4" w:space="0" w:color="auto"/>
              <w:right w:val="single" w:sz="4" w:space="0" w:color="auto"/>
            </w:tcBorders>
            <w:shd w:val="clear" w:color="auto" w:fill="auto"/>
            <w:vAlign w:val="center"/>
            <w:hideMark/>
          </w:tcPr>
          <w:p w14:paraId="6CCA5DEE" w14:textId="77777777" w:rsidR="00E403D6" w:rsidRPr="00F10391" w:rsidRDefault="00E403D6" w:rsidP="0063065F">
            <w:pPr>
              <w:jc w:val="left"/>
            </w:pPr>
            <w:r w:rsidRPr="00F10391">
              <w:t>Waste Management &amp; Research. 2013;31(2):141-149</w:t>
            </w:r>
          </w:p>
        </w:tc>
        <w:tc>
          <w:tcPr>
            <w:tcW w:w="862" w:type="dxa"/>
            <w:tcBorders>
              <w:top w:val="nil"/>
              <w:left w:val="nil"/>
              <w:bottom w:val="single" w:sz="4" w:space="0" w:color="auto"/>
              <w:right w:val="single" w:sz="4" w:space="0" w:color="auto"/>
            </w:tcBorders>
            <w:shd w:val="clear" w:color="auto" w:fill="auto"/>
            <w:noWrap/>
            <w:vAlign w:val="center"/>
            <w:hideMark/>
          </w:tcPr>
          <w:p w14:paraId="2A826FB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903B96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EEDB2E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F486F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2EA2C5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CB3B61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55D317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33FD3BD" w14:textId="77777777" w:rsidR="00E403D6" w:rsidRPr="00F10391" w:rsidRDefault="00E403D6">
            <w:r w:rsidRPr="00F10391">
              <w:t>Not found</w:t>
            </w:r>
          </w:p>
        </w:tc>
      </w:tr>
      <w:tr w:rsidR="00E403D6" w:rsidRPr="00F10391" w14:paraId="2F781D8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A8714F4" w14:textId="77777777" w:rsidR="00E403D6" w:rsidRPr="00F10391" w:rsidRDefault="00E403D6" w:rsidP="0063065F">
            <w:pPr>
              <w:jc w:val="left"/>
            </w:pPr>
            <w:r w:rsidRPr="00F10391">
              <w:t>01/02/13</w:t>
            </w:r>
          </w:p>
        </w:tc>
        <w:tc>
          <w:tcPr>
            <w:tcW w:w="2720" w:type="dxa"/>
            <w:tcBorders>
              <w:top w:val="nil"/>
              <w:left w:val="nil"/>
              <w:bottom w:val="single" w:sz="4" w:space="0" w:color="auto"/>
              <w:right w:val="single" w:sz="4" w:space="0" w:color="auto"/>
            </w:tcBorders>
            <w:shd w:val="clear" w:color="auto" w:fill="auto"/>
            <w:vAlign w:val="center"/>
            <w:hideMark/>
          </w:tcPr>
          <w:p w14:paraId="6B3BAF14" w14:textId="77777777" w:rsidR="00E403D6" w:rsidRPr="00F10391" w:rsidRDefault="00E403D6" w:rsidP="0063065F">
            <w:pPr>
              <w:jc w:val="left"/>
            </w:pPr>
            <w:r w:rsidRPr="00F10391">
              <w:t>An Integrated Process And Management Tools For Ranking Multiple Emerging Threats To Animal Health</w:t>
            </w:r>
          </w:p>
        </w:tc>
        <w:tc>
          <w:tcPr>
            <w:tcW w:w="1985" w:type="dxa"/>
            <w:tcBorders>
              <w:top w:val="nil"/>
              <w:left w:val="nil"/>
              <w:bottom w:val="single" w:sz="4" w:space="0" w:color="auto"/>
              <w:right w:val="single" w:sz="4" w:space="0" w:color="auto"/>
            </w:tcBorders>
            <w:shd w:val="clear" w:color="auto" w:fill="auto"/>
            <w:vAlign w:val="center"/>
            <w:hideMark/>
          </w:tcPr>
          <w:p w14:paraId="6BB87552" w14:textId="77777777" w:rsidR="00E403D6" w:rsidRPr="00F10391" w:rsidRDefault="00E403D6" w:rsidP="0063065F">
            <w:pPr>
              <w:jc w:val="left"/>
            </w:pPr>
            <w:r w:rsidRPr="00F10391">
              <w:t>Vilas, Victor J. Del Rio; Voller, Fay; Montibeller, Gilberto; Franco, L. Alberto; Sribhashyam, Sumitra; Watson, Eamon; Hartley, Matt; Gibbens, Jane C.</w:t>
            </w:r>
          </w:p>
        </w:tc>
        <w:tc>
          <w:tcPr>
            <w:tcW w:w="2078" w:type="dxa"/>
            <w:tcBorders>
              <w:top w:val="nil"/>
              <w:left w:val="nil"/>
              <w:bottom w:val="single" w:sz="4" w:space="0" w:color="auto"/>
              <w:right w:val="single" w:sz="4" w:space="0" w:color="auto"/>
            </w:tcBorders>
            <w:shd w:val="clear" w:color="auto" w:fill="auto"/>
            <w:vAlign w:val="center"/>
            <w:hideMark/>
          </w:tcPr>
          <w:p w14:paraId="1E79A9BA" w14:textId="77777777" w:rsidR="00E403D6" w:rsidRPr="00F10391" w:rsidRDefault="00E403D6" w:rsidP="0063065F">
            <w:pPr>
              <w:jc w:val="left"/>
            </w:pPr>
            <w:r w:rsidRPr="00F10391">
              <w:t>Preventive Veterinary Medicine. 2013;108(40238):94-102</w:t>
            </w:r>
          </w:p>
        </w:tc>
        <w:tc>
          <w:tcPr>
            <w:tcW w:w="862" w:type="dxa"/>
            <w:tcBorders>
              <w:top w:val="nil"/>
              <w:left w:val="nil"/>
              <w:bottom w:val="single" w:sz="4" w:space="0" w:color="auto"/>
              <w:right w:val="single" w:sz="4" w:space="0" w:color="auto"/>
            </w:tcBorders>
            <w:shd w:val="clear" w:color="auto" w:fill="auto"/>
            <w:noWrap/>
            <w:vAlign w:val="center"/>
            <w:hideMark/>
          </w:tcPr>
          <w:p w14:paraId="3C70FD7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5B7ACB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269F26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86026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18371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905506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BE984E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89CB928" w14:textId="77777777" w:rsidR="00E403D6" w:rsidRPr="00F10391" w:rsidRDefault="00E403D6">
            <w:r w:rsidRPr="00F10391">
              <w:t>Not found</w:t>
            </w:r>
          </w:p>
        </w:tc>
      </w:tr>
      <w:tr w:rsidR="00E403D6" w:rsidRPr="00F10391" w14:paraId="02DD81F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E12AB53" w14:textId="77777777" w:rsidR="00E403D6" w:rsidRPr="00F10391" w:rsidRDefault="00E403D6" w:rsidP="0063065F">
            <w:pPr>
              <w:jc w:val="left"/>
            </w:pPr>
            <w:r w:rsidRPr="00F10391">
              <w:t>01/02/13</w:t>
            </w:r>
          </w:p>
        </w:tc>
        <w:tc>
          <w:tcPr>
            <w:tcW w:w="2720" w:type="dxa"/>
            <w:tcBorders>
              <w:top w:val="nil"/>
              <w:left w:val="nil"/>
              <w:bottom w:val="single" w:sz="4" w:space="0" w:color="auto"/>
              <w:right w:val="single" w:sz="4" w:space="0" w:color="auto"/>
            </w:tcBorders>
            <w:shd w:val="clear" w:color="auto" w:fill="auto"/>
            <w:vAlign w:val="center"/>
            <w:hideMark/>
          </w:tcPr>
          <w:p w14:paraId="1D4367B8" w14:textId="77777777" w:rsidR="00E403D6" w:rsidRPr="00F10391" w:rsidRDefault="00E403D6" w:rsidP="0063065F">
            <w:pPr>
              <w:jc w:val="left"/>
            </w:pPr>
            <w:r w:rsidRPr="00F10391">
              <w:t>Health Information Technology Capacity At Federally Qualified Health Centers: A Mechanism For Improving Quality Of Care.</w:t>
            </w:r>
          </w:p>
        </w:tc>
        <w:tc>
          <w:tcPr>
            <w:tcW w:w="1985" w:type="dxa"/>
            <w:tcBorders>
              <w:top w:val="nil"/>
              <w:left w:val="nil"/>
              <w:bottom w:val="single" w:sz="4" w:space="0" w:color="auto"/>
              <w:right w:val="single" w:sz="4" w:space="0" w:color="auto"/>
            </w:tcBorders>
            <w:shd w:val="clear" w:color="auto" w:fill="auto"/>
            <w:vAlign w:val="center"/>
            <w:hideMark/>
          </w:tcPr>
          <w:p w14:paraId="3DEECC25" w14:textId="77777777" w:rsidR="00E403D6" w:rsidRPr="00F10391" w:rsidRDefault="00E403D6" w:rsidP="0063065F">
            <w:pPr>
              <w:jc w:val="left"/>
            </w:pPr>
            <w:r w:rsidRPr="00F10391">
              <w:t>Frimpong Ja, Jackson Be, Stewart Lm, Singh Kp, Rivers Pa, Bae S.</w:t>
            </w:r>
          </w:p>
        </w:tc>
        <w:tc>
          <w:tcPr>
            <w:tcW w:w="2078" w:type="dxa"/>
            <w:tcBorders>
              <w:top w:val="nil"/>
              <w:left w:val="nil"/>
              <w:bottom w:val="single" w:sz="4" w:space="0" w:color="auto"/>
              <w:right w:val="single" w:sz="4" w:space="0" w:color="auto"/>
            </w:tcBorders>
            <w:shd w:val="clear" w:color="auto" w:fill="auto"/>
            <w:vAlign w:val="center"/>
            <w:hideMark/>
          </w:tcPr>
          <w:p w14:paraId="0D1A7A2A" w14:textId="77777777" w:rsidR="00E403D6" w:rsidRPr="00F10391" w:rsidRDefault="00E403D6" w:rsidP="0063065F">
            <w:pPr>
              <w:jc w:val="left"/>
            </w:pPr>
            <w:r w:rsidRPr="00F10391">
              <w:t>Bmc Health Serv Res. 2013 Jan 31;13:35. Doi: 10.1186/1472-6963-13-35.</w:t>
            </w:r>
          </w:p>
        </w:tc>
        <w:tc>
          <w:tcPr>
            <w:tcW w:w="862" w:type="dxa"/>
            <w:tcBorders>
              <w:top w:val="nil"/>
              <w:left w:val="nil"/>
              <w:bottom w:val="single" w:sz="4" w:space="0" w:color="auto"/>
              <w:right w:val="single" w:sz="4" w:space="0" w:color="auto"/>
            </w:tcBorders>
            <w:shd w:val="clear" w:color="auto" w:fill="auto"/>
            <w:noWrap/>
            <w:vAlign w:val="center"/>
            <w:hideMark/>
          </w:tcPr>
          <w:p w14:paraId="4BCD651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1ACEAC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1B83EB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44BE66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D3B08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28F09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FA34CE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6CA8858" w14:textId="77777777" w:rsidR="00E403D6" w:rsidRPr="00F10391" w:rsidRDefault="00E403D6">
            <w:r w:rsidRPr="00F10391">
              <w:t>Not found</w:t>
            </w:r>
          </w:p>
        </w:tc>
      </w:tr>
      <w:tr w:rsidR="00E403D6" w:rsidRPr="00F10391" w14:paraId="683B35A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6D0C7F1" w14:textId="77777777" w:rsidR="00E403D6" w:rsidRPr="00F10391" w:rsidRDefault="00E403D6" w:rsidP="0063065F">
            <w:pPr>
              <w:jc w:val="left"/>
            </w:pPr>
            <w:r w:rsidRPr="00F10391">
              <w:t>01/03/13</w:t>
            </w:r>
          </w:p>
        </w:tc>
        <w:tc>
          <w:tcPr>
            <w:tcW w:w="2720" w:type="dxa"/>
            <w:tcBorders>
              <w:top w:val="nil"/>
              <w:left w:val="nil"/>
              <w:bottom w:val="single" w:sz="4" w:space="0" w:color="auto"/>
              <w:right w:val="single" w:sz="4" w:space="0" w:color="auto"/>
            </w:tcBorders>
            <w:shd w:val="clear" w:color="auto" w:fill="auto"/>
            <w:vAlign w:val="center"/>
            <w:hideMark/>
          </w:tcPr>
          <w:p w14:paraId="129313CA" w14:textId="77777777" w:rsidR="00E403D6" w:rsidRPr="00F10391" w:rsidRDefault="00E403D6" w:rsidP="0063065F">
            <w:pPr>
              <w:jc w:val="left"/>
            </w:pPr>
            <w:r w:rsidRPr="00F10391">
              <w:t>A Multi-Criteria Decision Analysis Assessment Of Waste Paper Management Options</w:t>
            </w:r>
          </w:p>
        </w:tc>
        <w:tc>
          <w:tcPr>
            <w:tcW w:w="1985" w:type="dxa"/>
            <w:tcBorders>
              <w:top w:val="nil"/>
              <w:left w:val="nil"/>
              <w:bottom w:val="single" w:sz="4" w:space="0" w:color="auto"/>
              <w:right w:val="single" w:sz="4" w:space="0" w:color="auto"/>
            </w:tcBorders>
            <w:shd w:val="clear" w:color="auto" w:fill="auto"/>
            <w:vAlign w:val="center"/>
            <w:hideMark/>
          </w:tcPr>
          <w:p w14:paraId="2F6AEF70" w14:textId="77777777" w:rsidR="00E403D6" w:rsidRPr="00F10391" w:rsidRDefault="00E403D6" w:rsidP="0063065F">
            <w:pPr>
              <w:jc w:val="left"/>
            </w:pPr>
            <w:r w:rsidRPr="00F10391">
              <w:t>Hanan, Deirdre; Burnley, Stephen; Cooke, David</w:t>
            </w:r>
          </w:p>
        </w:tc>
        <w:tc>
          <w:tcPr>
            <w:tcW w:w="2078" w:type="dxa"/>
            <w:tcBorders>
              <w:top w:val="nil"/>
              <w:left w:val="nil"/>
              <w:bottom w:val="single" w:sz="4" w:space="0" w:color="auto"/>
              <w:right w:val="single" w:sz="4" w:space="0" w:color="auto"/>
            </w:tcBorders>
            <w:shd w:val="clear" w:color="auto" w:fill="auto"/>
            <w:vAlign w:val="center"/>
            <w:hideMark/>
          </w:tcPr>
          <w:p w14:paraId="347055B8" w14:textId="77777777" w:rsidR="00E403D6" w:rsidRPr="00F10391" w:rsidRDefault="00E403D6" w:rsidP="0063065F">
            <w:pPr>
              <w:jc w:val="left"/>
            </w:pPr>
            <w:r w:rsidRPr="00F10391">
              <w:t>Waste Management. 2013;33(3):566-573</w:t>
            </w:r>
          </w:p>
        </w:tc>
        <w:tc>
          <w:tcPr>
            <w:tcW w:w="862" w:type="dxa"/>
            <w:tcBorders>
              <w:top w:val="nil"/>
              <w:left w:val="nil"/>
              <w:bottom w:val="single" w:sz="4" w:space="0" w:color="auto"/>
              <w:right w:val="single" w:sz="4" w:space="0" w:color="auto"/>
            </w:tcBorders>
            <w:shd w:val="clear" w:color="auto" w:fill="auto"/>
            <w:noWrap/>
            <w:vAlign w:val="center"/>
            <w:hideMark/>
          </w:tcPr>
          <w:p w14:paraId="5495549D"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FDBE84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26B013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19E2D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220E9E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3B98CB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05948B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C475957" w14:textId="77777777" w:rsidR="00E403D6" w:rsidRPr="00F10391" w:rsidRDefault="00E403D6">
            <w:r w:rsidRPr="00F10391">
              <w:t>Not found</w:t>
            </w:r>
          </w:p>
        </w:tc>
      </w:tr>
      <w:tr w:rsidR="00E403D6" w:rsidRPr="00F10391" w14:paraId="2E4BBED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286E3DF" w14:textId="77777777" w:rsidR="00E403D6" w:rsidRPr="00F10391" w:rsidRDefault="00E403D6" w:rsidP="0063065F">
            <w:pPr>
              <w:jc w:val="left"/>
            </w:pPr>
            <w:r w:rsidRPr="00F10391">
              <w:t>12/03/13</w:t>
            </w:r>
          </w:p>
        </w:tc>
        <w:tc>
          <w:tcPr>
            <w:tcW w:w="2720" w:type="dxa"/>
            <w:tcBorders>
              <w:top w:val="nil"/>
              <w:left w:val="nil"/>
              <w:bottom w:val="single" w:sz="4" w:space="0" w:color="auto"/>
              <w:right w:val="single" w:sz="4" w:space="0" w:color="auto"/>
            </w:tcBorders>
            <w:shd w:val="clear" w:color="auto" w:fill="auto"/>
            <w:vAlign w:val="center"/>
            <w:hideMark/>
          </w:tcPr>
          <w:p w14:paraId="4BE0BA6D" w14:textId="77777777" w:rsidR="00E403D6" w:rsidRPr="00F10391" w:rsidRDefault="00E403D6" w:rsidP="0063065F">
            <w:pPr>
              <w:jc w:val="left"/>
            </w:pPr>
            <w:r w:rsidRPr="00F10391">
              <w:t>Decisions To Initiate Involuntary Commitment: The Role Of Intensive Community Services And Other Factors.</w:t>
            </w:r>
          </w:p>
        </w:tc>
        <w:tc>
          <w:tcPr>
            <w:tcW w:w="1985" w:type="dxa"/>
            <w:tcBorders>
              <w:top w:val="nil"/>
              <w:left w:val="nil"/>
              <w:bottom w:val="single" w:sz="4" w:space="0" w:color="auto"/>
              <w:right w:val="single" w:sz="4" w:space="0" w:color="auto"/>
            </w:tcBorders>
            <w:shd w:val="clear" w:color="auto" w:fill="auto"/>
            <w:vAlign w:val="center"/>
            <w:hideMark/>
          </w:tcPr>
          <w:p w14:paraId="075CCE54" w14:textId="77777777" w:rsidR="00E403D6" w:rsidRPr="00F10391" w:rsidRDefault="00E403D6" w:rsidP="0063065F">
            <w:pPr>
              <w:jc w:val="left"/>
            </w:pPr>
            <w:r w:rsidRPr="00F10391">
              <w:t>Mcgarvey El, Leon-Verdin M, Wanchek Tn, Bonnie Rj.</w:t>
            </w:r>
          </w:p>
        </w:tc>
        <w:tc>
          <w:tcPr>
            <w:tcW w:w="2078" w:type="dxa"/>
            <w:tcBorders>
              <w:top w:val="nil"/>
              <w:left w:val="nil"/>
              <w:bottom w:val="single" w:sz="4" w:space="0" w:color="auto"/>
              <w:right w:val="single" w:sz="4" w:space="0" w:color="auto"/>
            </w:tcBorders>
            <w:shd w:val="clear" w:color="auto" w:fill="auto"/>
            <w:vAlign w:val="center"/>
            <w:hideMark/>
          </w:tcPr>
          <w:p w14:paraId="0E64211E" w14:textId="77777777" w:rsidR="00E403D6" w:rsidRPr="00F10391" w:rsidRDefault="00E403D6" w:rsidP="0063065F">
            <w:pPr>
              <w:jc w:val="left"/>
            </w:pPr>
            <w:r w:rsidRPr="00F10391">
              <w:t>Psychiatr Serv. 2013 Feb 1;64(2):120-6. Doi: 10.1176/Appi.Ps.000692012.</w:t>
            </w:r>
          </w:p>
        </w:tc>
        <w:tc>
          <w:tcPr>
            <w:tcW w:w="862" w:type="dxa"/>
            <w:tcBorders>
              <w:top w:val="nil"/>
              <w:left w:val="nil"/>
              <w:bottom w:val="single" w:sz="4" w:space="0" w:color="auto"/>
              <w:right w:val="single" w:sz="4" w:space="0" w:color="auto"/>
            </w:tcBorders>
            <w:shd w:val="clear" w:color="auto" w:fill="auto"/>
            <w:noWrap/>
            <w:vAlign w:val="center"/>
            <w:hideMark/>
          </w:tcPr>
          <w:p w14:paraId="3257430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8B265A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EF2FE9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1E3D9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22E06C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AC5CA5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0F1511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4C0AA22" w14:textId="77777777" w:rsidR="00E403D6" w:rsidRPr="00F10391" w:rsidRDefault="00E403D6">
            <w:r w:rsidRPr="00F10391">
              <w:t>Not found</w:t>
            </w:r>
          </w:p>
        </w:tc>
      </w:tr>
      <w:tr w:rsidR="00E403D6" w:rsidRPr="00F10391" w14:paraId="24798B1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AE4C693" w14:textId="77777777" w:rsidR="00E403D6" w:rsidRPr="00F10391" w:rsidRDefault="00E403D6" w:rsidP="0063065F">
            <w:pPr>
              <w:jc w:val="left"/>
            </w:pPr>
            <w:r w:rsidRPr="00F10391">
              <w:t>26/03/13</w:t>
            </w:r>
          </w:p>
        </w:tc>
        <w:tc>
          <w:tcPr>
            <w:tcW w:w="2720" w:type="dxa"/>
            <w:tcBorders>
              <w:top w:val="nil"/>
              <w:left w:val="nil"/>
              <w:bottom w:val="single" w:sz="4" w:space="0" w:color="auto"/>
              <w:right w:val="single" w:sz="4" w:space="0" w:color="auto"/>
            </w:tcBorders>
            <w:shd w:val="clear" w:color="auto" w:fill="auto"/>
            <w:vAlign w:val="center"/>
            <w:hideMark/>
          </w:tcPr>
          <w:p w14:paraId="25A2BD09" w14:textId="77777777" w:rsidR="00E403D6" w:rsidRPr="00F10391" w:rsidRDefault="00E403D6" w:rsidP="0063065F">
            <w:pPr>
              <w:jc w:val="left"/>
            </w:pPr>
            <w:r w:rsidRPr="00F10391">
              <w:t>The Analytic Hierarchy Process In Decisionmaking For Caprine Health Programmes.</w:t>
            </w:r>
          </w:p>
        </w:tc>
        <w:tc>
          <w:tcPr>
            <w:tcW w:w="1985" w:type="dxa"/>
            <w:tcBorders>
              <w:top w:val="nil"/>
              <w:left w:val="nil"/>
              <w:bottom w:val="single" w:sz="4" w:space="0" w:color="auto"/>
              <w:right w:val="single" w:sz="4" w:space="0" w:color="auto"/>
            </w:tcBorders>
            <w:shd w:val="clear" w:color="auto" w:fill="auto"/>
            <w:vAlign w:val="center"/>
            <w:hideMark/>
          </w:tcPr>
          <w:p w14:paraId="6F3ACE9E" w14:textId="77777777" w:rsidR="00E403D6" w:rsidRPr="00F10391" w:rsidRDefault="00E403D6" w:rsidP="0063065F">
            <w:pPr>
              <w:jc w:val="left"/>
            </w:pPr>
            <w:r w:rsidRPr="00F10391">
              <w:t>Maino M, Pí©Rez P, Oviedo P, Sotomayor G, Abalos P.</w:t>
            </w:r>
          </w:p>
        </w:tc>
        <w:tc>
          <w:tcPr>
            <w:tcW w:w="2078" w:type="dxa"/>
            <w:tcBorders>
              <w:top w:val="nil"/>
              <w:left w:val="nil"/>
              <w:bottom w:val="single" w:sz="4" w:space="0" w:color="auto"/>
              <w:right w:val="single" w:sz="4" w:space="0" w:color="auto"/>
            </w:tcBorders>
            <w:shd w:val="clear" w:color="auto" w:fill="auto"/>
            <w:vAlign w:val="center"/>
            <w:hideMark/>
          </w:tcPr>
          <w:p w14:paraId="3E15871F" w14:textId="77777777" w:rsidR="00E403D6" w:rsidRPr="00F10391" w:rsidRDefault="00E403D6" w:rsidP="0063065F">
            <w:pPr>
              <w:jc w:val="left"/>
            </w:pPr>
            <w:r w:rsidRPr="00F10391">
              <w:t>Rev Sci Tech. 2012 Dec;31(3):889-97.</w:t>
            </w:r>
          </w:p>
        </w:tc>
        <w:tc>
          <w:tcPr>
            <w:tcW w:w="862" w:type="dxa"/>
            <w:tcBorders>
              <w:top w:val="nil"/>
              <w:left w:val="nil"/>
              <w:bottom w:val="single" w:sz="4" w:space="0" w:color="auto"/>
              <w:right w:val="single" w:sz="4" w:space="0" w:color="auto"/>
            </w:tcBorders>
            <w:shd w:val="clear" w:color="auto" w:fill="auto"/>
            <w:noWrap/>
            <w:vAlign w:val="center"/>
            <w:hideMark/>
          </w:tcPr>
          <w:p w14:paraId="5AED96B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7BAC36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2E6AA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37E02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9FD9E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777E65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DCD370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4C4FF0D" w14:textId="77777777" w:rsidR="00E403D6" w:rsidRPr="00F10391" w:rsidRDefault="00E403D6">
            <w:r w:rsidRPr="00F10391">
              <w:t>Not found</w:t>
            </w:r>
          </w:p>
        </w:tc>
      </w:tr>
      <w:tr w:rsidR="00E403D6" w:rsidRPr="00F10391" w14:paraId="63C72B2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5D8A985" w14:textId="77777777" w:rsidR="00E403D6" w:rsidRPr="00F10391" w:rsidRDefault="00E403D6" w:rsidP="0063065F">
            <w:pPr>
              <w:jc w:val="left"/>
            </w:pPr>
            <w:r w:rsidRPr="00F10391">
              <w:t>01/04/13</w:t>
            </w:r>
          </w:p>
        </w:tc>
        <w:tc>
          <w:tcPr>
            <w:tcW w:w="2720" w:type="dxa"/>
            <w:tcBorders>
              <w:top w:val="nil"/>
              <w:left w:val="nil"/>
              <w:bottom w:val="single" w:sz="4" w:space="0" w:color="auto"/>
              <w:right w:val="single" w:sz="4" w:space="0" w:color="auto"/>
            </w:tcBorders>
            <w:shd w:val="clear" w:color="auto" w:fill="auto"/>
            <w:vAlign w:val="center"/>
            <w:hideMark/>
          </w:tcPr>
          <w:p w14:paraId="43EC42CF" w14:textId="77777777" w:rsidR="00E403D6" w:rsidRPr="00F10391" w:rsidRDefault="00E403D6" w:rsidP="0063065F">
            <w:pPr>
              <w:jc w:val="left"/>
            </w:pPr>
            <w:r w:rsidRPr="00F10391">
              <w:t>Assessing The Walkability Of Pedestrian Environment Under The Transit-Oriented Development</w:t>
            </w:r>
          </w:p>
        </w:tc>
        <w:tc>
          <w:tcPr>
            <w:tcW w:w="1985" w:type="dxa"/>
            <w:tcBorders>
              <w:top w:val="nil"/>
              <w:left w:val="nil"/>
              <w:bottom w:val="single" w:sz="4" w:space="0" w:color="auto"/>
              <w:right w:val="single" w:sz="4" w:space="0" w:color="auto"/>
            </w:tcBorders>
            <w:shd w:val="clear" w:color="auto" w:fill="auto"/>
            <w:vAlign w:val="center"/>
            <w:hideMark/>
          </w:tcPr>
          <w:p w14:paraId="59CBE3D4" w14:textId="77777777" w:rsidR="00E403D6" w:rsidRPr="00F10391" w:rsidRDefault="00E403D6" w:rsidP="0063065F">
            <w:pPr>
              <w:jc w:val="left"/>
            </w:pPr>
            <w:r w:rsidRPr="00F10391">
              <w:t>Wey, Wann-Ming; Chiu, Yin-Hao</w:t>
            </w:r>
          </w:p>
        </w:tc>
        <w:tc>
          <w:tcPr>
            <w:tcW w:w="2078" w:type="dxa"/>
            <w:tcBorders>
              <w:top w:val="nil"/>
              <w:left w:val="nil"/>
              <w:bottom w:val="single" w:sz="4" w:space="0" w:color="auto"/>
              <w:right w:val="single" w:sz="4" w:space="0" w:color="auto"/>
            </w:tcBorders>
            <w:shd w:val="clear" w:color="auto" w:fill="auto"/>
            <w:vAlign w:val="center"/>
            <w:hideMark/>
          </w:tcPr>
          <w:p w14:paraId="7DF013AE" w14:textId="77777777" w:rsidR="00E403D6" w:rsidRPr="00F10391" w:rsidRDefault="00E403D6" w:rsidP="0063065F">
            <w:pPr>
              <w:jc w:val="left"/>
            </w:pPr>
            <w:r w:rsidRPr="00F10391">
              <w:t>Habitat International. 2013;38():106-118</w:t>
            </w:r>
          </w:p>
        </w:tc>
        <w:tc>
          <w:tcPr>
            <w:tcW w:w="862" w:type="dxa"/>
            <w:tcBorders>
              <w:top w:val="nil"/>
              <w:left w:val="nil"/>
              <w:bottom w:val="single" w:sz="4" w:space="0" w:color="auto"/>
              <w:right w:val="single" w:sz="4" w:space="0" w:color="auto"/>
            </w:tcBorders>
            <w:shd w:val="clear" w:color="auto" w:fill="auto"/>
            <w:noWrap/>
            <w:vAlign w:val="center"/>
            <w:hideMark/>
          </w:tcPr>
          <w:p w14:paraId="7E2FE7F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EE3661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4CF8AF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12278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8842A8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617DB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4211107"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539705D2" w14:textId="77777777" w:rsidR="00E403D6" w:rsidRPr="00F10391" w:rsidRDefault="00E403D6">
            <w:r w:rsidRPr="00F10391">
              <w:t>Not found</w:t>
            </w:r>
          </w:p>
        </w:tc>
      </w:tr>
      <w:tr w:rsidR="00E403D6" w:rsidRPr="00F10391" w14:paraId="73F51F5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AD07CCB" w14:textId="77777777" w:rsidR="00E403D6" w:rsidRPr="00F10391" w:rsidRDefault="00E403D6" w:rsidP="0063065F">
            <w:pPr>
              <w:jc w:val="left"/>
            </w:pPr>
            <w:r w:rsidRPr="00F10391">
              <w:t>01/04/13</w:t>
            </w:r>
          </w:p>
        </w:tc>
        <w:tc>
          <w:tcPr>
            <w:tcW w:w="2720" w:type="dxa"/>
            <w:tcBorders>
              <w:top w:val="nil"/>
              <w:left w:val="nil"/>
              <w:bottom w:val="single" w:sz="4" w:space="0" w:color="auto"/>
              <w:right w:val="single" w:sz="4" w:space="0" w:color="auto"/>
            </w:tcBorders>
            <w:shd w:val="clear" w:color="auto" w:fill="auto"/>
            <w:vAlign w:val="center"/>
            <w:hideMark/>
          </w:tcPr>
          <w:p w14:paraId="5B5065F7" w14:textId="77777777" w:rsidR="00E403D6" w:rsidRPr="00F10391" w:rsidRDefault="00E403D6" w:rsidP="0063065F">
            <w:pPr>
              <w:jc w:val="left"/>
            </w:pPr>
            <w:r w:rsidRPr="00F10391">
              <w:t>Prioritizing The Best Sites For Treated Wastewater Instream Use In An Urban Watershed Using Fuzzy Topsis</w:t>
            </w:r>
          </w:p>
        </w:tc>
        <w:tc>
          <w:tcPr>
            <w:tcW w:w="1985" w:type="dxa"/>
            <w:tcBorders>
              <w:top w:val="nil"/>
              <w:left w:val="nil"/>
              <w:bottom w:val="single" w:sz="4" w:space="0" w:color="auto"/>
              <w:right w:val="single" w:sz="4" w:space="0" w:color="auto"/>
            </w:tcBorders>
            <w:shd w:val="clear" w:color="auto" w:fill="auto"/>
            <w:vAlign w:val="center"/>
            <w:hideMark/>
          </w:tcPr>
          <w:p w14:paraId="36649610" w14:textId="77777777" w:rsidR="00E403D6" w:rsidRPr="005D7324" w:rsidRDefault="00E403D6" w:rsidP="0063065F">
            <w:pPr>
              <w:jc w:val="left"/>
            </w:pPr>
            <w:r w:rsidRPr="005D7324">
              <w:t>Kim, Yeonjoo; Chung, Eun-Sung; Jun, Sang-Mook; Kim, Sang Ug</w:t>
            </w:r>
          </w:p>
        </w:tc>
        <w:tc>
          <w:tcPr>
            <w:tcW w:w="2078" w:type="dxa"/>
            <w:tcBorders>
              <w:top w:val="nil"/>
              <w:left w:val="nil"/>
              <w:bottom w:val="single" w:sz="4" w:space="0" w:color="auto"/>
              <w:right w:val="single" w:sz="4" w:space="0" w:color="auto"/>
            </w:tcBorders>
            <w:shd w:val="clear" w:color="auto" w:fill="auto"/>
            <w:vAlign w:val="center"/>
            <w:hideMark/>
          </w:tcPr>
          <w:p w14:paraId="4BDDBBC7" w14:textId="77777777" w:rsidR="00E403D6" w:rsidRPr="00F10391" w:rsidRDefault="00E403D6" w:rsidP="0063065F">
            <w:pPr>
              <w:jc w:val="left"/>
            </w:pPr>
            <w:r w:rsidRPr="00F10391">
              <w:t>Resources Conservation And Recycling. 2013;73():23-32</w:t>
            </w:r>
          </w:p>
        </w:tc>
        <w:tc>
          <w:tcPr>
            <w:tcW w:w="862" w:type="dxa"/>
            <w:tcBorders>
              <w:top w:val="nil"/>
              <w:left w:val="nil"/>
              <w:bottom w:val="single" w:sz="4" w:space="0" w:color="auto"/>
              <w:right w:val="single" w:sz="4" w:space="0" w:color="auto"/>
            </w:tcBorders>
            <w:shd w:val="clear" w:color="auto" w:fill="auto"/>
            <w:noWrap/>
            <w:vAlign w:val="center"/>
            <w:hideMark/>
          </w:tcPr>
          <w:p w14:paraId="1479A49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9AB68B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FDD92C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2554CD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70A3F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4E79B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E9F620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3808183" w14:textId="77777777" w:rsidR="00E403D6" w:rsidRPr="00F10391" w:rsidRDefault="00E403D6">
            <w:r w:rsidRPr="00F10391">
              <w:t>Not found</w:t>
            </w:r>
          </w:p>
        </w:tc>
      </w:tr>
      <w:tr w:rsidR="00E403D6" w:rsidRPr="00F10391" w14:paraId="17830B5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DBFE82E" w14:textId="77777777" w:rsidR="00E403D6" w:rsidRPr="00F10391" w:rsidRDefault="00E403D6" w:rsidP="0063065F">
            <w:pPr>
              <w:jc w:val="left"/>
            </w:pPr>
            <w:r w:rsidRPr="00F10391">
              <w:t>15/04/13</w:t>
            </w:r>
          </w:p>
        </w:tc>
        <w:tc>
          <w:tcPr>
            <w:tcW w:w="2720" w:type="dxa"/>
            <w:tcBorders>
              <w:top w:val="nil"/>
              <w:left w:val="nil"/>
              <w:bottom w:val="single" w:sz="4" w:space="0" w:color="auto"/>
              <w:right w:val="single" w:sz="4" w:space="0" w:color="auto"/>
            </w:tcBorders>
            <w:shd w:val="clear" w:color="auto" w:fill="auto"/>
            <w:vAlign w:val="center"/>
            <w:hideMark/>
          </w:tcPr>
          <w:p w14:paraId="663B008E" w14:textId="77777777" w:rsidR="00E403D6" w:rsidRPr="00F10391" w:rsidRDefault="00E403D6" w:rsidP="0063065F">
            <w:pPr>
              <w:jc w:val="left"/>
            </w:pPr>
            <w:r w:rsidRPr="00F10391">
              <w:t>Selection Of Remedial Alternatives For Mine Sites: A Multicriteria Decision Analysis Approach</w:t>
            </w:r>
          </w:p>
        </w:tc>
        <w:tc>
          <w:tcPr>
            <w:tcW w:w="1985" w:type="dxa"/>
            <w:tcBorders>
              <w:top w:val="nil"/>
              <w:left w:val="nil"/>
              <w:bottom w:val="single" w:sz="4" w:space="0" w:color="auto"/>
              <w:right w:val="single" w:sz="4" w:space="0" w:color="auto"/>
            </w:tcBorders>
            <w:shd w:val="clear" w:color="auto" w:fill="auto"/>
            <w:vAlign w:val="center"/>
            <w:hideMark/>
          </w:tcPr>
          <w:p w14:paraId="00912B3F" w14:textId="77777777" w:rsidR="00E403D6" w:rsidRPr="00F10391" w:rsidRDefault="00E403D6" w:rsidP="0063065F">
            <w:pPr>
              <w:jc w:val="left"/>
            </w:pPr>
            <w:r w:rsidRPr="00F10391">
              <w:t>Betrie, Getnet D.; Sadiq, Rehan; Morin, Kevin A.; Tesfamariam, Solomon</w:t>
            </w:r>
          </w:p>
        </w:tc>
        <w:tc>
          <w:tcPr>
            <w:tcW w:w="2078" w:type="dxa"/>
            <w:tcBorders>
              <w:top w:val="nil"/>
              <w:left w:val="nil"/>
              <w:bottom w:val="single" w:sz="4" w:space="0" w:color="auto"/>
              <w:right w:val="single" w:sz="4" w:space="0" w:color="auto"/>
            </w:tcBorders>
            <w:shd w:val="clear" w:color="auto" w:fill="auto"/>
            <w:vAlign w:val="center"/>
            <w:hideMark/>
          </w:tcPr>
          <w:p w14:paraId="5C34B354" w14:textId="77777777" w:rsidR="00E403D6" w:rsidRPr="00F10391" w:rsidRDefault="00E403D6" w:rsidP="0063065F">
            <w:pPr>
              <w:jc w:val="left"/>
            </w:pPr>
            <w:r w:rsidRPr="00F10391">
              <w:t>Journal Of Environmental Management. 2013;119():36-46</w:t>
            </w:r>
          </w:p>
        </w:tc>
        <w:tc>
          <w:tcPr>
            <w:tcW w:w="862" w:type="dxa"/>
            <w:tcBorders>
              <w:top w:val="nil"/>
              <w:left w:val="nil"/>
              <w:bottom w:val="single" w:sz="4" w:space="0" w:color="auto"/>
              <w:right w:val="single" w:sz="4" w:space="0" w:color="auto"/>
            </w:tcBorders>
            <w:shd w:val="clear" w:color="auto" w:fill="auto"/>
            <w:noWrap/>
            <w:vAlign w:val="center"/>
            <w:hideMark/>
          </w:tcPr>
          <w:p w14:paraId="6CD0742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40420C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D69753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C378E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031F4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9D4827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89E29F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6BC7937" w14:textId="77777777" w:rsidR="00E403D6" w:rsidRPr="00F10391" w:rsidRDefault="00E403D6">
            <w:r w:rsidRPr="00F10391">
              <w:t>Not found</w:t>
            </w:r>
          </w:p>
        </w:tc>
      </w:tr>
      <w:tr w:rsidR="00E403D6" w:rsidRPr="00F10391" w14:paraId="70400E6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956288D" w14:textId="77777777" w:rsidR="00E403D6" w:rsidRPr="00F10391" w:rsidRDefault="00E403D6" w:rsidP="0063065F">
            <w:pPr>
              <w:jc w:val="left"/>
            </w:pPr>
            <w:r w:rsidRPr="00F10391">
              <w:t>01/05/13</w:t>
            </w:r>
          </w:p>
        </w:tc>
        <w:tc>
          <w:tcPr>
            <w:tcW w:w="2720" w:type="dxa"/>
            <w:tcBorders>
              <w:top w:val="nil"/>
              <w:left w:val="nil"/>
              <w:bottom w:val="single" w:sz="4" w:space="0" w:color="auto"/>
              <w:right w:val="single" w:sz="4" w:space="0" w:color="auto"/>
            </w:tcBorders>
            <w:shd w:val="clear" w:color="auto" w:fill="auto"/>
            <w:vAlign w:val="center"/>
            <w:hideMark/>
          </w:tcPr>
          <w:p w14:paraId="195E61F2" w14:textId="77777777" w:rsidR="00E403D6" w:rsidRPr="00F10391" w:rsidRDefault="00E403D6" w:rsidP="0063065F">
            <w:pPr>
              <w:jc w:val="left"/>
            </w:pPr>
            <w:r w:rsidRPr="00F10391">
              <w:t>Suitability Analysis For Siting Msw Landfills And Its Multicriteria Spatial Decision Support System: Method, Implementation And Case Study</w:t>
            </w:r>
          </w:p>
        </w:tc>
        <w:tc>
          <w:tcPr>
            <w:tcW w:w="1985" w:type="dxa"/>
            <w:tcBorders>
              <w:top w:val="nil"/>
              <w:left w:val="nil"/>
              <w:bottom w:val="single" w:sz="4" w:space="0" w:color="auto"/>
              <w:right w:val="single" w:sz="4" w:space="0" w:color="auto"/>
            </w:tcBorders>
            <w:shd w:val="clear" w:color="auto" w:fill="auto"/>
            <w:vAlign w:val="center"/>
            <w:hideMark/>
          </w:tcPr>
          <w:p w14:paraId="54E047A5" w14:textId="77777777" w:rsidR="00E403D6" w:rsidRPr="00F10391" w:rsidRDefault="00E403D6" w:rsidP="0063065F">
            <w:pPr>
              <w:jc w:val="left"/>
            </w:pPr>
            <w:r w:rsidRPr="00F10391">
              <w:t>Demesouka, O. E.; Vavatsikos, A. P.; Anagnostopoulos, K. P.</w:t>
            </w:r>
          </w:p>
        </w:tc>
        <w:tc>
          <w:tcPr>
            <w:tcW w:w="2078" w:type="dxa"/>
            <w:tcBorders>
              <w:top w:val="nil"/>
              <w:left w:val="nil"/>
              <w:bottom w:val="single" w:sz="4" w:space="0" w:color="auto"/>
              <w:right w:val="single" w:sz="4" w:space="0" w:color="auto"/>
            </w:tcBorders>
            <w:shd w:val="clear" w:color="auto" w:fill="auto"/>
            <w:vAlign w:val="center"/>
            <w:hideMark/>
          </w:tcPr>
          <w:p w14:paraId="3B2970C4" w14:textId="77777777" w:rsidR="00E403D6" w:rsidRPr="00F10391" w:rsidRDefault="00E403D6" w:rsidP="0063065F">
            <w:pPr>
              <w:jc w:val="left"/>
            </w:pPr>
            <w:r w:rsidRPr="00F10391">
              <w:t>Waste Management. 2013;33(5):1190-1206</w:t>
            </w:r>
          </w:p>
        </w:tc>
        <w:tc>
          <w:tcPr>
            <w:tcW w:w="862" w:type="dxa"/>
            <w:tcBorders>
              <w:top w:val="nil"/>
              <w:left w:val="nil"/>
              <w:bottom w:val="single" w:sz="4" w:space="0" w:color="auto"/>
              <w:right w:val="single" w:sz="4" w:space="0" w:color="auto"/>
            </w:tcBorders>
            <w:shd w:val="clear" w:color="auto" w:fill="auto"/>
            <w:noWrap/>
            <w:vAlign w:val="center"/>
            <w:hideMark/>
          </w:tcPr>
          <w:p w14:paraId="3FD7D14A"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584E5A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66B862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07108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124DB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13BEED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346C95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DA78FB0" w14:textId="77777777" w:rsidR="00E403D6" w:rsidRPr="00F10391" w:rsidRDefault="00E403D6">
            <w:r w:rsidRPr="00F10391">
              <w:t>Not found</w:t>
            </w:r>
          </w:p>
        </w:tc>
      </w:tr>
      <w:tr w:rsidR="00E403D6" w:rsidRPr="00F10391" w14:paraId="10F4D54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4767457" w14:textId="77777777" w:rsidR="00E403D6" w:rsidRPr="00F10391" w:rsidRDefault="00E403D6" w:rsidP="0063065F">
            <w:pPr>
              <w:jc w:val="left"/>
            </w:pPr>
            <w:r w:rsidRPr="00F10391">
              <w:t>01/05/13</w:t>
            </w:r>
          </w:p>
        </w:tc>
        <w:tc>
          <w:tcPr>
            <w:tcW w:w="2720" w:type="dxa"/>
            <w:tcBorders>
              <w:top w:val="nil"/>
              <w:left w:val="nil"/>
              <w:bottom w:val="single" w:sz="4" w:space="0" w:color="auto"/>
              <w:right w:val="single" w:sz="4" w:space="0" w:color="auto"/>
            </w:tcBorders>
            <w:shd w:val="clear" w:color="auto" w:fill="auto"/>
            <w:vAlign w:val="center"/>
            <w:hideMark/>
          </w:tcPr>
          <w:p w14:paraId="2F5A1A7A" w14:textId="77777777" w:rsidR="00E403D6" w:rsidRPr="00F10391" w:rsidRDefault="00E403D6" w:rsidP="0063065F">
            <w:pPr>
              <w:jc w:val="left"/>
            </w:pPr>
            <w:r w:rsidRPr="00F10391">
              <w:t>Investigation Of Oil Sorption Capability Of Pbma/Sio2 Coated Kapok Fiber</w:t>
            </w:r>
          </w:p>
        </w:tc>
        <w:tc>
          <w:tcPr>
            <w:tcW w:w="1985" w:type="dxa"/>
            <w:tcBorders>
              <w:top w:val="nil"/>
              <w:left w:val="nil"/>
              <w:bottom w:val="single" w:sz="4" w:space="0" w:color="auto"/>
              <w:right w:val="single" w:sz="4" w:space="0" w:color="auto"/>
            </w:tcBorders>
            <w:shd w:val="clear" w:color="auto" w:fill="auto"/>
            <w:vAlign w:val="center"/>
            <w:hideMark/>
          </w:tcPr>
          <w:p w14:paraId="2EB6913D" w14:textId="77777777" w:rsidR="00E403D6" w:rsidRPr="00F10391" w:rsidRDefault="00E403D6" w:rsidP="0063065F">
            <w:pPr>
              <w:jc w:val="left"/>
            </w:pPr>
            <w:r w:rsidRPr="00F10391">
              <w:t>Wang, Jintao; Zheng, Yian; Kang, Yuru; Wang, Aiqin</w:t>
            </w:r>
          </w:p>
        </w:tc>
        <w:tc>
          <w:tcPr>
            <w:tcW w:w="2078" w:type="dxa"/>
            <w:tcBorders>
              <w:top w:val="nil"/>
              <w:left w:val="nil"/>
              <w:bottom w:val="single" w:sz="4" w:space="0" w:color="auto"/>
              <w:right w:val="single" w:sz="4" w:space="0" w:color="auto"/>
            </w:tcBorders>
            <w:shd w:val="clear" w:color="auto" w:fill="auto"/>
            <w:vAlign w:val="center"/>
            <w:hideMark/>
          </w:tcPr>
          <w:p w14:paraId="2CEE9F9D" w14:textId="77777777" w:rsidR="00E403D6" w:rsidRPr="00F10391" w:rsidRDefault="00E403D6" w:rsidP="0063065F">
            <w:pPr>
              <w:jc w:val="left"/>
            </w:pPr>
            <w:r w:rsidRPr="00F10391">
              <w:t>Chemical Engineering Journal. 2013;223():632-637</w:t>
            </w:r>
          </w:p>
        </w:tc>
        <w:tc>
          <w:tcPr>
            <w:tcW w:w="862" w:type="dxa"/>
            <w:tcBorders>
              <w:top w:val="nil"/>
              <w:left w:val="nil"/>
              <w:bottom w:val="single" w:sz="4" w:space="0" w:color="auto"/>
              <w:right w:val="single" w:sz="4" w:space="0" w:color="auto"/>
            </w:tcBorders>
            <w:shd w:val="clear" w:color="auto" w:fill="auto"/>
            <w:noWrap/>
            <w:vAlign w:val="center"/>
            <w:hideMark/>
          </w:tcPr>
          <w:p w14:paraId="596E045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CA8F07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81EF3C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7B099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92C8A3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CBFA3C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EFA882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C46BE07" w14:textId="77777777" w:rsidR="00E403D6" w:rsidRPr="00F10391" w:rsidRDefault="00E403D6">
            <w:r w:rsidRPr="00F10391">
              <w:t>Not found</w:t>
            </w:r>
          </w:p>
        </w:tc>
      </w:tr>
      <w:tr w:rsidR="00E403D6" w:rsidRPr="00F10391" w14:paraId="775F301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BA7E51C" w14:textId="77777777" w:rsidR="00E403D6" w:rsidRPr="00F10391" w:rsidRDefault="00E403D6" w:rsidP="0063065F">
            <w:pPr>
              <w:jc w:val="left"/>
            </w:pPr>
            <w:r w:rsidRPr="00F10391">
              <w:t>22/05/13</w:t>
            </w:r>
          </w:p>
        </w:tc>
        <w:tc>
          <w:tcPr>
            <w:tcW w:w="2720" w:type="dxa"/>
            <w:tcBorders>
              <w:top w:val="nil"/>
              <w:left w:val="nil"/>
              <w:bottom w:val="single" w:sz="4" w:space="0" w:color="auto"/>
              <w:right w:val="single" w:sz="4" w:space="0" w:color="auto"/>
            </w:tcBorders>
            <w:shd w:val="clear" w:color="auto" w:fill="auto"/>
            <w:vAlign w:val="center"/>
            <w:hideMark/>
          </w:tcPr>
          <w:p w14:paraId="130D197F" w14:textId="77777777" w:rsidR="00E403D6" w:rsidRPr="00F10391" w:rsidRDefault="00E403D6" w:rsidP="0063065F">
            <w:pPr>
              <w:jc w:val="left"/>
            </w:pPr>
            <w:r w:rsidRPr="00F10391">
              <w:t>The Challenge Of Obtaining Information Necessary For Multi-Criteria Decision Analysis Implementation: The Case Of Physiotherapy Services In Canada.</w:t>
            </w:r>
          </w:p>
        </w:tc>
        <w:tc>
          <w:tcPr>
            <w:tcW w:w="1985" w:type="dxa"/>
            <w:tcBorders>
              <w:top w:val="nil"/>
              <w:left w:val="nil"/>
              <w:bottom w:val="single" w:sz="4" w:space="0" w:color="auto"/>
              <w:right w:val="single" w:sz="4" w:space="0" w:color="auto"/>
            </w:tcBorders>
            <w:shd w:val="clear" w:color="auto" w:fill="auto"/>
            <w:vAlign w:val="center"/>
            <w:hideMark/>
          </w:tcPr>
          <w:p w14:paraId="7897EB0F" w14:textId="77777777" w:rsidR="00E403D6" w:rsidRPr="005D7324" w:rsidRDefault="00E403D6" w:rsidP="0063065F">
            <w:pPr>
              <w:jc w:val="left"/>
            </w:pPr>
            <w:r w:rsidRPr="005D7324">
              <w:t>Dionne F, Mitton C, Macdonald T, Miller C, Brennan M.</w:t>
            </w:r>
          </w:p>
        </w:tc>
        <w:tc>
          <w:tcPr>
            <w:tcW w:w="2078" w:type="dxa"/>
            <w:tcBorders>
              <w:top w:val="nil"/>
              <w:left w:val="nil"/>
              <w:bottom w:val="single" w:sz="4" w:space="0" w:color="auto"/>
              <w:right w:val="single" w:sz="4" w:space="0" w:color="auto"/>
            </w:tcBorders>
            <w:shd w:val="clear" w:color="auto" w:fill="auto"/>
            <w:vAlign w:val="center"/>
            <w:hideMark/>
          </w:tcPr>
          <w:p w14:paraId="77219B0D" w14:textId="77777777" w:rsidR="00E403D6" w:rsidRPr="00F10391" w:rsidRDefault="00E403D6" w:rsidP="0063065F">
            <w:pPr>
              <w:jc w:val="left"/>
            </w:pPr>
            <w:r w:rsidRPr="00F10391">
              <w:t>Cost Eff Resour Alloc. 2013 May 20;11(1):11. Doi: 10.1186/1478-7547-11-11.</w:t>
            </w:r>
          </w:p>
        </w:tc>
        <w:tc>
          <w:tcPr>
            <w:tcW w:w="862" w:type="dxa"/>
            <w:tcBorders>
              <w:top w:val="nil"/>
              <w:left w:val="nil"/>
              <w:bottom w:val="single" w:sz="4" w:space="0" w:color="auto"/>
              <w:right w:val="single" w:sz="4" w:space="0" w:color="auto"/>
            </w:tcBorders>
            <w:shd w:val="clear" w:color="auto" w:fill="auto"/>
            <w:noWrap/>
            <w:vAlign w:val="center"/>
            <w:hideMark/>
          </w:tcPr>
          <w:p w14:paraId="5F46449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5C36E3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5670CE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D665E6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4115A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E9496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2B250DB"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4DD4CA3C" w14:textId="77777777" w:rsidR="00E403D6" w:rsidRPr="00F10391" w:rsidRDefault="00E403D6">
            <w:r w:rsidRPr="00F10391">
              <w:t>Not found</w:t>
            </w:r>
          </w:p>
        </w:tc>
      </w:tr>
      <w:tr w:rsidR="00E403D6" w:rsidRPr="00F10391" w14:paraId="01C8327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9C5E450" w14:textId="77777777" w:rsidR="00E403D6" w:rsidRPr="00F10391" w:rsidRDefault="00E403D6" w:rsidP="0063065F">
            <w:pPr>
              <w:jc w:val="left"/>
            </w:pPr>
            <w:r w:rsidRPr="00F10391">
              <w:t>22/05/13</w:t>
            </w:r>
          </w:p>
        </w:tc>
        <w:tc>
          <w:tcPr>
            <w:tcW w:w="2720" w:type="dxa"/>
            <w:tcBorders>
              <w:top w:val="nil"/>
              <w:left w:val="nil"/>
              <w:bottom w:val="single" w:sz="4" w:space="0" w:color="auto"/>
              <w:right w:val="single" w:sz="4" w:space="0" w:color="auto"/>
            </w:tcBorders>
            <w:shd w:val="clear" w:color="auto" w:fill="auto"/>
            <w:vAlign w:val="center"/>
            <w:hideMark/>
          </w:tcPr>
          <w:p w14:paraId="57D49CD0" w14:textId="77777777" w:rsidR="00E403D6" w:rsidRPr="00F10391" w:rsidRDefault="00E403D6" w:rsidP="0063065F">
            <w:pPr>
              <w:jc w:val="left"/>
            </w:pPr>
            <w:r w:rsidRPr="00F10391">
              <w:t>Research Priorities For The Environment, Agriculture And Infectious Diseases Of Poverty.</w:t>
            </w:r>
          </w:p>
        </w:tc>
        <w:tc>
          <w:tcPr>
            <w:tcW w:w="1985" w:type="dxa"/>
            <w:tcBorders>
              <w:top w:val="nil"/>
              <w:left w:val="nil"/>
              <w:bottom w:val="single" w:sz="4" w:space="0" w:color="auto"/>
              <w:right w:val="single" w:sz="4" w:space="0" w:color="auto"/>
            </w:tcBorders>
            <w:shd w:val="clear" w:color="auto" w:fill="auto"/>
            <w:vAlign w:val="center"/>
            <w:hideMark/>
          </w:tcPr>
          <w:p w14:paraId="1290C9E8" w14:textId="77777777" w:rsidR="00E403D6" w:rsidRPr="00F10391" w:rsidRDefault="00E403D6" w:rsidP="0063065F">
            <w:pPr>
              <w:jc w:val="left"/>
            </w:pPr>
            <w:r w:rsidRPr="00F10391">
              <w:t>World Health Organization.</w:t>
            </w:r>
          </w:p>
        </w:tc>
        <w:tc>
          <w:tcPr>
            <w:tcW w:w="2078" w:type="dxa"/>
            <w:tcBorders>
              <w:top w:val="nil"/>
              <w:left w:val="nil"/>
              <w:bottom w:val="single" w:sz="4" w:space="0" w:color="auto"/>
              <w:right w:val="single" w:sz="4" w:space="0" w:color="auto"/>
            </w:tcBorders>
            <w:shd w:val="clear" w:color="auto" w:fill="auto"/>
            <w:vAlign w:val="center"/>
            <w:hideMark/>
          </w:tcPr>
          <w:p w14:paraId="579E83CD" w14:textId="77777777" w:rsidR="00E403D6" w:rsidRPr="00F10391" w:rsidRDefault="00E403D6" w:rsidP="0063065F">
            <w:pPr>
              <w:jc w:val="left"/>
            </w:pPr>
            <w:r w:rsidRPr="00F10391">
              <w:t>World Health Organ Tech Rep Ser. 2013;(976):I-Xiii, 1-125.</w:t>
            </w:r>
          </w:p>
        </w:tc>
        <w:tc>
          <w:tcPr>
            <w:tcW w:w="862" w:type="dxa"/>
            <w:tcBorders>
              <w:top w:val="nil"/>
              <w:left w:val="nil"/>
              <w:bottom w:val="single" w:sz="4" w:space="0" w:color="auto"/>
              <w:right w:val="single" w:sz="4" w:space="0" w:color="auto"/>
            </w:tcBorders>
            <w:shd w:val="clear" w:color="auto" w:fill="auto"/>
            <w:noWrap/>
            <w:vAlign w:val="center"/>
            <w:hideMark/>
          </w:tcPr>
          <w:p w14:paraId="773323F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FF89CE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FA8AE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53C2BB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65C7A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A8FFA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D6557B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3E275A5" w14:textId="77777777" w:rsidR="00E403D6" w:rsidRPr="00F10391" w:rsidRDefault="00E403D6">
            <w:r w:rsidRPr="00F10391">
              <w:t>Not found</w:t>
            </w:r>
          </w:p>
        </w:tc>
      </w:tr>
      <w:tr w:rsidR="00E403D6" w:rsidRPr="00F10391" w14:paraId="66907E8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8445B1D" w14:textId="77777777" w:rsidR="00E403D6" w:rsidRPr="00F10391" w:rsidRDefault="00E403D6" w:rsidP="0063065F">
            <w:pPr>
              <w:jc w:val="left"/>
            </w:pPr>
            <w:r w:rsidRPr="00F10391">
              <w:t>25/05/13</w:t>
            </w:r>
          </w:p>
        </w:tc>
        <w:tc>
          <w:tcPr>
            <w:tcW w:w="2720" w:type="dxa"/>
            <w:tcBorders>
              <w:top w:val="nil"/>
              <w:left w:val="nil"/>
              <w:bottom w:val="single" w:sz="4" w:space="0" w:color="auto"/>
              <w:right w:val="single" w:sz="4" w:space="0" w:color="auto"/>
            </w:tcBorders>
            <w:shd w:val="clear" w:color="auto" w:fill="auto"/>
            <w:vAlign w:val="center"/>
            <w:hideMark/>
          </w:tcPr>
          <w:p w14:paraId="7168529B" w14:textId="77777777" w:rsidR="00E403D6" w:rsidRPr="00F10391" w:rsidRDefault="00E403D6" w:rsidP="0063065F">
            <w:pPr>
              <w:jc w:val="left"/>
            </w:pPr>
            <w:r w:rsidRPr="00F10391">
              <w:t>Use Of Multi-Criteria Decision Analysis In Regulatory Alternatives Analysis: A Case Study Of Lead Free Solder.</w:t>
            </w:r>
          </w:p>
        </w:tc>
        <w:tc>
          <w:tcPr>
            <w:tcW w:w="1985" w:type="dxa"/>
            <w:tcBorders>
              <w:top w:val="nil"/>
              <w:left w:val="nil"/>
              <w:bottom w:val="single" w:sz="4" w:space="0" w:color="auto"/>
              <w:right w:val="single" w:sz="4" w:space="0" w:color="auto"/>
            </w:tcBorders>
            <w:shd w:val="clear" w:color="auto" w:fill="auto"/>
            <w:vAlign w:val="center"/>
            <w:hideMark/>
          </w:tcPr>
          <w:p w14:paraId="4A360ACE" w14:textId="77777777" w:rsidR="00E403D6" w:rsidRPr="00F10391" w:rsidRDefault="00E403D6" w:rsidP="0063065F">
            <w:pPr>
              <w:jc w:val="left"/>
            </w:pPr>
            <w:r w:rsidRPr="00F10391">
              <w:t>Malloy Tf, Sinsheimer Pj, Blake A, Linkov I.</w:t>
            </w:r>
          </w:p>
        </w:tc>
        <w:tc>
          <w:tcPr>
            <w:tcW w:w="2078" w:type="dxa"/>
            <w:tcBorders>
              <w:top w:val="nil"/>
              <w:left w:val="nil"/>
              <w:bottom w:val="single" w:sz="4" w:space="0" w:color="auto"/>
              <w:right w:val="single" w:sz="4" w:space="0" w:color="auto"/>
            </w:tcBorders>
            <w:shd w:val="clear" w:color="auto" w:fill="auto"/>
            <w:vAlign w:val="center"/>
            <w:hideMark/>
          </w:tcPr>
          <w:p w14:paraId="16495C7A" w14:textId="77777777" w:rsidR="00E403D6" w:rsidRPr="00F10391" w:rsidRDefault="00E403D6" w:rsidP="0063065F">
            <w:pPr>
              <w:jc w:val="left"/>
            </w:pPr>
            <w:r w:rsidRPr="00F10391">
              <w:t>Integr Environ Assess Manag. 2013 Oct;9(4):652-64. Doi: 10.1002/Ieam.1449. Epub 2013 Sep 11.</w:t>
            </w:r>
          </w:p>
        </w:tc>
        <w:tc>
          <w:tcPr>
            <w:tcW w:w="862" w:type="dxa"/>
            <w:tcBorders>
              <w:top w:val="nil"/>
              <w:left w:val="nil"/>
              <w:bottom w:val="single" w:sz="4" w:space="0" w:color="auto"/>
              <w:right w:val="single" w:sz="4" w:space="0" w:color="auto"/>
            </w:tcBorders>
            <w:shd w:val="clear" w:color="auto" w:fill="auto"/>
            <w:noWrap/>
            <w:vAlign w:val="center"/>
            <w:hideMark/>
          </w:tcPr>
          <w:p w14:paraId="176D6D6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C0B651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C31ADD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E721C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0838E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47C76D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5E836C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8894E60" w14:textId="77777777" w:rsidR="00E403D6" w:rsidRPr="00F10391" w:rsidRDefault="00E403D6">
            <w:r w:rsidRPr="00F10391">
              <w:t>Not found</w:t>
            </w:r>
          </w:p>
        </w:tc>
      </w:tr>
      <w:tr w:rsidR="00E403D6" w:rsidRPr="00F10391" w14:paraId="7317759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0540AF1" w14:textId="77777777" w:rsidR="00E403D6" w:rsidRPr="00F10391" w:rsidRDefault="00E403D6" w:rsidP="0063065F">
            <w:pPr>
              <w:jc w:val="left"/>
            </w:pPr>
            <w:r w:rsidRPr="00F10391">
              <w:t>01/06/13</w:t>
            </w:r>
          </w:p>
        </w:tc>
        <w:tc>
          <w:tcPr>
            <w:tcW w:w="2720" w:type="dxa"/>
            <w:tcBorders>
              <w:top w:val="nil"/>
              <w:left w:val="nil"/>
              <w:bottom w:val="single" w:sz="4" w:space="0" w:color="auto"/>
              <w:right w:val="single" w:sz="4" w:space="0" w:color="auto"/>
            </w:tcBorders>
            <w:shd w:val="clear" w:color="auto" w:fill="auto"/>
            <w:vAlign w:val="center"/>
            <w:hideMark/>
          </w:tcPr>
          <w:p w14:paraId="433494F8" w14:textId="77777777" w:rsidR="00E403D6" w:rsidRPr="00F10391" w:rsidRDefault="00E403D6" w:rsidP="0063065F">
            <w:pPr>
              <w:jc w:val="left"/>
            </w:pPr>
            <w:r w:rsidRPr="00F10391">
              <w:t>Uncertainty Modelling In Multi-Criteria Analysis Of Water Safety Measures</w:t>
            </w:r>
          </w:p>
        </w:tc>
        <w:tc>
          <w:tcPr>
            <w:tcW w:w="1985" w:type="dxa"/>
            <w:tcBorders>
              <w:top w:val="nil"/>
              <w:left w:val="nil"/>
              <w:bottom w:val="single" w:sz="4" w:space="0" w:color="auto"/>
              <w:right w:val="single" w:sz="4" w:space="0" w:color="auto"/>
            </w:tcBorders>
            <w:shd w:val="clear" w:color="auto" w:fill="auto"/>
            <w:vAlign w:val="center"/>
            <w:hideMark/>
          </w:tcPr>
          <w:p w14:paraId="5343CAA1" w14:textId="77777777" w:rsidR="00E403D6" w:rsidRPr="00F10391" w:rsidRDefault="00E403D6" w:rsidP="0063065F">
            <w:pPr>
              <w:jc w:val="left"/>
            </w:pPr>
            <w:r w:rsidRPr="00F10391">
              <w:t>Lindhe, Andreas; Rosen, Lars; Norberg, Tommy; Rostum, Jon; Pettersson, Thomas J. R.</w:t>
            </w:r>
          </w:p>
        </w:tc>
        <w:tc>
          <w:tcPr>
            <w:tcW w:w="2078" w:type="dxa"/>
            <w:tcBorders>
              <w:top w:val="nil"/>
              <w:left w:val="nil"/>
              <w:bottom w:val="single" w:sz="4" w:space="0" w:color="auto"/>
              <w:right w:val="single" w:sz="4" w:space="0" w:color="auto"/>
            </w:tcBorders>
            <w:shd w:val="clear" w:color="auto" w:fill="auto"/>
            <w:vAlign w:val="center"/>
            <w:hideMark/>
          </w:tcPr>
          <w:p w14:paraId="6AC168D7" w14:textId="77777777" w:rsidR="00E403D6" w:rsidRPr="00F10391" w:rsidRDefault="00E403D6" w:rsidP="0063065F">
            <w:pPr>
              <w:jc w:val="left"/>
            </w:pPr>
            <w:r w:rsidRPr="00F10391">
              <w:t>Environment Systems &amp; Decisions. 2013;33(2, Sp. Iss. Si):195-208</w:t>
            </w:r>
          </w:p>
        </w:tc>
        <w:tc>
          <w:tcPr>
            <w:tcW w:w="862" w:type="dxa"/>
            <w:tcBorders>
              <w:top w:val="nil"/>
              <w:left w:val="nil"/>
              <w:bottom w:val="single" w:sz="4" w:space="0" w:color="auto"/>
              <w:right w:val="single" w:sz="4" w:space="0" w:color="auto"/>
            </w:tcBorders>
            <w:shd w:val="clear" w:color="auto" w:fill="auto"/>
            <w:noWrap/>
            <w:vAlign w:val="center"/>
            <w:hideMark/>
          </w:tcPr>
          <w:p w14:paraId="18DFDE9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F6B229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19FB1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C2F9E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F9C42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5E6A65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C875A54"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FA11E62" w14:textId="77777777" w:rsidR="00E403D6" w:rsidRPr="00F10391" w:rsidRDefault="00E403D6">
            <w:r w:rsidRPr="00F10391">
              <w:t>Not found</w:t>
            </w:r>
          </w:p>
        </w:tc>
      </w:tr>
      <w:tr w:rsidR="00E403D6" w:rsidRPr="00F10391" w14:paraId="0441CFD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606C91E" w14:textId="77777777" w:rsidR="00E403D6" w:rsidRPr="00F10391" w:rsidRDefault="00E403D6" w:rsidP="0063065F">
            <w:pPr>
              <w:jc w:val="left"/>
            </w:pPr>
            <w:r w:rsidRPr="00F10391">
              <w:t>01/06/13</w:t>
            </w:r>
          </w:p>
        </w:tc>
        <w:tc>
          <w:tcPr>
            <w:tcW w:w="2720" w:type="dxa"/>
            <w:tcBorders>
              <w:top w:val="nil"/>
              <w:left w:val="nil"/>
              <w:bottom w:val="single" w:sz="4" w:space="0" w:color="auto"/>
              <w:right w:val="single" w:sz="4" w:space="0" w:color="auto"/>
            </w:tcBorders>
            <w:shd w:val="clear" w:color="auto" w:fill="auto"/>
            <w:vAlign w:val="center"/>
            <w:hideMark/>
          </w:tcPr>
          <w:p w14:paraId="2D5E64A2" w14:textId="77777777" w:rsidR="00E403D6" w:rsidRPr="00F10391" w:rsidRDefault="00E403D6" w:rsidP="0063065F">
            <w:pPr>
              <w:jc w:val="left"/>
            </w:pPr>
            <w:r w:rsidRPr="00F10391">
              <w:t>Evaluation Of Polypropylene And Poly (Butylmethacrylate-Co-Hydroxyethylmethacrylate) Nonwoven Material As Oil Absorbent</w:t>
            </w:r>
          </w:p>
        </w:tc>
        <w:tc>
          <w:tcPr>
            <w:tcW w:w="1985" w:type="dxa"/>
            <w:tcBorders>
              <w:top w:val="nil"/>
              <w:left w:val="nil"/>
              <w:bottom w:val="single" w:sz="4" w:space="0" w:color="auto"/>
              <w:right w:val="single" w:sz="4" w:space="0" w:color="auto"/>
            </w:tcBorders>
            <w:shd w:val="clear" w:color="auto" w:fill="auto"/>
            <w:vAlign w:val="center"/>
            <w:hideMark/>
          </w:tcPr>
          <w:p w14:paraId="19476170" w14:textId="77777777" w:rsidR="00E403D6" w:rsidRPr="00F10391" w:rsidRDefault="00E403D6" w:rsidP="0063065F">
            <w:pPr>
              <w:jc w:val="left"/>
            </w:pPr>
            <w:r w:rsidRPr="00F10391">
              <w:t>Zhao, Jian; Xiao, Changfa; Xu, Naiku</w:t>
            </w:r>
          </w:p>
        </w:tc>
        <w:tc>
          <w:tcPr>
            <w:tcW w:w="2078" w:type="dxa"/>
            <w:tcBorders>
              <w:top w:val="nil"/>
              <w:left w:val="nil"/>
              <w:bottom w:val="single" w:sz="4" w:space="0" w:color="auto"/>
              <w:right w:val="single" w:sz="4" w:space="0" w:color="auto"/>
            </w:tcBorders>
            <w:shd w:val="clear" w:color="auto" w:fill="auto"/>
            <w:vAlign w:val="center"/>
            <w:hideMark/>
          </w:tcPr>
          <w:p w14:paraId="6271BD35" w14:textId="77777777" w:rsidR="00E403D6" w:rsidRPr="00F10391" w:rsidRDefault="00E403D6" w:rsidP="0063065F">
            <w:pPr>
              <w:jc w:val="left"/>
            </w:pPr>
            <w:r w:rsidRPr="00F10391">
              <w:t>Environmental Science And Pollution Research. 2013;20(6):4137-4145</w:t>
            </w:r>
          </w:p>
        </w:tc>
        <w:tc>
          <w:tcPr>
            <w:tcW w:w="862" w:type="dxa"/>
            <w:tcBorders>
              <w:top w:val="nil"/>
              <w:left w:val="nil"/>
              <w:bottom w:val="single" w:sz="4" w:space="0" w:color="auto"/>
              <w:right w:val="single" w:sz="4" w:space="0" w:color="auto"/>
            </w:tcBorders>
            <w:shd w:val="clear" w:color="auto" w:fill="auto"/>
            <w:noWrap/>
            <w:vAlign w:val="center"/>
            <w:hideMark/>
          </w:tcPr>
          <w:p w14:paraId="40748AF2"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20346F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2C5945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0D9CDE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BD55D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092C5B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9B6CDB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4FE20EB" w14:textId="77777777" w:rsidR="00E403D6" w:rsidRPr="00F10391" w:rsidRDefault="00E403D6">
            <w:r w:rsidRPr="00F10391">
              <w:t>Not found</w:t>
            </w:r>
          </w:p>
        </w:tc>
      </w:tr>
      <w:tr w:rsidR="00E403D6" w:rsidRPr="00F10391" w14:paraId="6F04EE9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BCFE164" w14:textId="77777777" w:rsidR="00E403D6" w:rsidRPr="00F10391" w:rsidRDefault="00E403D6" w:rsidP="0063065F">
            <w:pPr>
              <w:jc w:val="left"/>
            </w:pPr>
            <w:r w:rsidRPr="00F10391">
              <w:t>29/06/13</w:t>
            </w:r>
          </w:p>
        </w:tc>
        <w:tc>
          <w:tcPr>
            <w:tcW w:w="2720" w:type="dxa"/>
            <w:tcBorders>
              <w:top w:val="nil"/>
              <w:left w:val="nil"/>
              <w:bottom w:val="single" w:sz="4" w:space="0" w:color="auto"/>
              <w:right w:val="single" w:sz="4" w:space="0" w:color="auto"/>
            </w:tcBorders>
            <w:shd w:val="clear" w:color="auto" w:fill="auto"/>
            <w:vAlign w:val="center"/>
            <w:hideMark/>
          </w:tcPr>
          <w:p w14:paraId="2106BB8E" w14:textId="77777777" w:rsidR="00E403D6" w:rsidRPr="00F10391" w:rsidRDefault="00E403D6" w:rsidP="0063065F">
            <w:pPr>
              <w:jc w:val="left"/>
            </w:pPr>
            <w:r w:rsidRPr="00F10391">
              <w:t>Maximizing The Impact Of Antimicrobial Stewardship: The Role Of Diagnostics, National And International Efforts.</w:t>
            </w:r>
          </w:p>
        </w:tc>
        <w:tc>
          <w:tcPr>
            <w:tcW w:w="1985" w:type="dxa"/>
            <w:tcBorders>
              <w:top w:val="nil"/>
              <w:left w:val="nil"/>
              <w:bottom w:val="single" w:sz="4" w:space="0" w:color="auto"/>
              <w:right w:val="single" w:sz="4" w:space="0" w:color="auto"/>
            </w:tcBorders>
            <w:shd w:val="clear" w:color="auto" w:fill="auto"/>
            <w:vAlign w:val="center"/>
            <w:hideMark/>
          </w:tcPr>
          <w:p w14:paraId="1A5604BD" w14:textId="77777777" w:rsidR="00E403D6" w:rsidRPr="00F10391" w:rsidRDefault="00E403D6" w:rsidP="0063065F">
            <w:pPr>
              <w:jc w:val="left"/>
            </w:pPr>
            <w:r w:rsidRPr="00F10391">
              <w:t>O'Brien Dj, Gould Im.</w:t>
            </w:r>
          </w:p>
        </w:tc>
        <w:tc>
          <w:tcPr>
            <w:tcW w:w="2078" w:type="dxa"/>
            <w:tcBorders>
              <w:top w:val="nil"/>
              <w:left w:val="nil"/>
              <w:bottom w:val="single" w:sz="4" w:space="0" w:color="auto"/>
              <w:right w:val="single" w:sz="4" w:space="0" w:color="auto"/>
            </w:tcBorders>
            <w:shd w:val="clear" w:color="auto" w:fill="auto"/>
            <w:vAlign w:val="center"/>
            <w:hideMark/>
          </w:tcPr>
          <w:p w14:paraId="71008B71" w14:textId="77777777" w:rsidR="00E403D6" w:rsidRPr="00F10391" w:rsidRDefault="00E403D6" w:rsidP="0063065F">
            <w:pPr>
              <w:jc w:val="left"/>
            </w:pPr>
            <w:r w:rsidRPr="00F10391">
              <w:t>Curr Opin Infect Dis. 2013 Aug;26(4):352-8. Doi: 10.1097/Qco.0B013E3283631046. Review.</w:t>
            </w:r>
          </w:p>
        </w:tc>
        <w:tc>
          <w:tcPr>
            <w:tcW w:w="862" w:type="dxa"/>
            <w:tcBorders>
              <w:top w:val="nil"/>
              <w:left w:val="nil"/>
              <w:bottom w:val="single" w:sz="4" w:space="0" w:color="auto"/>
              <w:right w:val="single" w:sz="4" w:space="0" w:color="auto"/>
            </w:tcBorders>
            <w:shd w:val="clear" w:color="auto" w:fill="auto"/>
            <w:noWrap/>
            <w:vAlign w:val="center"/>
            <w:hideMark/>
          </w:tcPr>
          <w:p w14:paraId="3CF2648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A06D62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35334F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24DA6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2DB6B0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6A4A0B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4B64B6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07837E4" w14:textId="77777777" w:rsidR="00E403D6" w:rsidRPr="00F10391" w:rsidRDefault="00E403D6">
            <w:r w:rsidRPr="00F10391">
              <w:t>Not found</w:t>
            </w:r>
          </w:p>
        </w:tc>
      </w:tr>
      <w:tr w:rsidR="00E403D6" w:rsidRPr="00F10391" w14:paraId="62E8F1B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B41B248" w14:textId="77777777" w:rsidR="00E403D6" w:rsidRPr="00F10391" w:rsidRDefault="00E403D6" w:rsidP="0063065F">
            <w:pPr>
              <w:jc w:val="left"/>
            </w:pPr>
            <w:r w:rsidRPr="00F10391">
              <w:t>23/07/13</w:t>
            </w:r>
          </w:p>
        </w:tc>
        <w:tc>
          <w:tcPr>
            <w:tcW w:w="2720" w:type="dxa"/>
            <w:tcBorders>
              <w:top w:val="nil"/>
              <w:left w:val="nil"/>
              <w:bottom w:val="single" w:sz="4" w:space="0" w:color="auto"/>
              <w:right w:val="single" w:sz="4" w:space="0" w:color="auto"/>
            </w:tcBorders>
            <w:shd w:val="clear" w:color="auto" w:fill="auto"/>
            <w:vAlign w:val="center"/>
            <w:hideMark/>
          </w:tcPr>
          <w:p w14:paraId="12613A38" w14:textId="77777777" w:rsidR="00E403D6" w:rsidRPr="00F10391" w:rsidRDefault="00E403D6" w:rsidP="0063065F">
            <w:pPr>
              <w:jc w:val="left"/>
            </w:pPr>
            <w:r w:rsidRPr="00F10391">
              <w:t>A Review Of The Evidence To Support Influenza Vaccine Introduction In Countries And Areas Of Who'S Western Pacific Region.</w:t>
            </w:r>
          </w:p>
        </w:tc>
        <w:tc>
          <w:tcPr>
            <w:tcW w:w="1985" w:type="dxa"/>
            <w:tcBorders>
              <w:top w:val="nil"/>
              <w:left w:val="nil"/>
              <w:bottom w:val="single" w:sz="4" w:space="0" w:color="auto"/>
              <w:right w:val="single" w:sz="4" w:space="0" w:color="auto"/>
            </w:tcBorders>
            <w:shd w:val="clear" w:color="auto" w:fill="auto"/>
            <w:vAlign w:val="center"/>
            <w:hideMark/>
          </w:tcPr>
          <w:p w14:paraId="37032374" w14:textId="77777777" w:rsidR="00E403D6" w:rsidRPr="00F10391" w:rsidRDefault="00E403D6" w:rsidP="0063065F">
            <w:pPr>
              <w:jc w:val="left"/>
            </w:pPr>
            <w:r w:rsidRPr="00F10391">
              <w:t>Samaan G, Mcpherson M, Partridge J.</w:t>
            </w:r>
          </w:p>
        </w:tc>
        <w:tc>
          <w:tcPr>
            <w:tcW w:w="2078" w:type="dxa"/>
            <w:tcBorders>
              <w:top w:val="nil"/>
              <w:left w:val="nil"/>
              <w:bottom w:val="single" w:sz="4" w:space="0" w:color="auto"/>
              <w:right w:val="single" w:sz="4" w:space="0" w:color="auto"/>
            </w:tcBorders>
            <w:shd w:val="clear" w:color="auto" w:fill="auto"/>
            <w:vAlign w:val="center"/>
            <w:hideMark/>
          </w:tcPr>
          <w:p w14:paraId="0E73D9F5" w14:textId="77777777" w:rsidR="00E403D6" w:rsidRPr="00F10391" w:rsidRDefault="00E403D6" w:rsidP="0063065F">
            <w:pPr>
              <w:jc w:val="left"/>
            </w:pPr>
            <w:r w:rsidRPr="00F10391">
              <w:t>Plos One. 2013 Jul 16;8(7):E70003. Doi: 10.1371/Journal.Pone.0070003. Print 2013. Review.</w:t>
            </w:r>
          </w:p>
        </w:tc>
        <w:tc>
          <w:tcPr>
            <w:tcW w:w="862" w:type="dxa"/>
            <w:tcBorders>
              <w:top w:val="nil"/>
              <w:left w:val="nil"/>
              <w:bottom w:val="single" w:sz="4" w:space="0" w:color="auto"/>
              <w:right w:val="single" w:sz="4" w:space="0" w:color="auto"/>
            </w:tcBorders>
            <w:shd w:val="clear" w:color="auto" w:fill="auto"/>
            <w:noWrap/>
            <w:vAlign w:val="center"/>
            <w:hideMark/>
          </w:tcPr>
          <w:p w14:paraId="0D7D440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9A87B7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F956EC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2C7AD5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152F0B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5E8DF0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1C15E9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255DC14" w14:textId="77777777" w:rsidR="00E403D6" w:rsidRPr="00F10391" w:rsidRDefault="00E403D6">
            <w:r w:rsidRPr="00F10391">
              <w:t>Not found</w:t>
            </w:r>
          </w:p>
        </w:tc>
      </w:tr>
      <w:tr w:rsidR="00E403D6" w:rsidRPr="00F10391" w14:paraId="5925250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D8CD89D" w14:textId="77777777" w:rsidR="00E403D6" w:rsidRPr="00F10391" w:rsidRDefault="00E403D6" w:rsidP="0063065F">
            <w:pPr>
              <w:jc w:val="left"/>
            </w:pPr>
            <w:r w:rsidRPr="00F10391">
              <w:t>03/08/13</w:t>
            </w:r>
          </w:p>
        </w:tc>
        <w:tc>
          <w:tcPr>
            <w:tcW w:w="2720" w:type="dxa"/>
            <w:tcBorders>
              <w:top w:val="nil"/>
              <w:left w:val="nil"/>
              <w:bottom w:val="single" w:sz="4" w:space="0" w:color="auto"/>
              <w:right w:val="single" w:sz="4" w:space="0" w:color="auto"/>
            </w:tcBorders>
            <w:shd w:val="clear" w:color="auto" w:fill="auto"/>
            <w:vAlign w:val="center"/>
            <w:hideMark/>
          </w:tcPr>
          <w:p w14:paraId="3F5EB330" w14:textId="77777777" w:rsidR="00E403D6" w:rsidRPr="00F10391" w:rsidRDefault="00E403D6" w:rsidP="0063065F">
            <w:pPr>
              <w:jc w:val="left"/>
            </w:pPr>
            <w:r w:rsidRPr="00F10391">
              <w:t>Characteristics Of Complaints Resulting In Disciplinary Actions Against Danish Gps.</w:t>
            </w:r>
          </w:p>
        </w:tc>
        <w:tc>
          <w:tcPr>
            <w:tcW w:w="1985" w:type="dxa"/>
            <w:tcBorders>
              <w:top w:val="nil"/>
              <w:left w:val="nil"/>
              <w:bottom w:val="single" w:sz="4" w:space="0" w:color="auto"/>
              <w:right w:val="single" w:sz="4" w:space="0" w:color="auto"/>
            </w:tcBorders>
            <w:shd w:val="clear" w:color="auto" w:fill="auto"/>
            <w:vAlign w:val="center"/>
            <w:hideMark/>
          </w:tcPr>
          <w:p w14:paraId="2F0CFC19" w14:textId="77777777" w:rsidR="00E403D6" w:rsidRPr="00F10391" w:rsidRDefault="00E403D6" w:rsidP="0063065F">
            <w:pPr>
              <w:jc w:val="left"/>
            </w:pPr>
            <w:r w:rsidRPr="00F10391">
              <w:t>Birkeland S, Depont Christensen R, Damsbo N, Kragstrup J.</w:t>
            </w:r>
          </w:p>
        </w:tc>
        <w:tc>
          <w:tcPr>
            <w:tcW w:w="2078" w:type="dxa"/>
            <w:tcBorders>
              <w:top w:val="nil"/>
              <w:left w:val="nil"/>
              <w:bottom w:val="single" w:sz="4" w:space="0" w:color="auto"/>
              <w:right w:val="single" w:sz="4" w:space="0" w:color="auto"/>
            </w:tcBorders>
            <w:shd w:val="clear" w:color="auto" w:fill="auto"/>
            <w:vAlign w:val="center"/>
            <w:hideMark/>
          </w:tcPr>
          <w:p w14:paraId="203025BF" w14:textId="77777777" w:rsidR="00E403D6" w:rsidRPr="00F10391" w:rsidRDefault="00E403D6" w:rsidP="0063065F">
            <w:pPr>
              <w:jc w:val="left"/>
            </w:pPr>
            <w:r w:rsidRPr="00F10391">
              <w:t>Scand J Prim Health Care. 2013 Sep;31(3):153-7. Doi: 10.3109/02813432.2013.823768. Epub 2013 Aug 2.</w:t>
            </w:r>
          </w:p>
        </w:tc>
        <w:tc>
          <w:tcPr>
            <w:tcW w:w="862" w:type="dxa"/>
            <w:tcBorders>
              <w:top w:val="nil"/>
              <w:left w:val="nil"/>
              <w:bottom w:val="single" w:sz="4" w:space="0" w:color="auto"/>
              <w:right w:val="single" w:sz="4" w:space="0" w:color="auto"/>
            </w:tcBorders>
            <w:shd w:val="clear" w:color="auto" w:fill="auto"/>
            <w:noWrap/>
            <w:vAlign w:val="center"/>
            <w:hideMark/>
          </w:tcPr>
          <w:p w14:paraId="7224E1F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BFE52F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6C1C67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2E6A86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D8537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06A4F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4F476E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182FCB3" w14:textId="77777777" w:rsidR="00E403D6" w:rsidRPr="00F10391" w:rsidRDefault="00E403D6">
            <w:r w:rsidRPr="00F10391">
              <w:t>Not found</w:t>
            </w:r>
          </w:p>
        </w:tc>
      </w:tr>
      <w:tr w:rsidR="00E403D6" w:rsidRPr="00F10391" w14:paraId="5BA1C2D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109B099" w14:textId="77777777" w:rsidR="00E403D6" w:rsidRPr="00F10391" w:rsidRDefault="00E403D6" w:rsidP="0063065F">
            <w:pPr>
              <w:jc w:val="left"/>
            </w:pPr>
            <w:r w:rsidRPr="00F10391">
              <w:t>15/08/13</w:t>
            </w:r>
          </w:p>
        </w:tc>
        <w:tc>
          <w:tcPr>
            <w:tcW w:w="2720" w:type="dxa"/>
            <w:tcBorders>
              <w:top w:val="nil"/>
              <w:left w:val="nil"/>
              <w:bottom w:val="single" w:sz="4" w:space="0" w:color="auto"/>
              <w:right w:val="single" w:sz="4" w:space="0" w:color="auto"/>
            </w:tcBorders>
            <w:shd w:val="clear" w:color="auto" w:fill="auto"/>
            <w:vAlign w:val="center"/>
            <w:hideMark/>
          </w:tcPr>
          <w:p w14:paraId="6BC87C27" w14:textId="77777777" w:rsidR="00E403D6" w:rsidRPr="00F10391" w:rsidRDefault="00E403D6" w:rsidP="0063065F">
            <w:pPr>
              <w:jc w:val="left"/>
            </w:pPr>
            <w:r w:rsidRPr="00F10391">
              <w:t>A Compatibility-Based Procedure Designed To Generate Potential Sanitation System Alternatives</w:t>
            </w:r>
          </w:p>
        </w:tc>
        <w:tc>
          <w:tcPr>
            <w:tcW w:w="1985" w:type="dxa"/>
            <w:tcBorders>
              <w:top w:val="nil"/>
              <w:left w:val="nil"/>
              <w:bottom w:val="single" w:sz="4" w:space="0" w:color="auto"/>
              <w:right w:val="single" w:sz="4" w:space="0" w:color="auto"/>
            </w:tcBorders>
            <w:shd w:val="clear" w:color="auto" w:fill="auto"/>
            <w:vAlign w:val="center"/>
            <w:hideMark/>
          </w:tcPr>
          <w:p w14:paraId="054FC235" w14:textId="77777777" w:rsidR="00E403D6" w:rsidRPr="00F10391" w:rsidRDefault="00E403D6" w:rsidP="0063065F">
            <w:pPr>
              <w:jc w:val="left"/>
            </w:pPr>
            <w:r w:rsidRPr="00F10391">
              <w:t>Maurer, Max; Bufardi, Ahmed; Tilley, Elizabeth; Zurbruegg, Christian; Truffer, Bernhard</w:t>
            </w:r>
          </w:p>
        </w:tc>
        <w:tc>
          <w:tcPr>
            <w:tcW w:w="2078" w:type="dxa"/>
            <w:tcBorders>
              <w:top w:val="nil"/>
              <w:left w:val="nil"/>
              <w:bottom w:val="single" w:sz="4" w:space="0" w:color="auto"/>
              <w:right w:val="single" w:sz="4" w:space="0" w:color="auto"/>
            </w:tcBorders>
            <w:shd w:val="clear" w:color="auto" w:fill="auto"/>
            <w:vAlign w:val="center"/>
            <w:hideMark/>
          </w:tcPr>
          <w:p w14:paraId="5FDA28C5" w14:textId="77777777" w:rsidR="00E403D6" w:rsidRPr="00F10391" w:rsidRDefault="00E403D6" w:rsidP="0063065F">
            <w:pPr>
              <w:jc w:val="left"/>
            </w:pPr>
            <w:r w:rsidRPr="00F10391">
              <w:t>Journal Of Environmental Management. 2012;104():51-61</w:t>
            </w:r>
          </w:p>
        </w:tc>
        <w:tc>
          <w:tcPr>
            <w:tcW w:w="862" w:type="dxa"/>
            <w:tcBorders>
              <w:top w:val="nil"/>
              <w:left w:val="nil"/>
              <w:bottom w:val="single" w:sz="4" w:space="0" w:color="auto"/>
              <w:right w:val="single" w:sz="4" w:space="0" w:color="auto"/>
            </w:tcBorders>
            <w:shd w:val="clear" w:color="auto" w:fill="auto"/>
            <w:noWrap/>
            <w:vAlign w:val="center"/>
            <w:hideMark/>
          </w:tcPr>
          <w:p w14:paraId="4F5AEC46"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E272A0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F84E8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D55DF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82816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5AB40D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5E3F5B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55727E1" w14:textId="77777777" w:rsidR="00E403D6" w:rsidRPr="00F10391" w:rsidRDefault="00E403D6">
            <w:r w:rsidRPr="00F10391">
              <w:t>Not found</w:t>
            </w:r>
          </w:p>
        </w:tc>
      </w:tr>
      <w:tr w:rsidR="00E403D6" w:rsidRPr="00F10391" w14:paraId="5DC046C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7BDC092" w14:textId="77777777" w:rsidR="00E403D6" w:rsidRPr="00F10391" w:rsidRDefault="00E403D6" w:rsidP="0063065F">
            <w:pPr>
              <w:jc w:val="left"/>
            </w:pPr>
            <w:r w:rsidRPr="00F10391">
              <w:t>15/08/13</w:t>
            </w:r>
          </w:p>
        </w:tc>
        <w:tc>
          <w:tcPr>
            <w:tcW w:w="2720" w:type="dxa"/>
            <w:tcBorders>
              <w:top w:val="nil"/>
              <w:left w:val="nil"/>
              <w:bottom w:val="single" w:sz="4" w:space="0" w:color="auto"/>
              <w:right w:val="single" w:sz="4" w:space="0" w:color="auto"/>
            </w:tcBorders>
            <w:shd w:val="clear" w:color="auto" w:fill="auto"/>
            <w:vAlign w:val="center"/>
            <w:hideMark/>
          </w:tcPr>
          <w:p w14:paraId="75919FE4" w14:textId="77777777" w:rsidR="00E403D6" w:rsidRPr="00F10391" w:rsidRDefault="00E403D6" w:rsidP="0063065F">
            <w:pPr>
              <w:jc w:val="left"/>
            </w:pPr>
            <w:r w:rsidRPr="00F10391">
              <w:t>Spatial Uta (S-Uta) - A New Approach For Raster-Based Gis Multicriteria Suitability Analysis And Its Use In Implementing Natural Systems For Wastewater Treatment</w:t>
            </w:r>
          </w:p>
        </w:tc>
        <w:tc>
          <w:tcPr>
            <w:tcW w:w="1985" w:type="dxa"/>
            <w:tcBorders>
              <w:top w:val="nil"/>
              <w:left w:val="nil"/>
              <w:bottom w:val="single" w:sz="4" w:space="0" w:color="auto"/>
              <w:right w:val="single" w:sz="4" w:space="0" w:color="auto"/>
            </w:tcBorders>
            <w:shd w:val="clear" w:color="auto" w:fill="auto"/>
            <w:vAlign w:val="center"/>
            <w:hideMark/>
          </w:tcPr>
          <w:p w14:paraId="6EAFDB85" w14:textId="77777777" w:rsidR="00E403D6" w:rsidRPr="00F10391" w:rsidRDefault="00E403D6" w:rsidP="0063065F">
            <w:pPr>
              <w:jc w:val="left"/>
            </w:pPr>
            <w:r w:rsidRPr="00F10391">
              <w:t>Demesouka, O. E.; Vavatsikos, A. P.; Anagnostopoulos, K. P.</w:t>
            </w:r>
          </w:p>
        </w:tc>
        <w:tc>
          <w:tcPr>
            <w:tcW w:w="2078" w:type="dxa"/>
            <w:tcBorders>
              <w:top w:val="nil"/>
              <w:left w:val="nil"/>
              <w:bottom w:val="single" w:sz="4" w:space="0" w:color="auto"/>
              <w:right w:val="single" w:sz="4" w:space="0" w:color="auto"/>
            </w:tcBorders>
            <w:shd w:val="clear" w:color="auto" w:fill="auto"/>
            <w:vAlign w:val="center"/>
            <w:hideMark/>
          </w:tcPr>
          <w:p w14:paraId="6B857A85" w14:textId="77777777" w:rsidR="00E403D6" w:rsidRPr="00F10391" w:rsidRDefault="00E403D6" w:rsidP="0063065F">
            <w:pPr>
              <w:jc w:val="left"/>
            </w:pPr>
            <w:r w:rsidRPr="00F10391">
              <w:t>Journal Of Environmental Management. 2013;125():41-54</w:t>
            </w:r>
          </w:p>
        </w:tc>
        <w:tc>
          <w:tcPr>
            <w:tcW w:w="862" w:type="dxa"/>
            <w:tcBorders>
              <w:top w:val="nil"/>
              <w:left w:val="nil"/>
              <w:bottom w:val="single" w:sz="4" w:space="0" w:color="auto"/>
              <w:right w:val="single" w:sz="4" w:space="0" w:color="auto"/>
            </w:tcBorders>
            <w:shd w:val="clear" w:color="auto" w:fill="auto"/>
            <w:noWrap/>
            <w:vAlign w:val="center"/>
            <w:hideMark/>
          </w:tcPr>
          <w:p w14:paraId="7ABA2E3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38C9F9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4D458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643E7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BDF25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B06BE9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CCB39B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B711F08" w14:textId="77777777" w:rsidR="00E403D6" w:rsidRPr="00F10391" w:rsidRDefault="00E403D6">
            <w:r w:rsidRPr="00F10391">
              <w:t>Not found</w:t>
            </w:r>
          </w:p>
        </w:tc>
      </w:tr>
      <w:tr w:rsidR="00E403D6" w:rsidRPr="00F10391" w14:paraId="18920F1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4673394" w14:textId="77777777" w:rsidR="00E403D6" w:rsidRPr="00F10391" w:rsidRDefault="00E403D6" w:rsidP="0063065F">
            <w:pPr>
              <w:jc w:val="left"/>
            </w:pPr>
            <w:r w:rsidRPr="00F10391">
              <w:t>01/09/13</w:t>
            </w:r>
          </w:p>
        </w:tc>
        <w:tc>
          <w:tcPr>
            <w:tcW w:w="2720" w:type="dxa"/>
            <w:tcBorders>
              <w:top w:val="nil"/>
              <w:left w:val="nil"/>
              <w:bottom w:val="single" w:sz="4" w:space="0" w:color="auto"/>
              <w:right w:val="single" w:sz="4" w:space="0" w:color="auto"/>
            </w:tcBorders>
            <w:shd w:val="clear" w:color="auto" w:fill="auto"/>
            <w:vAlign w:val="center"/>
            <w:hideMark/>
          </w:tcPr>
          <w:p w14:paraId="763289F5" w14:textId="77777777" w:rsidR="00E403D6" w:rsidRPr="00F10391" w:rsidRDefault="00E403D6" w:rsidP="0063065F">
            <w:pPr>
              <w:jc w:val="left"/>
            </w:pPr>
            <w:r w:rsidRPr="00F10391">
              <w:t>Prioritizing Investments In Public Health: A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0BE36A01" w14:textId="77777777" w:rsidR="00E403D6" w:rsidRPr="005D7324" w:rsidRDefault="00E403D6" w:rsidP="0063065F">
            <w:pPr>
              <w:jc w:val="left"/>
            </w:pPr>
            <w:r w:rsidRPr="005D7324">
              <w:t>Marsh, K.; Dolan, P.; Kempster, J.; Lugon, M.</w:t>
            </w:r>
          </w:p>
        </w:tc>
        <w:tc>
          <w:tcPr>
            <w:tcW w:w="2078" w:type="dxa"/>
            <w:tcBorders>
              <w:top w:val="nil"/>
              <w:left w:val="nil"/>
              <w:bottom w:val="single" w:sz="4" w:space="0" w:color="auto"/>
              <w:right w:val="single" w:sz="4" w:space="0" w:color="auto"/>
            </w:tcBorders>
            <w:shd w:val="clear" w:color="auto" w:fill="auto"/>
            <w:vAlign w:val="center"/>
            <w:hideMark/>
          </w:tcPr>
          <w:p w14:paraId="2E664E5A" w14:textId="77777777" w:rsidR="00E403D6" w:rsidRPr="00F10391" w:rsidRDefault="00E403D6" w:rsidP="0063065F">
            <w:pPr>
              <w:jc w:val="left"/>
            </w:pPr>
            <w:r w:rsidRPr="00F10391">
              <w:t>Journal Of Public Health. 2013;35(3):460-466</w:t>
            </w:r>
          </w:p>
        </w:tc>
        <w:tc>
          <w:tcPr>
            <w:tcW w:w="862" w:type="dxa"/>
            <w:tcBorders>
              <w:top w:val="nil"/>
              <w:left w:val="nil"/>
              <w:bottom w:val="single" w:sz="4" w:space="0" w:color="auto"/>
              <w:right w:val="single" w:sz="4" w:space="0" w:color="auto"/>
            </w:tcBorders>
            <w:shd w:val="clear" w:color="auto" w:fill="auto"/>
            <w:noWrap/>
            <w:vAlign w:val="center"/>
            <w:hideMark/>
          </w:tcPr>
          <w:p w14:paraId="25D8B00F"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4E6EF5E"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2A799A4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6215BC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8CBD3E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E8C947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22778E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F555B08" w14:textId="77777777" w:rsidR="00E403D6" w:rsidRPr="00F10391" w:rsidRDefault="00E403D6">
            <w:r w:rsidRPr="00F10391">
              <w:t>Not found</w:t>
            </w:r>
          </w:p>
        </w:tc>
      </w:tr>
      <w:tr w:rsidR="00E403D6" w:rsidRPr="00F10391" w14:paraId="5CBF64E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5975EA" w14:textId="77777777" w:rsidR="00E403D6" w:rsidRPr="00F10391" w:rsidRDefault="00E403D6" w:rsidP="0063065F">
            <w:pPr>
              <w:jc w:val="left"/>
            </w:pPr>
            <w:r w:rsidRPr="00F10391">
              <w:t>06/09/13</w:t>
            </w:r>
          </w:p>
        </w:tc>
        <w:tc>
          <w:tcPr>
            <w:tcW w:w="2720" w:type="dxa"/>
            <w:tcBorders>
              <w:top w:val="nil"/>
              <w:left w:val="nil"/>
              <w:bottom w:val="single" w:sz="4" w:space="0" w:color="auto"/>
              <w:right w:val="single" w:sz="4" w:space="0" w:color="auto"/>
            </w:tcBorders>
            <w:shd w:val="clear" w:color="auto" w:fill="auto"/>
            <w:vAlign w:val="center"/>
            <w:hideMark/>
          </w:tcPr>
          <w:p w14:paraId="210D7152" w14:textId="77777777" w:rsidR="00E403D6" w:rsidRPr="00F10391" w:rsidRDefault="00E403D6" w:rsidP="0063065F">
            <w:pPr>
              <w:jc w:val="left"/>
            </w:pPr>
            <w:r w:rsidRPr="00F10391">
              <w:t>Development And Multi-Institutional Validation Of An Upgrading Risk Tool For Gleason 6 Prostate Cancer.</w:t>
            </w:r>
          </w:p>
        </w:tc>
        <w:tc>
          <w:tcPr>
            <w:tcW w:w="1985" w:type="dxa"/>
            <w:tcBorders>
              <w:top w:val="nil"/>
              <w:left w:val="nil"/>
              <w:bottom w:val="single" w:sz="4" w:space="0" w:color="auto"/>
              <w:right w:val="single" w:sz="4" w:space="0" w:color="auto"/>
            </w:tcBorders>
            <w:shd w:val="clear" w:color="auto" w:fill="auto"/>
            <w:vAlign w:val="center"/>
            <w:hideMark/>
          </w:tcPr>
          <w:p w14:paraId="1BC10C11" w14:textId="77777777" w:rsidR="00E403D6" w:rsidRPr="00F10391" w:rsidRDefault="00E403D6" w:rsidP="0063065F">
            <w:pPr>
              <w:jc w:val="left"/>
            </w:pPr>
            <w:r w:rsidRPr="00F10391">
              <w:t>Truong M, Slezak Ja, Lin Cp, Iremashvili V, Sado M, Razmaria Aa, Leverson G, Soloway Ms, Eggener Se, Abel Ej, Downs Tm, Jarrard Df.</w:t>
            </w:r>
          </w:p>
        </w:tc>
        <w:tc>
          <w:tcPr>
            <w:tcW w:w="2078" w:type="dxa"/>
            <w:tcBorders>
              <w:top w:val="nil"/>
              <w:left w:val="nil"/>
              <w:bottom w:val="single" w:sz="4" w:space="0" w:color="auto"/>
              <w:right w:val="single" w:sz="4" w:space="0" w:color="auto"/>
            </w:tcBorders>
            <w:shd w:val="clear" w:color="auto" w:fill="auto"/>
            <w:vAlign w:val="center"/>
            <w:hideMark/>
          </w:tcPr>
          <w:p w14:paraId="57F8A145" w14:textId="77777777" w:rsidR="00E403D6" w:rsidRPr="00F10391" w:rsidRDefault="00E403D6" w:rsidP="0063065F">
            <w:pPr>
              <w:jc w:val="left"/>
            </w:pPr>
            <w:r w:rsidRPr="00F10391">
              <w:t>Cancer. 2013 Nov 15;119(22):3992-4002. Doi: 10.1002/Cncr.28303. Epub 2013 Sep 4.</w:t>
            </w:r>
          </w:p>
        </w:tc>
        <w:tc>
          <w:tcPr>
            <w:tcW w:w="862" w:type="dxa"/>
            <w:tcBorders>
              <w:top w:val="nil"/>
              <w:left w:val="nil"/>
              <w:bottom w:val="single" w:sz="4" w:space="0" w:color="auto"/>
              <w:right w:val="single" w:sz="4" w:space="0" w:color="auto"/>
            </w:tcBorders>
            <w:shd w:val="clear" w:color="auto" w:fill="auto"/>
            <w:noWrap/>
            <w:vAlign w:val="center"/>
            <w:hideMark/>
          </w:tcPr>
          <w:p w14:paraId="784FBDA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62B13C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A33D1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6AABB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94A4C9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269372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975245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DFFE349" w14:textId="77777777" w:rsidR="00E403D6" w:rsidRPr="00F10391" w:rsidRDefault="00E403D6">
            <w:r w:rsidRPr="00F10391">
              <w:t>Not found</w:t>
            </w:r>
          </w:p>
        </w:tc>
      </w:tr>
      <w:tr w:rsidR="00E403D6" w:rsidRPr="00F10391" w14:paraId="4B54065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58DBADF" w14:textId="77777777" w:rsidR="00E403D6" w:rsidRPr="00F10391" w:rsidRDefault="00E403D6" w:rsidP="0063065F">
            <w:pPr>
              <w:jc w:val="left"/>
            </w:pPr>
            <w:r w:rsidRPr="00F10391">
              <w:t>30/09/13</w:t>
            </w:r>
          </w:p>
        </w:tc>
        <w:tc>
          <w:tcPr>
            <w:tcW w:w="2720" w:type="dxa"/>
            <w:tcBorders>
              <w:top w:val="nil"/>
              <w:left w:val="nil"/>
              <w:bottom w:val="single" w:sz="4" w:space="0" w:color="auto"/>
              <w:right w:val="single" w:sz="4" w:space="0" w:color="auto"/>
            </w:tcBorders>
            <w:shd w:val="clear" w:color="auto" w:fill="auto"/>
            <w:vAlign w:val="center"/>
            <w:hideMark/>
          </w:tcPr>
          <w:p w14:paraId="1946BA28" w14:textId="77777777" w:rsidR="00E403D6" w:rsidRPr="00F10391" w:rsidRDefault="00E403D6" w:rsidP="0063065F">
            <w:pPr>
              <w:jc w:val="left"/>
            </w:pPr>
            <w:r w:rsidRPr="00F10391">
              <w:t>Multi-Criteria Decision Analysis As An Innovative Approach To Managing Zoonoses: Results From A Study On Lyme Disease In Canada</w:t>
            </w:r>
          </w:p>
        </w:tc>
        <w:tc>
          <w:tcPr>
            <w:tcW w:w="1985" w:type="dxa"/>
            <w:tcBorders>
              <w:top w:val="nil"/>
              <w:left w:val="nil"/>
              <w:bottom w:val="single" w:sz="4" w:space="0" w:color="auto"/>
              <w:right w:val="single" w:sz="4" w:space="0" w:color="auto"/>
            </w:tcBorders>
            <w:shd w:val="clear" w:color="auto" w:fill="auto"/>
            <w:vAlign w:val="center"/>
            <w:hideMark/>
          </w:tcPr>
          <w:p w14:paraId="49604C66" w14:textId="77777777" w:rsidR="00E403D6" w:rsidRPr="00F10391" w:rsidRDefault="00E403D6" w:rsidP="0063065F">
            <w:pPr>
              <w:jc w:val="left"/>
            </w:pPr>
            <w:r w:rsidRPr="00F10391">
              <w:t>Aenishaenslin, Cecile; Hongoh, Valerie; Cisse, Hassane Djibrilla; Hoen, Anne Gatewood; Samoura, Karim; Michel, Pascal; Waaub, Jean-Philippe; Belanger, Denise</w:t>
            </w:r>
          </w:p>
        </w:tc>
        <w:tc>
          <w:tcPr>
            <w:tcW w:w="2078" w:type="dxa"/>
            <w:tcBorders>
              <w:top w:val="nil"/>
              <w:left w:val="nil"/>
              <w:bottom w:val="single" w:sz="4" w:space="0" w:color="auto"/>
              <w:right w:val="single" w:sz="4" w:space="0" w:color="auto"/>
            </w:tcBorders>
            <w:shd w:val="clear" w:color="auto" w:fill="auto"/>
            <w:vAlign w:val="center"/>
            <w:hideMark/>
          </w:tcPr>
          <w:p w14:paraId="0E5FC3EB" w14:textId="77777777" w:rsidR="00E403D6" w:rsidRPr="00F10391" w:rsidRDefault="00E403D6" w:rsidP="0063065F">
            <w:pPr>
              <w:jc w:val="left"/>
            </w:pPr>
            <w:r w:rsidRPr="00F10391">
              <w:t>Bmc Public Health. 2013;13():-</w:t>
            </w:r>
          </w:p>
        </w:tc>
        <w:tc>
          <w:tcPr>
            <w:tcW w:w="862" w:type="dxa"/>
            <w:tcBorders>
              <w:top w:val="nil"/>
              <w:left w:val="nil"/>
              <w:bottom w:val="single" w:sz="4" w:space="0" w:color="auto"/>
              <w:right w:val="single" w:sz="4" w:space="0" w:color="auto"/>
            </w:tcBorders>
            <w:shd w:val="clear" w:color="auto" w:fill="auto"/>
            <w:noWrap/>
            <w:vAlign w:val="center"/>
            <w:hideMark/>
          </w:tcPr>
          <w:p w14:paraId="0AEBC03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1139365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AE6DBA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585A86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995DB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AE06F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84DC30A"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3A402EE6" w14:textId="77777777" w:rsidR="00E403D6" w:rsidRPr="00F10391" w:rsidRDefault="00E403D6">
            <w:r w:rsidRPr="00F10391">
              <w:t>Not found</w:t>
            </w:r>
          </w:p>
        </w:tc>
      </w:tr>
      <w:tr w:rsidR="00E403D6" w:rsidRPr="00F10391" w14:paraId="6AAA1C8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184412C" w14:textId="77777777" w:rsidR="00E403D6" w:rsidRPr="00F10391" w:rsidRDefault="00E403D6" w:rsidP="0063065F">
            <w:pPr>
              <w:jc w:val="left"/>
            </w:pPr>
            <w:r w:rsidRPr="00F10391">
              <w:t>01/10/13</w:t>
            </w:r>
          </w:p>
        </w:tc>
        <w:tc>
          <w:tcPr>
            <w:tcW w:w="2720" w:type="dxa"/>
            <w:tcBorders>
              <w:top w:val="nil"/>
              <w:left w:val="nil"/>
              <w:bottom w:val="single" w:sz="4" w:space="0" w:color="auto"/>
              <w:right w:val="single" w:sz="4" w:space="0" w:color="auto"/>
            </w:tcBorders>
            <w:shd w:val="clear" w:color="auto" w:fill="auto"/>
            <w:vAlign w:val="center"/>
            <w:hideMark/>
          </w:tcPr>
          <w:p w14:paraId="79C521B4" w14:textId="77777777" w:rsidR="00E403D6" w:rsidRPr="00F10391" w:rsidRDefault="00E403D6" w:rsidP="0063065F">
            <w:pPr>
              <w:jc w:val="left"/>
            </w:pPr>
            <w:r w:rsidRPr="00F10391">
              <w:t>The Application Of A Multi-Parameter Analysis In Choosing The Location Of A New Solid Waste Landfill In Serbia</w:t>
            </w:r>
          </w:p>
        </w:tc>
        <w:tc>
          <w:tcPr>
            <w:tcW w:w="1985" w:type="dxa"/>
            <w:tcBorders>
              <w:top w:val="nil"/>
              <w:left w:val="nil"/>
              <w:bottom w:val="single" w:sz="4" w:space="0" w:color="auto"/>
              <w:right w:val="single" w:sz="4" w:space="0" w:color="auto"/>
            </w:tcBorders>
            <w:shd w:val="clear" w:color="auto" w:fill="auto"/>
            <w:vAlign w:val="center"/>
            <w:hideMark/>
          </w:tcPr>
          <w:p w14:paraId="1AAAE5D0" w14:textId="77777777" w:rsidR="00E403D6" w:rsidRPr="00F10391" w:rsidRDefault="00E403D6" w:rsidP="0063065F">
            <w:pPr>
              <w:jc w:val="left"/>
            </w:pPr>
            <w:r w:rsidRPr="00F10391">
              <w:t>Milosevic, Igor; Naunovic, Zorana</w:t>
            </w:r>
          </w:p>
        </w:tc>
        <w:tc>
          <w:tcPr>
            <w:tcW w:w="2078" w:type="dxa"/>
            <w:tcBorders>
              <w:top w:val="nil"/>
              <w:left w:val="nil"/>
              <w:bottom w:val="single" w:sz="4" w:space="0" w:color="auto"/>
              <w:right w:val="single" w:sz="4" w:space="0" w:color="auto"/>
            </w:tcBorders>
            <w:shd w:val="clear" w:color="auto" w:fill="auto"/>
            <w:vAlign w:val="center"/>
            <w:hideMark/>
          </w:tcPr>
          <w:p w14:paraId="293F13F0" w14:textId="77777777" w:rsidR="00E403D6" w:rsidRPr="00F10391" w:rsidRDefault="00E403D6" w:rsidP="0063065F">
            <w:pPr>
              <w:jc w:val="left"/>
            </w:pPr>
            <w:r w:rsidRPr="00F10391">
              <w:t>Waste Management &amp; Research. 2013;31(10):1019-1027</w:t>
            </w:r>
          </w:p>
        </w:tc>
        <w:tc>
          <w:tcPr>
            <w:tcW w:w="862" w:type="dxa"/>
            <w:tcBorders>
              <w:top w:val="nil"/>
              <w:left w:val="nil"/>
              <w:bottom w:val="single" w:sz="4" w:space="0" w:color="auto"/>
              <w:right w:val="single" w:sz="4" w:space="0" w:color="auto"/>
            </w:tcBorders>
            <w:shd w:val="clear" w:color="auto" w:fill="auto"/>
            <w:noWrap/>
            <w:vAlign w:val="center"/>
            <w:hideMark/>
          </w:tcPr>
          <w:p w14:paraId="73EC9A94"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56F3090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4AEA66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330BE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05D274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0B91188"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6E26B8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74484DF" w14:textId="77777777" w:rsidR="00E403D6" w:rsidRPr="00F10391" w:rsidRDefault="00E403D6">
            <w:r w:rsidRPr="00F10391">
              <w:t>Not found</w:t>
            </w:r>
          </w:p>
        </w:tc>
      </w:tr>
      <w:tr w:rsidR="00E403D6" w:rsidRPr="00F10391" w14:paraId="673D7AD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B1545C1" w14:textId="77777777" w:rsidR="00E403D6" w:rsidRPr="00F10391" w:rsidRDefault="00E403D6" w:rsidP="0063065F">
            <w:pPr>
              <w:jc w:val="left"/>
            </w:pPr>
            <w:r w:rsidRPr="00F10391">
              <w:t>01/10/13</w:t>
            </w:r>
          </w:p>
        </w:tc>
        <w:tc>
          <w:tcPr>
            <w:tcW w:w="2720" w:type="dxa"/>
            <w:tcBorders>
              <w:top w:val="nil"/>
              <w:left w:val="nil"/>
              <w:bottom w:val="single" w:sz="4" w:space="0" w:color="auto"/>
              <w:right w:val="single" w:sz="4" w:space="0" w:color="auto"/>
            </w:tcBorders>
            <w:shd w:val="clear" w:color="auto" w:fill="auto"/>
            <w:vAlign w:val="center"/>
            <w:hideMark/>
          </w:tcPr>
          <w:p w14:paraId="1A21C75F" w14:textId="77777777" w:rsidR="00E403D6" w:rsidRPr="00F10391" w:rsidRDefault="00E403D6" w:rsidP="0063065F">
            <w:pPr>
              <w:jc w:val="left"/>
            </w:pPr>
            <w:r w:rsidRPr="00F10391">
              <w:t>Prioritization Of Capacities For The Elimination Of Dog-Mediated Human Rabies In The Americas: Building The Framework.</w:t>
            </w:r>
          </w:p>
        </w:tc>
        <w:tc>
          <w:tcPr>
            <w:tcW w:w="1985" w:type="dxa"/>
            <w:tcBorders>
              <w:top w:val="nil"/>
              <w:left w:val="nil"/>
              <w:bottom w:val="single" w:sz="4" w:space="0" w:color="auto"/>
              <w:right w:val="single" w:sz="4" w:space="0" w:color="auto"/>
            </w:tcBorders>
            <w:shd w:val="clear" w:color="auto" w:fill="auto"/>
            <w:vAlign w:val="center"/>
            <w:hideMark/>
          </w:tcPr>
          <w:p w14:paraId="1CEA3B37" w14:textId="77777777" w:rsidR="00E403D6" w:rsidRPr="005D7324" w:rsidRDefault="00E403D6" w:rsidP="0063065F">
            <w:pPr>
              <w:jc w:val="left"/>
            </w:pPr>
            <w:r w:rsidRPr="005D7324">
              <w:t>Del Rio Vilas, Victor J; Burgeno, Adamelia; Montibeller, Gilberto; Clavijo, Alfonso; Vigilato, Marco Antonio; Cosivi, Ottorino</w:t>
            </w:r>
          </w:p>
        </w:tc>
        <w:tc>
          <w:tcPr>
            <w:tcW w:w="2078" w:type="dxa"/>
            <w:tcBorders>
              <w:top w:val="nil"/>
              <w:left w:val="nil"/>
              <w:bottom w:val="single" w:sz="4" w:space="0" w:color="auto"/>
              <w:right w:val="single" w:sz="4" w:space="0" w:color="auto"/>
            </w:tcBorders>
            <w:shd w:val="clear" w:color="auto" w:fill="auto"/>
            <w:vAlign w:val="center"/>
            <w:hideMark/>
          </w:tcPr>
          <w:p w14:paraId="60EE6D31" w14:textId="77777777" w:rsidR="00E403D6" w:rsidRPr="00F10391" w:rsidRDefault="00E403D6" w:rsidP="0063065F">
            <w:pPr>
              <w:jc w:val="left"/>
            </w:pPr>
            <w:r w:rsidRPr="00F10391">
              <w:t>Pathogens And Global Health. 2013;107(7):340-5</w:t>
            </w:r>
          </w:p>
        </w:tc>
        <w:tc>
          <w:tcPr>
            <w:tcW w:w="862" w:type="dxa"/>
            <w:tcBorders>
              <w:top w:val="nil"/>
              <w:left w:val="nil"/>
              <w:bottom w:val="single" w:sz="4" w:space="0" w:color="auto"/>
              <w:right w:val="single" w:sz="4" w:space="0" w:color="auto"/>
            </w:tcBorders>
            <w:shd w:val="clear" w:color="auto" w:fill="auto"/>
            <w:noWrap/>
            <w:vAlign w:val="center"/>
            <w:hideMark/>
          </w:tcPr>
          <w:p w14:paraId="35DFE43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941FB2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34CC85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AF25F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14F9B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0A1DE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D2B06E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6B5CB19" w14:textId="77777777" w:rsidR="00E403D6" w:rsidRPr="00F10391" w:rsidRDefault="00E403D6">
            <w:r w:rsidRPr="00F10391">
              <w:t>Not found</w:t>
            </w:r>
          </w:p>
        </w:tc>
      </w:tr>
      <w:tr w:rsidR="00E403D6" w:rsidRPr="00F10391" w14:paraId="38696B0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9E4E24" w14:textId="77777777" w:rsidR="00E403D6" w:rsidRPr="00F10391" w:rsidRDefault="00E403D6" w:rsidP="0063065F">
            <w:pPr>
              <w:jc w:val="left"/>
            </w:pPr>
            <w:r w:rsidRPr="00F10391">
              <w:t>02/10/13</w:t>
            </w:r>
          </w:p>
        </w:tc>
        <w:tc>
          <w:tcPr>
            <w:tcW w:w="2720" w:type="dxa"/>
            <w:tcBorders>
              <w:top w:val="nil"/>
              <w:left w:val="nil"/>
              <w:bottom w:val="single" w:sz="4" w:space="0" w:color="auto"/>
              <w:right w:val="single" w:sz="4" w:space="0" w:color="auto"/>
            </w:tcBorders>
            <w:shd w:val="clear" w:color="auto" w:fill="auto"/>
            <w:vAlign w:val="center"/>
            <w:hideMark/>
          </w:tcPr>
          <w:p w14:paraId="20289239" w14:textId="77777777" w:rsidR="00E403D6" w:rsidRPr="00F10391" w:rsidRDefault="00E403D6" w:rsidP="0063065F">
            <w:pPr>
              <w:jc w:val="left"/>
            </w:pPr>
            <w:r w:rsidRPr="00F10391">
              <w:t>Multi-Criteria Decision Analysis As An Innovative Approach To Managing Zoonoses: Results From A Study On Lyme Disease In Canada.</w:t>
            </w:r>
          </w:p>
        </w:tc>
        <w:tc>
          <w:tcPr>
            <w:tcW w:w="1985" w:type="dxa"/>
            <w:tcBorders>
              <w:top w:val="nil"/>
              <w:left w:val="nil"/>
              <w:bottom w:val="single" w:sz="4" w:space="0" w:color="auto"/>
              <w:right w:val="single" w:sz="4" w:space="0" w:color="auto"/>
            </w:tcBorders>
            <w:shd w:val="clear" w:color="auto" w:fill="auto"/>
            <w:vAlign w:val="center"/>
            <w:hideMark/>
          </w:tcPr>
          <w:p w14:paraId="4F7E51B3" w14:textId="77777777" w:rsidR="00E403D6" w:rsidRPr="00F10391" w:rsidRDefault="00E403D6" w:rsidP="0063065F">
            <w:pPr>
              <w:jc w:val="left"/>
            </w:pPr>
            <w:r w:rsidRPr="00F10391">
              <w:t>Aenishaenslin C, Hongoh V, Cissí© Hd, Hoen Ag, Samoura K, Michel P, Waaub Jp, Bí©Langer D.</w:t>
            </w:r>
          </w:p>
        </w:tc>
        <w:tc>
          <w:tcPr>
            <w:tcW w:w="2078" w:type="dxa"/>
            <w:tcBorders>
              <w:top w:val="nil"/>
              <w:left w:val="nil"/>
              <w:bottom w:val="single" w:sz="4" w:space="0" w:color="auto"/>
              <w:right w:val="single" w:sz="4" w:space="0" w:color="auto"/>
            </w:tcBorders>
            <w:shd w:val="clear" w:color="auto" w:fill="auto"/>
            <w:vAlign w:val="center"/>
            <w:hideMark/>
          </w:tcPr>
          <w:p w14:paraId="3C111452" w14:textId="77777777" w:rsidR="00E403D6" w:rsidRPr="00F10391" w:rsidRDefault="00E403D6" w:rsidP="0063065F">
            <w:pPr>
              <w:jc w:val="left"/>
            </w:pPr>
            <w:r w:rsidRPr="00F10391">
              <w:t>Bmc Public Health. 2013 Sep 30;13:897. Doi: 10.1186/1471-2458-13-897.</w:t>
            </w:r>
          </w:p>
        </w:tc>
        <w:tc>
          <w:tcPr>
            <w:tcW w:w="862" w:type="dxa"/>
            <w:tcBorders>
              <w:top w:val="nil"/>
              <w:left w:val="nil"/>
              <w:bottom w:val="single" w:sz="4" w:space="0" w:color="auto"/>
              <w:right w:val="single" w:sz="4" w:space="0" w:color="auto"/>
            </w:tcBorders>
            <w:shd w:val="clear" w:color="auto" w:fill="auto"/>
            <w:noWrap/>
            <w:vAlign w:val="center"/>
            <w:hideMark/>
          </w:tcPr>
          <w:p w14:paraId="764574E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1A22645"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24A2FE0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BF75D8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BCB025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625B3B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F6BA9A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0592EE9" w14:textId="77777777" w:rsidR="00E403D6" w:rsidRPr="00F10391" w:rsidRDefault="00E403D6">
            <w:r w:rsidRPr="00F10391">
              <w:t>Not found</w:t>
            </w:r>
          </w:p>
        </w:tc>
      </w:tr>
      <w:tr w:rsidR="00E403D6" w:rsidRPr="00F10391" w14:paraId="5CF1B9DD"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F3C935C" w14:textId="77777777" w:rsidR="00E403D6" w:rsidRPr="00F10391" w:rsidRDefault="00E403D6" w:rsidP="0063065F">
            <w:pPr>
              <w:jc w:val="left"/>
            </w:pPr>
            <w:r w:rsidRPr="00F10391">
              <w:t>02/10/13</w:t>
            </w:r>
          </w:p>
        </w:tc>
        <w:tc>
          <w:tcPr>
            <w:tcW w:w="2720" w:type="dxa"/>
            <w:tcBorders>
              <w:top w:val="nil"/>
              <w:left w:val="nil"/>
              <w:bottom w:val="single" w:sz="4" w:space="0" w:color="auto"/>
              <w:right w:val="single" w:sz="4" w:space="0" w:color="auto"/>
            </w:tcBorders>
            <w:shd w:val="clear" w:color="auto" w:fill="auto"/>
            <w:vAlign w:val="center"/>
            <w:hideMark/>
          </w:tcPr>
          <w:p w14:paraId="11EE0EC2" w14:textId="77777777" w:rsidR="00E403D6" w:rsidRPr="00F10391" w:rsidRDefault="00E403D6" w:rsidP="0063065F">
            <w:pPr>
              <w:jc w:val="left"/>
            </w:pPr>
            <w:r w:rsidRPr="00F10391">
              <w:t>Patient Preferences For The Treatment Of Type 2 Diabetes: A Scoping Review.</w:t>
            </w:r>
          </w:p>
        </w:tc>
        <w:tc>
          <w:tcPr>
            <w:tcW w:w="1985" w:type="dxa"/>
            <w:tcBorders>
              <w:top w:val="nil"/>
              <w:left w:val="nil"/>
              <w:bottom w:val="single" w:sz="4" w:space="0" w:color="auto"/>
              <w:right w:val="single" w:sz="4" w:space="0" w:color="auto"/>
            </w:tcBorders>
            <w:shd w:val="clear" w:color="auto" w:fill="auto"/>
            <w:vAlign w:val="center"/>
            <w:hideMark/>
          </w:tcPr>
          <w:p w14:paraId="74B8F640" w14:textId="77777777" w:rsidR="00E403D6" w:rsidRPr="00F10391" w:rsidRDefault="00E403D6" w:rsidP="0063065F">
            <w:pPr>
              <w:jc w:val="left"/>
            </w:pPr>
            <w:r w:rsidRPr="00F10391">
              <w:t>Joy Sm, Little E, Maruthur Nm, Purnell Ts, Bridges Jf.</w:t>
            </w:r>
          </w:p>
        </w:tc>
        <w:tc>
          <w:tcPr>
            <w:tcW w:w="2078" w:type="dxa"/>
            <w:tcBorders>
              <w:top w:val="nil"/>
              <w:left w:val="nil"/>
              <w:bottom w:val="single" w:sz="4" w:space="0" w:color="auto"/>
              <w:right w:val="single" w:sz="4" w:space="0" w:color="auto"/>
            </w:tcBorders>
            <w:shd w:val="clear" w:color="auto" w:fill="auto"/>
            <w:vAlign w:val="center"/>
            <w:hideMark/>
          </w:tcPr>
          <w:p w14:paraId="76CBE3EB" w14:textId="77777777" w:rsidR="00E403D6" w:rsidRPr="00F10391" w:rsidRDefault="00E403D6" w:rsidP="0063065F">
            <w:pPr>
              <w:jc w:val="left"/>
            </w:pPr>
            <w:r w:rsidRPr="00F10391">
              <w:t>Pharmacoeconomics. 2013 Oct;31(10):877-92. Doi: 10.1007/S40273-013-0089-7. Review.</w:t>
            </w:r>
          </w:p>
        </w:tc>
        <w:tc>
          <w:tcPr>
            <w:tcW w:w="862" w:type="dxa"/>
            <w:tcBorders>
              <w:top w:val="nil"/>
              <w:left w:val="nil"/>
              <w:bottom w:val="single" w:sz="4" w:space="0" w:color="auto"/>
              <w:right w:val="single" w:sz="4" w:space="0" w:color="auto"/>
            </w:tcBorders>
            <w:shd w:val="clear" w:color="auto" w:fill="auto"/>
            <w:noWrap/>
            <w:vAlign w:val="center"/>
            <w:hideMark/>
          </w:tcPr>
          <w:p w14:paraId="06F3932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960FE7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90FA1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7A73C2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5BB60D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07FB6B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E910EF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DF862C4" w14:textId="77777777" w:rsidR="00E403D6" w:rsidRPr="00F10391" w:rsidRDefault="00E403D6">
            <w:r w:rsidRPr="00F10391">
              <w:t>Not found</w:t>
            </w:r>
          </w:p>
        </w:tc>
      </w:tr>
      <w:tr w:rsidR="00E403D6" w:rsidRPr="00F10391" w14:paraId="7416016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0744A1F" w14:textId="77777777" w:rsidR="00E403D6" w:rsidRPr="00F10391" w:rsidRDefault="00E403D6" w:rsidP="0063065F">
            <w:pPr>
              <w:jc w:val="left"/>
            </w:pPr>
            <w:r w:rsidRPr="00F10391">
              <w:t>23/10/13</w:t>
            </w:r>
          </w:p>
        </w:tc>
        <w:tc>
          <w:tcPr>
            <w:tcW w:w="2720" w:type="dxa"/>
            <w:tcBorders>
              <w:top w:val="nil"/>
              <w:left w:val="nil"/>
              <w:bottom w:val="single" w:sz="4" w:space="0" w:color="auto"/>
              <w:right w:val="single" w:sz="4" w:space="0" w:color="auto"/>
            </w:tcBorders>
            <w:shd w:val="clear" w:color="auto" w:fill="auto"/>
            <w:vAlign w:val="center"/>
            <w:hideMark/>
          </w:tcPr>
          <w:p w14:paraId="484C643F" w14:textId="77777777" w:rsidR="00E403D6" w:rsidRPr="00F10391" w:rsidRDefault="00E403D6" w:rsidP="0063065F">
            <w:pPr>
              <w:jc w:val="left"/>
            </w:pPr>
            <w:r w:rsidRPr="00F10391">
              <w:t>Monitoring Policy And Actions On Food Environments: Rationale And Outline Of The Informas Policy Engagement And Communication Strategies.</w:t>
            </w:r>
          </w:p>
        </w:tc>
        <w:tc>
          <w:tcPr>
            <w:tcW w:w="1985" w:type="dxa"/>
            <w:tcBorders>
              <w:top w:val="nil"/>
              <w:left w:val="nil"/>
              <w:bottom w:val="single" w:sz="4" w:space="0" w:color="auto"/>
              <w:right w:val="single" w:sz="4" w:space="0" w:color="auto"/>
            </w:tcBorders>
            <w:shd w:val="clear" w:color="auto" w:fill="auto"/>
            <w:vAlign w:val="center"/>
            <w:hideMark/>
          </w:tcPr>
          <w:p w14:paraId="35AEAEB0" w14:textId="77777777" w:rsidR="00E403D6" w:rsidRPr="00F10391" w:rsidRDefault="00E403D6" w:rsidP="0063065F">
            <w:pPr>
              <w:jc w:val="left"/>
            </w:pPr>
            <w:r w:rsidRPr="00F10391">
              <w:t>Brinsden H, Lobstein T, Landon J, Kraak V, Sacks G, Kumanyika S, Swinburn B, Barquera S, Friel S, Hawkes C, Kelly B, L'Abbí© M, Lee A, Ma J, Macmullen J, Mohan S, Monteiro C, Neal B, Rayner M, Sanders D, Snowdon W, Vandevijvere S, Et Al.</w:t>
            </w:r>
          </w:p>
        </w:tc>
        <w:tc>
          <w:tcPr>
            <w:tcW w:w="2078" w:type="dxa"/>
            <w:tcBorders>
              <w:top w:val="nil"/>
              <w:left w:val="nil"/>
              <w:bottom w:val="single" w:sz="4" w:space="0" w:color="auto"/>
              <w:right w:val="single" w:sz="4" w:space="0" w:color="auto"/>
            </w:tcBorders>
            <w:shd w:val="clear" w:color="auto" w:fill="auto"/>
            <w:vAlign w:val="center"/>
            <w:hideMark/>
          </w:tcPr>
          <w:p w14:paraId="09705BB3" w14:textId="77777777" w:rsidR="00E403D6" w:rsidRPr="00F10391" w:rsidRDefault="00E403D6" w:rsidP="0063065F">
            <w:pPr>
              <w:jc w:val="left"/>
            </w:pPr>
            <w:r w:rsidRPr="00F10391">
              <w:t>Obes Rev. 2013 Oct;14 Suppl 1:13-23. Doi: 10.1111/Obr.12072. Review.</w:t>
            </w:r>
          </w:p>
        </w:tc>
        <w:tc>
          <w:tcPr>
            <w:tcW w:w="862" w:type="dxa"/>
            <w:tcBorders>
              <w:top w:val="nil"/>
              <w:left w:val="nil"/>
              <w:bottom w:val="single" w:sz="4" w:space="0" w:color="auto"/>
              <w:right w:val="single" w:sz="4" w:space="0" w:color="auto"/>
            </w:tcBorders>
            <w:shd w:val="clear" w:color="auto" w:fill="auto"/>
            <w:noWrap/>
            <w:vAlign w:val="center"/>
            <w:hideMark/>
          </w:tcPr>
          <w:p w14:paraId="367A99A0"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864606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D3EC2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6172A4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1BD894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49794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0BEBA5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FFF66C3" w14:textId="77777777" w:rsidR="00E403D6" w:rsidRPr="00F10391" w:rsidRDefault="00E403D6">
            <w:r w:rsidRPr="00F10391">
              <w:t>Not found</w:t>
            </w:r>
          </w:p>
        </w:tc>
      </w:tr>
      <w:tr w:rsidR="00E403D6" w:rsidRPr="00F10391" w14:paraId="1545EF0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41E651" w14:textId="77777777" w:rsidR="00E403D6" w:rsidRPr="00F10391" w:rsidRDefault="00E403D6" w:rsidP="0063065F">
            <w:pPr>
              <w:jc w:val="left"/>
            </w:pPr>
            <w:r w:rsidRPr="00F10391">
              <w:t>05/11/13</w:t>
            </w:r>
          </w:p>
        </w:tc>
        <w:tc>
          <w:tcPr>
            <w:tcW w:w="2720" w:type="dxa"/>
            <w:tcBorders>
              <w:top w:val="nil"/>
              <w:left w:val="nil"/>
              <w:bottom w:val="single" w:sz="4" w:space="0" w:color="auto"/>
              <w:right w:val="single" w:sz="4" w:space="0" w:color="auto"/>
            </w:tcBorders>
            <w:shd w:val="clear" w:color="auto" w:fill="auto"/>
            <w:vAlign w:val="center"/>
            <w:hideMark/>
          </w:tcPr>
          <w:p w14:paraId="7A2D6B58" w14:textId="77777777" w:rsidR="00E403D6" w:rsidRPr="00F10391" w:rsidRDefault="00E403D6" w:rsidP="0063065F">
            <w:pPr>
              <w:jc w:val="left"/>
            </w:pPr>
            <w:r w:rsidRPr="00F10391">
              <w:t>Using Qmra-Based Regulation As A Water Quality Management Tool In The Water Security Challenge: Experience From The Netherlands And Australia.</w:t>
            </w:r>
          </w:p>
        </w:tc>
        <w:tc>
          <w:tcPr>
            <w:tcW w:w="1985" w:type="dxa"/>
            <w:tcBorders>
              <w:top w:val="nil"/>
              <w:left w:val="nil"/>
              <w:bottom w:val="single" w:sz="4" w:space="0" w:color="auto"/>
              <w:right w:val="single" w:sz="4" w:space="0" w:color="auto"/>
            </w:tcBorders>
            <w:shd w:val="clear" w:color="auto" w:fill="auto"/>
            <w:vAlign w:val="center"/>
            <w:hideMark/>
          </w:tcPr>
          <w:p w14:paraId="3B7BF878" w14:textId="77777777" w:rsidR="00E403D6" w:rsidRPr="00F10391" w:rsidRDefault="00E403D6" w:rsidP="0063065F">
            <w:pPr>
              <w:jc w:val="left"/>
            </w:pPr>
            <w:r w:rsidRPr="00F10391">
              <w:t>Bichai F, Smeets Pw.</w:t>
            </w:r>
          </w:p>
        </w:tc>
        <w:tc>
          <w:tcPr>
            <w:tcW w:w="2078" w:type="dxa"/>
            <w:tcBorders>
              <w:top w:val="nil"/>
              <w:left w:val="nil"/>
              <w:bottom w:val="single" w:sz="4" w:space="0" w:color="auto"/>
              <w:right w:val="single" w:sz="4" w:space="0" w:color="auto"/>
            </w:tcBorders>
            <w:shd w:val="clear" w:color="auto" w:fill="auto"/>
            <w:vAlign w:val="center"/>
            <w:hideMark/>
          </w:tcPr>
          <w:p w14:paraId="1DF7E3D8" w14:textId="77777777" w:rsidR="00E403D6" w:rsidRPr="00F10391" w:rsidRDefault="00E403D6" w:rsidP="0063065F">
            <w:pPr>
              <w:jc w:val="left"/>
            </w:pPr>
            <w:r w:rsidRPr="005D7324">
              <w:t xml:space="preserve">Water Res. 2013 Dec 15;47(20):7315-26. Doi: 10.1016/J.Watres.2013.09.062. </w:t>
            </w:r>
            <w:r w:rsidRPr="00F10391">
              <w:t>Epub 2013 Oct 20.</w:t>
            </w:r>
          </w:p>
        </w:tc>
        <w:tc>
          <w:tcPr>
            <w:tcW w:w="862" w:type="dxa"/>
            <w:tcBorders>
              <w:top w:val="nil"/>
              <w:left w:val="nil"/>
              <w:bottom w:val="single" w:sz="4" w:space="0" w:color="auto"/>
              <w:right w:val="single" w:sz="4" w:space="0" w:color="auto"/>
            </w:tcBorders>
            <w:shd w:val="clear" w:color="auto" w:fill="auto"/>
            <w:noWrap/>
            <w:vAlign w:val="center"/>
            <w:hideMark/>
          </w:tcPr>
          <w:p w14:paraId="49EC9D8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564FA0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D87CD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539201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90D4B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E3E545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835725B"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570D91C" w14:textId="77777777" w:rsidR="00E403D6" w:rsidRPr="00F10391" w:rsidRDefault="00E403D6">
            <w:r w:rsidRPr="00F10391">
              <w:t>Not found</w:t>
            </w:r>
          </w:p>
        </w:tc>
      </w:tr>
      <w:tr w:rsidR="00E403D6" w:rsidRPr="00F10391" w14:paraId="73F2F24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6EF8994" w14:textId="77777777" w:rsidR="00E403D6" w:rsidRPr="00F10391" w:rsidRDefault="00E403D6" w:rsidP="0063065F">
            <w:pPr>
              <w:jc w:val="left"/>
            </w:pPr>
            <w:r w:rsidRPr="00F10391">
              <w:t>15/11/13</w:t>
            </w:r>
          </w:p>
        </w:tc>
        <w:tc>
          <w:tcPr>
            <w:tcW w:w="2720" w:type="dxa"/>
            <w:tcBorders>
              <w:top w:val="nil"/>
              <w:left w:val="nil"/>
              <w:bottom w:val="single" w:sz="4" w:space="0" w:color="auto"/>
              <w:right w:val="single" w:sz="4" w:space="0" w:color="auto"/>
            </w:tcBorders>
            <w:shd w:val="clear" w:color="auto" w:fill="auto"/>
            <w:vAlign w:val="center"/>
            <w:hideMark/>
          </w:tcPr>
          <w:p w14:paraId="1E7DC8C9" w14:textId="77777777" w:rsidR="00E403D6" w:rsidRPr="00F10391" w:rsidRDefault="00E403D6" w:rsidP="0063065F">
            <w:pPr>
              <w:jc w:val="left"/>
            </w:pPr>
            <w:r w:rsidRPr="00F10391">
              <w:t>Incorporating The Soil Function Concept Into Sustainability Appraisal Of Remediation Alternatives</w:t>
            </w:r>
          </w:p>
        </w:tc>
        <w:tc>
          <w:tcPr>
            <w:tcW w:w="1985" w:type="dxa"/>
            <w:tcBorders>
              <w:top w:val="nil"/>
              <w:left w:val="nil"/>
              <w:bottom w:val="single" w:sz="4" w:space="0" w:color="auto"/>
              <w:right w:val="single" w:sz="4" w:space="0" w:color="auto"/>
            </w:tcBorders>
            <w:shd w:val="clear" w:color="auto" w:fill="auto"/>
            <w:vAlign w:val="center"/>
            <w:hideMark/>
          </w:tcPr>
          <w:p w14:paraId="5A8C8E93" w14:textId="77777777" w:rsidR="00E403D6" w:rsidRPr="00F10391" w:rsidRDefault="00E403D6" w:rsidP="0063065F">
            <w:pPr>
              <w:jc w:val="left"/>
            </w:pPr>
            <w:r w:rsidRPr="00F10391">
              <w:t>Volchko, Yevheniya; Norrman, Jenny; Bergknut, Magnus; Rosen, Lars; Soderqvist, Tore</w:t>
            </w:r>
          </w:p>
        </w:tc>
        <w:tc>
          <w:tcPr>
            <w:tcW w:w="2078" w:type="dxa"/>
            <w:tcBorders>
              <w:top w:val="nil"/>
              <w:left w:val="nil"/>
              <w:bottom w:val="single" w:sz="4" w:space="0" w:color="auto"/>
              <w:right w:val="single" w:sz="4" w:space="0" w:color="auto"/>
            </w:tcBorders>
            <w:shd w:val="clear" w:color="auto" w:fill="auto"/>
            <w:vAlign w:val="center"/>
            <w:hideMark/>
          </w:tcPr>
          <w:p w14:paraId="5D468926" w14:textId="77777777" w:rsidR="00E403D6" w:rsidRPr="00F10391" w:rsidRDefault="00E403D6" w:rsidP="0063065F">
            <w:pPr>
              <w:jc w:val="left"/>
            </w:pPr>
            <w:r w:rsidRPr="00F10391">
              <w:t>Journal Of Environmental Management. 2013;129():367-376</w:t>
            </w:r>
          </w:p>
        </w:tc>
        <w:tc>
          <w:tcPr>
            <w:tcW w:w="862" w:type="dxa"/>
            <w:tcBorders>
              <w:top w:val="nil"/>
              <w:left w:val="nil"/>
              <w:bottom w:val="single" w:sz="4" w:space="0" w:color="auto"/>
              <w:right w:val="single" w:sz="4" w:space="0" w:color="auto"/>
            </w:tcBorders>
            <w:shd w:val="clear" w:color="auto" w:fill="auto"/>
            <w:noWrap/>
            <w:vAlign w:val="center"/>
            <w:hideMark/>
          </w:tcPr>
          <w:p w14:paraId="76085849"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92FCE6C"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A0EE04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BEAB8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C6583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C3231F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CB35BE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7D93C81" w14:textId="77777777" w:rsidR="00E403D6" w:rsidRPr="00F10391" w:rsidRDefault="00E403D6">
            <w:r w:rsidRPr="00F10391">
              <w:t>Not found</w:t>
            </w:r>
          </w:p>
        </w:tc>
      </w:tr>
      <w:tr w:rsidR="00E403D6" w:rsidRPr="00F10391" w14:paraId="191CF50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A46AB8C" w14:textId="77777777" w:rsidR="00E403D6" w:rsidRPr="00F10391" w:rsidRDefault="00E403D6" w:rsidP="0063065F">
            <w:pPr>
              <w:jc w:val="left"/>
            </w:pPr>
            <w:r w:rsidRPr="00F10391">
              <w:t>16/11/13</w:t>
            </w:r>
          </w:p>
        </w:tc>
        <w:tc>
          <w:tcPr>
            <w:tcW w:w="2720" w:type="dxa"/>
            <w:tcBorders>
              <w:top w:val="nil"/>
              <w:left w:val="nil"/>
              <w:bottom w:val="single" w:sz="4" w:space="0" w:color="auto"/>
              <w:right w:val="single" w:sz="4" w:space="0" w:color="auto"/>
            </w:tcBorders>
            <w:shd w:val="clear" w:color="auto" w:fill="auto"/>
            <w:vAlign w:val="center"/>
            <w:hideMark/>
          </w:tcPr>
          <w:p w14:paraId="142FF49A" w14:textId="77777777" w:rsidR="00E403D6" w:rsidRPr="00F10391" w:rsidRDefault="00E403D6" w:rsidP="0063065F">
            <w:pPr>
              <w:jc w:val="left"/>
            </w:pPr>
            <w:r w:rsidRPr="00F10391">
              <w:t>Creating Quality Improvement Culture In Public Health Agencies.</w:t>
            </w:r>
          </w:p>
        </w:tc>
        <w:tc>
          <w:tcPr>
            <w:tcW w:w="1985" w:type="dxa"/>
            <w:tcBorders>
              <w:top w:val="nil"/>
              <w:left w:val="nil"/>
              <w:bottom w:val="single" w:sz="4" w:space="0" w:color="auto"/>
              <w:right w:val="single" w:sz="4" w:space="0" w:color="auto"/>
            </w:tcBorders>
            <w:shd w:val="clear" w:color="auto" w:fill="auto"/>
            <w:vAlign w:val="center"/>
            <w:hideMark/>
          </w:tcPr>
          <w:p w14:paraId="0EC76A27" w14:textId="77777777" w:rsidR="00E403D6" w:rsidRPr="00F10391" w:rsidRDefault="00E403D6" w:rsidP="0063065F">
            <w:pPr>
              <w:jc w:val="left"/>
            </w:pPr>
            <w:r w:rsidRPr="00F10391">
              <w:t>Davis Mv, Mahanna E, Joly B, Zelek M, Riley W, Verma P, Fisher Js.</w:t>
            </w:r>
          </w:p>
        </w:tc>
        <w:tc>
          <w:tcPr>
            <w:tcW w:w="2078" w:type="dxa"/>
            <w:tcBorders>
              <w:top w:val="nil"/>
              <w:left w:val="nil"/>
              <w:bottom w:val="single" w:sz="4" w:space="0" w:color="auto"/>
              <w:right w:val="single" w:sz="4" w:space="0" w:color="auto"/>
            </w:tcBorders>
            <w:shd w:val="clear" w:color="auto" w:fill="auto"/>
            <w:vAlign w:val="center"/>
            <w:hideMark/>
          </w:tcPr>
          <w:p w14:paraId="1340021C" w14:textId="77777777" w:rsidR="00E403D6" w:rsidRPr="00F10391" w:rsidRDefault="00E403D6" w:rsidP="0063065F">
            <w:pPr>
              <w:jc w:val="left"/>
            </w:pPr>
            <w:r w:rsidRPr="00F10391">
              <w:t>Am J Public Health. 2014 Jan;104(1):E98-104. Doi: 10.2105/Ajph.2013.301413. Epub 2013 Nov 14.</w:t>
            </w:r>
          </w:p>
        </w:tc>
        <w:tc>
          <w:tcPr>
            <w:tcW w:w="862" w:type="dxa"/>
            <w:tcBorders>
              <w:top w:val="nil"/>
              <w:left w:val="nil"/>
              <w:bottom w:val="single" w:sz="4" w:space="0" w:color="auto"/>
              <w:right w:val="single" w:sz="4" w:space="0" w:color="auto"/>
            </w:tcBorders>
            <w:shd w:val="clear" w:color="auto" w:fill="auto"/>
            <w:noWrap/>
            <w:vAlign w:val="center"/>
            <w:hideMark/>
          </w:tcPr>
          <w:p w14:paraId="199D9888"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DF1614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02D289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F7B469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74F832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067D59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A7930C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6515455" w14:textId="77777777" w:rsidR="00E403D6" w:rsidRPr="00F10391" w:rsidRDefault="00E403D6">
            <w:r w:rsidRPr="00F10391">
              <w:t>Not found</w:t>
            </w:r>
          </w:p>
        </w:tc>
      </w:tr>
      <w:tr w:rsidR="00E403D6" w:rsidRPr="00F10391" w14:paraId="3DDCC8B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6F0F792" w14:textId="77777777" w:rsidR="00E403D6" w:rsidRPr="00F10391" w:rsidRDefault="00E403D6" w:rsidP="0063065F">
            <w:pPr>
              <w:jc w:val="left"/>
            </w:pPr>
            <w:r w:rsidRPr="00F10391">
              <w:t>23/11/13</w:t>
            </w:r>
          </w:p>
        </w:tc>
        <w:tc>
          <w:tcPr>
            <w:tcW w:w="2720" w:type="dxa"/>
            <w:tcBorders>
              <w:top w:val="nil"/>
              <w:left w:val="nil"/>
              <w:bottom w:val="single" w:sz="4" w:space="0" w:color="auto"/>
              <w:right w:val="single" w:sz="4" w:space="0" w:color="auto"/>
            </w:tcBorders>
            <w:shd w:val="clear" w:color="auto" w:fill="auto"/>
            <w:vAlign w:val="center"/>
            <w:hideMark/>
          </w:tcPr>
          <w:p w14:paraId="65565056" w14:textId="77777777" w:rsidR="00E403D6" w:rsidRPr="00F10391" w:rsidRDefault="00E403D6" w:rsidP="0063065F">
            <w:pPr>
              <w:jc w:val="left"/>
            </w:pPr>
            <w:r w:rsidRPr="00F10391">
              <w:t>The Development Of A Multi-Criteria Decision Analysis Aid To Help With Contraceptive Choices: My Contraception Tool.</w:t>
            </w:r>
          </w:p>
        </w:tc>
        <w:tc>
          <w:tcPr>
            <w:tcW w:w="1985" w:type="dxa"/>
            <w:tcBorders>
              <w:top w:val="nil"/>
              <w:left w:val="nil"/>
              <w:bottom w:val="single" w:sz="4" w:space="0" w:color="auto"/>
              <w:right w:val="single" w:sz="4" w:space="0" w:color="auto"/>
            </w:tcBorders>
            <w:shd w:val="clear" w:color="auto" w:fill="auto"/>
            <w:vAlign w:val="center"/>
            <w:hideMark/>
          </w:tcPr>
          <w:p w14:paraId="3B54EB34" w14:textId="77777777" w:rsidR="00E403D6" w:rsidRPr="00F10391" w:rsidRDefault="00E403D6" w:rsidP="0063065F">
            <w:pPr>
              <w:jc w:val="left"/>
            </w:pPr>
            <w:r w:rsidRPr="00F10391">
              <w:t>French Rs, Cowan Fm, Wellings K, Dowie J.</w:t>
            </w:r>
          </w:p>
        </w:tc>
        <w:tc>
          <w:tcPr>
            <w:tcW w:w="2078" w:type="dxa"/>
            <w:tcBorders>
              <w:top w:val="nil"/>
              <w:left w:val="nil"/>
              <w:bottom w:val="single" w:sz="4" w:space="0" w:color="auto"/>
              <w:right w:val="single" w:sz="4" w:space="0" w:color="auto"/>
            </w:tcBorders>
            <w:shd w:val="clear" w:color="auto" w:fill="auto"/>
            <w:vAlign w:val="center"/>
            <w:hideMark/>
          </w:tcPr>
          <w:p w14:paraId="43CFFC50" w14:textId="77777777" w:rsidR="00E403D6" w:rsidRPr="00F10391" w:rsidRDefault="00E403D6" w:rsidP="0063065F">
            <w:pPr>
              <w:jc w:val="left"/>
            </w:pPr>
            <w:r w:rsidRPr="00F10391">
              <w:t>J Fam Plann Reprod Health Care. 2014 Apr;40(2):96-101. Doi: 10.1136/Jfprhc-2013-100699. Epub 2013 Nov 21.</w:t>
            </w:r>
          </w:p>
        </w:tc>
        <w:tc>
          <w:tcPr>
            <w:tcW w:w="862" w:type="dxa"/>
            <w:tcBorders>
              <w:top w:val="nil"/>
              <w:left w:val="nil"/>
              <w:bottom w:val="single" w:sz="4" w:space="0" w:color="auto"/>
              <w:right w:val="single" w:sz="4" w:space="0" w:color="auto"/>
            </w:tcBorders>
            <w:shd w:val="clear" w:color="auto" w:fill="auto"/>
            <w:noWrap/>
            <w:vAlign w:val="center"/>
            <w:hideMark/>
          </w:tcPr>
          <w:p w14:paraId="1D0F5B6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132968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CC5622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B544DE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C3DBD4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792701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7E3A1A2"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22BCBE49" w14:textId="77777777" w:rsidR="00E403D6" w:rsidRPr="00F10391" w:rsidRDefault="00E403D6">
            <w:r w:rsidRPr="00F10391">
              <w:t>Not found</w:t>
            </w:r>
          </w:p>
        </w:tc>
      </w:tr>
      <w:tr w:rsidR="00E403D6" w:rsidRPr="00F10391" w14:paraId="44C479E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A0CF849" w14:textId="77777777" w:rsidR="00E403D6" w:rsidRPr="00F10391" w:rsidRDefault="00E403D6" w:rsidP="0063065F">
            <w:pPr>
              <w:jc w:val="left"/>
            </w:pPr>
            <w:r w:rsidRPr="00F10391">
              <w:t>01/12/13</w:t>
            </w:r>
          </w:p>
        </w:tc>
        <w:tc>
          <w:tcPr>
            <w:tcW w:w="2720" w:type="dxa"/>
            <w:tcBorders>
              <w:top w:val="nil"/>
              <w:left w:val="nil"/>
              <w:bottom w:val="single" w:sz="4" w:space="0" w:color="auto"/>
              <w:right w:val="single" w:sz="4" w:space="0" w:color="auto"/>
            </w:tcBorders>
            <w:shd w:val="clear" w:color="auto" w:fill="auto"/>
            <w:vAlign w:val="center"/>
            <w:hideMark/>
          </w:tcPr>
          <w:p w14:paraId="3E9DE043" w14:textId="77777777" w:rsidR="00E403D6" w:rsidRPr="00F10391" w:rsidRDefault="00E403D6" w:rsidP="0063065F">
            <w:pPr>
              <w:jc w:val="left"/>
            </w:pPr>
            <w:r w:rsidRPr="00F10391">
              <w:t>Assessment Of Health-Care Waste Disposal Methods Using A Vikor-Based Fuzzy Multi-Criteria Decision Making Method</w:t>
            </w:r>
          </w:p>
        </w:tc>
        <w:tc>
          <w:tcPr>
            <w:tcW w:w="1985" w:type="dxa"/>
            <w:tcBorders>
              <w:top w:val="nil"/>
              <w:left w:val="nil"/>
              <w:bottom w:val="single" w:sz="4" w:space="0" w:color="auto"/>
              <w:right w:val="single" w:sz="4" w:space="0" w:color="auto"/>
            </w:tcBorders>
            <w:shd w:val="clear" w:color="auto" w:fill="auto"/>
            <w:vAlign w:val="center"/>
            <w:hideMark/>
          </w:tcPr>
          <w:p w14:paraId="49B138B7" w14:textId="77777777" w:rsidR="00E403D6" w:rsidRPr="005D7324" w:rsidRDefault="00E403D6" w:rsidP="0063065F">
            <w:pPr>
              <w:jc w:val="left"/>
            </w:pPr>
            <w:r w:rsidRPr="005D7324">
              <w:t>Liu, Hu-Chen; Wu, Jing; Li, Ping</w:t>
            </w:r>
          </w:p>
        </w:tc>
        <w:tc>
          <w:tcPr>
            <w:tcW w:w="2078" w:type="dxa"/>
            <w:tcBorders>
              <w:top w:val="nil"/>
              <w:left w:val="nil"/>
              <w:bottom w:val="single" w:sz="4" w:space="0" w:color="auto"/>
              <w:right w:val="single" w:sz="4" w:space="0" w:color="auto"/>
            </w:tcBorders>
            <w:shd w:val="clear" w:color="auto" w:fill="auto"/>
            <w:vAlign w:val="center"/>
            <w:hideMark/>
          </w:tcPr>
          <w:p w14:paraId="2ED99E2C" w14:textId="77777777" w:rsidR="00E403D6" w:rsidRPr="00F10391" w:rsidRDefault="00E403D6" w:rsidP="0063065F">
            <w:pPr>
              <w:jc w:val="left"/>
            </w:pPr>
            <w:r w:rsidRPr="00F10391">
              <w:t>Waste Management. 2013;33(12):2744-2751</w:t>
            </w:r>
          </w:p>
        </w:tc>
        <w:tc>
          <w:tcPr>
            <w:tcW w:w="862" w:type="dxa"/>
            <w:tcBorders>
              <w:top w:val="nil"/>
              <w:left w:val="nil"/>
              <w:bottom w:val="single" w:sz="4" w:space="0" w:color="auto"/>
              <w:right w:val="single" w:sz="4" w:space="0" w:color="auto"/>
            </w:tcBorders>
            <w:shd w:val="clear" w:color="auto" w:fill="auto"/>
            <w:noWrap/>
            <w:vAlign w:val="center"/>
            <w:hideMark/>
          </w:tcPr>
          <w:p w14:paraId="6D95C1B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535917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31AC2E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B2BEC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84DA2F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572EE2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526F5A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2AAFD4F" w14:textId="77777777" w:rsidR="00E403D6" w:rsidRPr="00F10391" w:rsidRDefault="00E403D6">
            <w:r w:rsidRPr="00F10391">
              <w:t>Not found</w:t>
            </w:r>
          </w:p>
        </w:tc>
      </w:tr>
      <w:tr w:rsidR="00E403D6" w:rsidRPr="00F10391" w14:paraId="1D5FAD6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0860B61" w14:textId="77777777" w:rsidR="00E403D6" w:rsidRPr="00F10391" w:rsidRDefault="00E403D6" w:rsidP="0063065F">
            <w:pPr>
              <w:jc w:val="left"/>
            </w:pPr>
            <w:r w:rsidRPr="00F10391">
              <w:t>05/12/13</w:t>
            </w:r>
          </w:p>
        </w:tc>
        <w:tc>
          <w:tcPr>
            <w:tcW w:w="2720" w:type="dxa"/>
            <w:tcBorders>
              <w:top w:val="nil"/>
              <w:left w:val="nil"/>
              <w:bottom w:val="single" w:sz="4" w:space="0" w:color="auto"/>
              <w:right w:val="single" w:sz="4" w:space="0" w:color="auto"/>
            </w:tcBorders>
            <w:shd w:val="clear" w:color="auto" w:fill="auto"/>
            <w:vAlign w:val="center"/>
            <w:hideMark/>
          </w:tcPr>
          <w:p w14:paraId="716F6E5D" w14:textId="77777777" w:rsidR="00E403D6" w:rsidRPr="00F10391" w:rsidRDefault="00E403D6" w:rsidP="0063065F">
            <w:pPr>
              <w:jc w:val="left"/>
            </w:pPr>
            <w:r w:rsidRPr="00F10391">
              <w:t>Can Streamlined Multicriteria Decision Analysis Be Used To Implement Shared Decision Making For Colorectal Cancer Screening?</w:t>
            </w:r>
          </w:p>
        </w:tc>
        <w:tc>
          <w:tcPr>
            <w:tcW w:w="1985" w:type="dxa"/>
            <w:tcBorders>
              <w:top w:val="nil"/>
              <w:left w:val="nil"/>
              <w:bottom w:val="single" w:sz="4" w:space="0" w:color="auto"/>
              <w:right w:val="single" w:sz="4" w:space="0" w:color="auto"/>
            </w:tcBorders>
            <w:shd w:val="clear" w:color="auto" w:fill="auto"/>
            <w:vAlign w:val="center"/>
            <w:hideMark/>
          </w:tcPr>
          <w:p w14:paraId="5AE9D5BA" w14:textId="77777777" w:rsidR="00E403D6" w:rsidRPr="00F10391" w:rsidRDefault="00E403D6" w:rsidP="0063065F">
            <w:pPr>
              <w:jc w:val="left"/>
            </w:pPr>
            <w:r w:rsidRPr="00F10391">
              <w:t>Dolan Jg, Boohaker E, Allison J, Imperiale Tf.</w:t>
            </w:r>
          </w:p>
        </w:tc>
        <w:tc>
          <w:tcPr>
            <w:tcW w:w="2078" w:type="dxa"/>
            <w:tcBorders>
              <w:top w:val="nil"/>
              <w:left w:val="nil"/>
              <w:bottom w:val="single" w:sz="4" w:space="0" w:color="auto"/>
              <w:right w:val="single" w:sz="4" w:space="0" w:color="auto"/>
            </w:tcBorders>
            <w:shd w:val="clear" w:color="auto" w:fill="auto"/>
            <w:vAlign w:val="center"/>
            <w:hideMark/>
          </w:tcPr>
          <w:p w14:paraId="57B928CB" w14:textId="77777777" w:rsidR="00E403D6" w:rsidRPr="00F10391" w:rsidRDefault="00E403D6" w:rsidP="0063065F">
            <w:pPr>
              <w:jc w:val="left"/>
            </w:pPr>
            <w:r w:rsidRPr="00F10391">
              <w:t>Med Decis Making. 2013 Dec 3;34(6):746-755. [Epub Ahead Of Print]</w:t>
            </w:r>
          </w:p>
        </w:tc>
        <w:tc>
          <w:tcPr>
            <w:tcW w:w="862" w:type="dxa"/>
            <w:tcBorders>
              <w:top w:val="nil"/>
              <w:left w:val="nil"/>
              <w:bottom w:val="single" w:sz="4" w:space="0" w:color="auto"/>
              <w:right w:val="single" w:sz="4" w:space="0" w:color="auto"/>
            </w:tcBorders>
            <w:shd w:val="clear" w:color="auto" w:fill="auto"/>
            <w:noWrap/>
            <w:vAlign w:val="center"/>
            <w:hideMark/>
          </w:tcPr>
          <w:p w14:paraId="755EE6FC"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4D0395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333EEA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A57842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A751C2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9C55A5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32847A1"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3B50948D" w14:textId="77777777" w:rsidR="00E403D6" w:rsidRPr="00F10391" w:rsidRDefault="00E403D6">
            <w:r w:rsidRPr="00F10391">
              <w:t>Not found</w:t>
            </w:r>
          </w:p>
        </w:tc>
      </w:tr>
      <w:tr w:rsidR="00E403D6" w:rsidRPr="00F10391" w14:paraId="26A5319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A8B5001" w14:textId="77777777" w:rsidR="00E403D6" w:rsidRPr="00F10391" w:rsidRDefault="00E403D6" w:rsidP="0063065F">
            <w:pPr>
              <w:jc w:val="left"/>
            </w:pPr>
            <w:r w:rsidRPr="00F10391">
              <w:t>18/12/13</w:t>
            </w:r>
          </w:p>
        </w:tc>
        <w:tc>
          <w:tcPr>
            <w:tcW w:w="2720" w:type="dxa"/>
            <w:tcBorders>
              <w:top w:val="nil"/>
              <w:left w:val="nil"/>
              <w:bottom w:val="single" w:sz="4" w:space="0" w:color="auto"/>
              <w:right w:val="single" w:sz="4" w:space="0" w:color="auto"/>
            </w:tcBorders>
            <w:shd w:val="clear" w:color="auto" w:fill="auto"/>
            <w:vAlign w:val="center"/>
            <w:hideMark/>
          </w:tcPr>
          <w:p w14:paraId="4D893A89" w14:textId="77777777" w:rsidR="00E403D6" w:rsidRPr="00F10391" w:rsidRDefault="00E403D6" w:rsidP="0063065F">
            <w:pPr>
              <w:jc w:val="left"/>
            </w:pPr>
            <w:r w:rsidRPr="00F10391">
              <w:t>Using Programme Budgeting And Marginal Analysis (Pbma) To Set Priorities: Reflections From A Qualitative Assessment In An English Primary Care Trust.</w:t>
            </w:r>
          </w:p>
        </w:tc>
        <w:tc>
          <w:tcPr>
            <w:tcW w:w="1985" w:type="dxa"/>
            <w:tcBorders>
              <w:top w:val="nil"/>
              <w:left w:val="nil"/>
              <w:bottom w:val="single" w:sz="4" w:space="0" w:color="auto"/>
              <w:right w:val="single" w:sz="4" w:space="0" w:color="auto"/>
            </w:tcBorders>
            <w:shd w:val="clear" w:color="auto" w:fill="auto"/>
            <w:vAlign w:val="center"/>
            <w:hideMark/>
          </w:tcPr>
          <w:p w14:paraId="2497837F" w14:textId="77777777" w:rsidR="00E403D6" w:rsidRPr="00F10391" w:rsidRDefault="00E403D6" w:rsidP="0063065F">
            <w:pPr>
              <w:jc w:val="left"/>
            </w:pPr>
            <w:r w:rsidRPr="00F10391">
              <w:t>Goodwin E, Frew Ej.</w:t>
            </w:r>
          </w:p>
        </w:tc>
        <w:tc>
          <w:tcPr>
            <w:tcW w:w="2078" w:type="dxa"/>
            <w:tcBorders>
              <w:top w:val="nil"/>
              <w:left w:val="nil"/>
              <w:bottom w:val="single" w:sz="4" w:space="0" w:color="auto"/>
              <w:right w:val="single" w:sz="4" w:space="0" w:color="auto"/>
            </w:tcBorders>
            <w:shd w:val="clear" w:color="auto" w:fill="auto"/>
            <w:vAlign w:val="center"/>
            <w:hideMark/>
          </w:tcPr>
          <w:p w14:paraId="639C5DED" w14:textId="77777777" w:rsidR="00E403D6" w:rsidRPr="00F10391" w:rsidRDefault="00E403D6" w:rsidP="0063065F">
            <w:pPr>
              <w:jc w:val="left"/>
            </w:pPr>
            <w:r w:rsidRPr="00F10391">
              <w:t>Soc Sci Med. 2013 Dec;98:162-8. Doi: 10.1016/J.Socscimed.2013.09.020. Epub 2013 Oct 2.</w:t>
            </w:r>
          </w:p>
        </w:tc>
        <w:tc>
          <w:tcPr>
            <w:tcW w:w="862" w:type="dxa"/>
            <w:tcBorders>
              <w:top w:val="nil"/>
              <w:left w:val="nil"/>
              <w:bottom w:val="single" w:sz="4" w:space="0" w:color="auto"/>
              <w:right w:val="single" w:sz="4" w:space="0" w:color="auto"/>
            </w:tcBorders>
            <w:shd w:val="clear" w:color="auto" w:fill="auto"/>
            <w:noWrap/>
            <w:vAlign w:val="center"/>
            <w:hideMark/>
          </w:tcPr>
          <w:p w14:paraId="00CC2F2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43AC8A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E2FCF4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30001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806F5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93C0F2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01F48DB"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4B3AB7AC" w14:textId="77777777" w:rsidR="00E403D6" w:rsidRPr="00F10391" w:rsidRDefault="00E403D6">
            <w:r w:rsidRPr="00F10391">
              <w:t>Not found</w:t>
            </w:r>
          </w:p>
        </w:tc>
      </w:tr>
      <w:tr w:rsidR="00E403D6" w:rsidRPr="00F10391" w14:paraId="1C1B326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A6BD8CD" w14:textId="77777777" w:rsidR="00E403D6" w:rsidRPr="00F10391" w:rsidRDefault="00E403D6" w:rsidP="0063065F">
            <w:pPr>
              <w:jc w:val="left"/>
            </w:pPr>
            <w:r w:rsidRPr="00F10391">
              <w:t>18/12/13</w:t>
            </w:r>
          </w:p>
        </w:tc>
        <w:tc>
          <w:tcPr>
            <w:tcW w:w="2720" w:type="dxa"/>
            <w:tcBorders>
              <w:top w:val="nil"/>
              <w:left w:val="nil"/>
              <w:bottom w:val="single" w:sz="4" w:space="0" w:color="auto"/>
              <w:right w:val="single" w:sz="4" w:space="0" w:color="auto"/>
            </w:tcBorders>
            <w:shd w:val="clear" w:color="auto" w:fill="auto"/>
            <w:vAlign w:val="center"/>
            <w:hideMark/>
          </w:tcPr>
          <w:p w14:paraId="066908BE" w14:textId="77777777" w:rsidR="00E403D6" w:rsidRPr="00F10391" w:rsidRDefault="00E403D6" w:rsidP="0063065F">
            <w:pPr>
              <w:jc w:val="left"/>
            </w:pPr>
            <w:r w:rsidRPr="00F10391">
              <w:t>Assessing Decision Quality In Patient-Centred Care Requires A Preference-Sensitive Measure.</w:t>
            </w:r>
          </w:p>
        </w:tc>
        <w:tc>
          <w:tcPr>
            <w:tcW w:w="1985" w:type="dxa"/>
            <w:tcBorders>
              <w:top w:val="nil"/>
              <w:left w:val="nil"/>
              <w:bottom w:val="single" w:sz="4" w:space="0" w:color="auto"/>
              <w:right w:val="single" w:sz="4" w:space="0" w:color="auto"/>
            </w:tcBorders>
            <w:shd w:val="clear" w:color="auto" w:fill="auto"/>
            <w:vAlign w:val="center"/>
            <w:hideMark/>
          </w:tcPr>
          <w:p w14:paraId="06811374" w14:textId="77777777" w:rsidR="00E403D6" w:rsidRPr="005D7324" w:rsidRDefault="00E403D6" w:rsidP="0063065F">
            <w:pPr>
              <w:jc w:val="left"/>
            </w:pPr>
            <w:r w:rsidRPr="005D7324">
              <w:t>Kaltoft M, Cunich M, Salkeld G, Dowie J.</w:t>
            </w:r>
          </w:p>
        </w:tc>
        <w:tc>
          <w:tcPr>
            <w:tcW w:w="2078" w:type="dxa"/>
            <w:tcBorders>
              <w:top w:val="nil"/>
              <w:left w:val="nil"/>
              <w:bottom w:val="single" w:sz="4" w:space="0" w:color="auto"/>
              <w:right w:val="single" w:sz="4" w:space="0" w:color="auto"/>
            </w:tcBorders>
            <w:shd w:val="clear" w:color="auto" w:fill="auto"/>
            <w:vAlign w:val="center"/>
            <w:hideMark/>
          </w:tcPr>
          <w:p w14:paraId="20D405FC" w14:textId="77777777" w:rsidR="00E403D6" w:rsidRPr="00F10391" w:rsidRDefault="00E403D6" w:rsidP="0063065F">
            <w:pPr>
              <w:jc w:val="left"/>
            </w:pPr>
            <w:r w:rsidRPr="00F10391">
              <w:t>J Health Serv Res Policy. 2014 Apr;19(2):110-7. Doi: 10.1177/1355819613511076. Epub 2013 Dec 12.</w:t>
            </w:r>
          </w:p>
        </w:tc>
        <w:tc>
          <w:tcPr>
            <w:tcW w:w="862" w:type="dxa"/>
            <w:tcBorders>
              <w:top w:val="nil"/>
              <w:left w:val="nil"/>
              <w:bottom w:val="single" w:sz="4" w:space="0" w:color="auto"/>
              <w:right w:val="single" w:sz="4" w:space="0" w:color="auto"/>
            </w:tcBorders>
            <w:shd w:val="clear" w:color="auto" w:fill="auto"/>
            <w:noWrap/>
            <w:vAlign w:val="center"/>
            <w:hideMark/>
          </w:tcPr>
          <w:p w14:paraId="00F65AE9"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60A3F44"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229C40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52525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C2C94C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553E48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E736AF5"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1CDB1757" w14:textId="77777777" w:rsidR="00E403D6" w:rsidRPr="00F10391" w:rsidRDefault="00E403D6">
            <w:r w:rsidRPr="00F10391">
              <w:t>Not found</w:t>
            </w:r>
          </w:p>
        </w:tc>
      </w:tr>
      <w:tr w:rsidR="00E403D6" w:rsidRPr="00F10391" w14:paraId="0531375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A68A1E8" w14:textId="77777777" w:rsidR="00E403D6" w:rsidRPr="00F10391" w:rsidRDefault="00E403D6" w:rsidP="0063065F">
            <w:pPr>
              <w:jc w:val="left"/>
            </w:pPr>
            <w:r w:rsidRPr="00F10391">
              <w:t>24/12/13</w:t>
            </w:r>
          </w:p>
        </w:tc>
        <w:tc>
          <w:tcPr>
            <w:tcW w:w="2720" w:type="dxa"/>
            <w:tcBorders>
              <w:top w:val="nil"/>
              <w:left w:val="nil"/>
              <w:bottom w:val="single" w:sz="4" w:space="0" w:color="auto"/>
              <w:right w:val="single" w:sz="4" w:space="0" w:color="auto"/>
            </w:tcBorders>
            <w:shd w:val="clear" w:color="auto" w:fill="auto"/>
            <w:vAlign w:val="center"/>
            <w:hideMark/>
          </w:tcPr>
          <w:p w14:paraId="7B1825FB" w14:textId="77777777" w:rsidR="00E403D6" w:rsidRPr="00F10391" w:rsidRDefault="00E403D6" w:rsidP="0063065F">
            <w:pPr>
              <w:jc w:val="left"/>
            </w:pPr>
            <w:r w:rsidRPr="00F10391">
              <w:t>Meta-Analysis Methods For Combining Multiple Expression Profiles: Comparisons, Statistical Characterization And An Application Guideline.</w:t>
            </w:r>
          </w:p>
        </w:tc>
        <w:tc>
          <w:tcPr>
            <w:tcW w:w="1985" w:type="dxa"/>
            <w:tcBorders>
              <w:top w:val="nil"/>
              <w:left w:val="nil"/>
              <w:bottom w:val="single" w:sz="4" w:space="0" w:color="auto"/>
              <w:right w:val="single" w:sz="4" w:space="0" w:color="auto"/>
            </w:tcBorders>
            <w:shd w:val="clear" w:color="auto" w:fill="auto"/>
            <w:vAlign w:val="center"/>
            <w:hideMark/>
          </w:tcPr>
          <w:p w14:paraId="6876132E" w14:textId="77777777" w:rsidR="00E403D6" w:rsidRPr="005D7324" w:rsidRDefault="00E403D6" w:rsidP="0063065F">
            <w:pPr>
              <w:jc w:val="left"/>
            </w:pPr>
            <w:r w:rsidRPr="005D7324">
              <w:t>Chang Lc, Lin Hm, Sibille E, Tseng Gc.</w:t>
            </w:r>
          </w:p>
        </w:tc>
        <w:tc>
          <w:tcPr>
            <w:tcW w:w="2078" w:type="dxa"/>
            <w:tcBorders>
              <w:top w:val="nil"/>
              <w:left w:val="nil"/>
              <w:bottom w:val="single" w:sz="4" w:space="0" w:color="auto"/>
              <w:right w:val="single" w:sz="4" w:space="0" w:color="auto"/>
            </w:tcBorders>
            <w:shd w:val="clear" w:color="auto" w:fill="auto"/>
            <w:vAlign w:val="center"/>
            <w:hideMark/>
          </w:tcPr>
          <w:p w14:paraId="14CAB570" w14:textId="77777777" w:rsidR="00E403D6" w:rsidRPr="00F10391" w:rsidRDefault="00E403D6" w:rsidP="0063065F">
            <w:pPr>
              <w:jc w:val="left"/>
            </w:pPr>
            <w:r w:rsidRPr="00F10391">
              <w:t>Bmc Bioinformatics. 2013 Dec 21;14:368. Doi: 10.1186/1471-2105-14-368.</w:t>
            </w:r>
          </w:p>
        </w:tc>
        <w:tc>
          <w:tcPr>
            <w:tcW w:w="862" w:type="dxa"/>
            <w:tcBorders>
              <w:top w:val="nil"/>
              <w:left w:val="nil"/>
              <w:bottom w:val="single" w:sz="4" w:space="0" w:color="auto"/>
              <w:right w:val="single" w:sz="4" w:space="0" w:color="auto"/>
            </w:tcBorders>
            <w:shd w:val="clear" w:color="auto" w:fill="auto"/>
            <w:noWrap/>
            <w:vAlign w:val="center"/>
            <w:hideMark/>
          </w:tcPr>
          <w:p w14:paraId="3F9F487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CAC526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9E20A5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FB38C0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6102CB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8FE3C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C2178A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B1F273D" w14:textId="77777777" w:rsidR="00E403D6" w:rsidRPr="00F10391" w:rsidRDefault="00E403D6">
            <w:r w:rsidRPr="00F10391">
              <w:t>Not found</w:t>
            </w:r>
          </w:p>
        </w:tc>
      </w:tr>
      <w:tr w:rsidR="00E403D6" w:rsidRPr="00F10391" w14:paraId="47271B1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C23BDF8" w14:textId="77777777" w:rsidR="00E403D6" w:rsidRPr="00F10391" w:rsidRDefault="00E403D6" w:rsidP="0063065F">
            <w:pPr>
              <w:jc w:val="left"/>
            </w:pPr>
            <w:r w:rsidRPr="00F10391">
              <w:t>07/01/14</w:t>
            </w:r>
          </w:p>
        </w:tc>
        <w:tc>
          <w:tcPr>
            <w:tcW w:w="2720" w:type="dxa"/>
            <w:tcBorders>
              <w:top w:val="nil"/>
              <w:left w:val="nil"/>
              <w:bottom w:val="single" w:sz="4" w:space="0" w:color="auto"/>
              <w:right w:val="single" w:sz="4" w:space="0" w:color="auto"/>
            </w:tcBorders>
            <w:shd w:val="clear" w:color="auto" w:fill="auto"/>
            <w:vAlign w:val="center"/>
            <w:hideMark/>
          </w:tcPr>
          <w:p w14:paraId="123BBEFE" w14:textId="77777777" w:rsidR="00E403D6" w:rsidRPr="00F10391" w:rsidRDefault="00E403D6" w:rsidP="0063065F">
            <w:pPr>
              <w:jc w:val="left"/>
            </w:pPr>
            <w:r w:rsidRPr="00F10391">
              <w:t>Advancing A Framework To Enable Characterization And Evaluation Of Data Streams Useful For Biosurveillance.</w:t>
            </w:r>
          </w:p>
        </w:tc>
        <w:tc>
          <w:tcPr>
            <w:tcW w:w="1985" w:type="dxa"/>
            <w:tcBorders>
              <w:top w:val="nil"/>
              <w:left w:val="nil"/>
              <w:bottom w:val="single" w:sz="4" w:space="0" w:color="auto"/>
              <w:right w:val="single" w:sz="4" w:space="0" w:color="auto"/>
            </w:tcBorders>
            <w:shd w:val="clear" w:color="auto" w:fill="auto"/>
            <w:vAlign w:val="center"/>
            <w:hideMark/>
          </w:tcPr>
          <w:p w14:paraId="191ADF55" w14:textId="77777777" w:rsidR="00E403D6" w:rsidRPr="00F10391" w:rsidRDefault="00E403D6" w:rsidP="0063065F">
            <w:pPr>
              <w:jc w:val="left"/>
            </w:pPr>
            <w:r w:rsidRPr="00F10391">
              <w:t>Margevicius Kj, Generous N, Taylor-Mccabe Kj, Brown M, Daniel Wb, Castro L, Hengartner A, Deshpande A.</w:t>
            </w:r>
          </w:p>
        </w:tc>
        <w:tc>
          <w:tcPr>
            <w:tcW w:w="2078" w:type="dxa"/>
            <w:tcBorders>
              <w:top w:val="nil"/>
              <w:left w:val="nil"/>
              <w:bottom w:val="single" w:sz="4" w:space="0" w:color="auto"/>
              <w:right w:val="single" w:sz="4" w:space="0" w:color="auto"/>
            </w:tcBorders>
            <w:shd w:val="clear" w:color="auto" w:fill="auto"/>
            <w:vAlign w:val="center"/>
            <w:hideMark/>
          </w:tcPr>
          <w:p w14:paraId="36F6772D" w14:textId="77777777" w:rsidR="00E403D6" w:rsidRPr="00F10391" w:rsidRDefault="00E403D6" w:rsidP="0063065F">
            <w:pPr>
              <w:jc w:val="left"/>
            </w:pPr>
            <w:r w:rsidRPr="00F10391">
              <w:t>Plos One. 2014;9(1):E83730. Doi: 10.1371/Journal.Pone.0083730.</w:t>
            </w:r>
          </w:p>
        </w:tc>
        <w:tc>
          <w:tcPr>
            <w:tcW w:w="862" w:type="dxa"/>
            <w:tcBorders>
              <w:top w:val="nil"/>
              <w:left w:val="nil"/>
              <w:bottom w:val="single" w:sz="4" w:space="0" w:color="auto"/>
              <w:right w:val="single" w:sz="4" w:space="0" w:color="auto"/>
            </w:tcBorders>
            <w:shd w:val="clear" w:color="auto" w:fill="auto"/>
            <w:noWrap/>
            <w:vAlign w:val="center"/>
            <w:hideMark/>
          </w:tcPr>
          <w:p w14:paraId="2846D52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06B66B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3518EB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DD00D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B74E8A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0D43C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AECFFB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11B80BF" w14:textId="77777777" w:rsidR="00E403D6" w:rsidRPr="00F10391" w:rsidRDefault="00E403D6">
            <w:r w:rsidRPr="00F10391">
              <w:t>Not found</w:t>
            </w:r>
          </w:p>
        </w:tc>
      </w:tr>
      <w:tr w:rsidR="00E403D6" w:rsidRPr="00F10391" w14:paraId="2581F0F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2473D5D" w14:textId="77777777" w:rsidR="00E403D6" w:rsidRPr="00F10391" w:rsidRDefault="00E403D6" w:rsidP="0063065F">
            <w:pPr>
              <w:jc w:val="left"/>
            </w:pPr>
            <w:r w:rsidRPr="00F10391">
              <w:t>08/01/14</w:t>
            </w:r>
          </w:p>
        </w:tc>
        <w:tc>
          <w:tcPr>
            <w:tcW w:w="2720" w:type="dxa"/>
            <w:tcBorders>
              <w:top w:val="nil"/>
              <w:left w:val="nil"/>
              <w:bottom w:val="single" w:sz="4" w:space="0" w:color="auto"/>
              <w:right w:val="single" w:sz="4" w:space="0" w:color="auto"/>
            </w:tcBorders>
            <w:shd w:val="clear" w:color="auto" w:fill="auto"/>
            <w:vAlign w:val="center"/>
            <w:hideMark/>
          </w:tcPr>
          <w:p w14:paraId="4209E3DD" w14:textId="77777777" w:rsidR="00E403D6" w:rsidRPr="00F10391" w:rsidRDefault="00E403D6" w:rsidP="0063065F">
            <w:pPr>
              <w:jc w:val="left"/>
            </w:pPr>
            <w:r w:rsidRPr="00F10391">
              <w:t>Prioritization Of Capacities For The Elimination Of Dog-Mediated Human Rabies In The Americas: Building The Framework.</w:t>
            </w:r>
          </w:p>
        </w:tc>
        <w:tc>
          <w:tcPr>
            <w:tcW w:w="1985" w:type="dxa"/>
            <w:tcBorders>
              <w:top w:val="nil"/>
              <w:left w:val="nil"/>
              <w:bottom w:val="single" w:sz="4" w:space="0" w:color="auto"/>
              <w:right w:val="single" w:sz="4" w:space="0" w:color="auto"/>
            </w:tcBorders>
            <w:shd w:val="clear" w:color="auto" w:fill="auto"/>
            <w:vAlign w:val="center"/>
            <w:hideMark/>
          </w:tcPr>
          <w:p w14:paraId="10776F47" w14:textId="77777777" w:rsidR="00E403D6" w:rsidRPr="005D7324" w:rsidRDefault="00E403D6" w:rsidP="0063065F">
            <w:pPr>
              <w:jc w:val="left"/>
            </w:pPr>
            <w:r w:rsidRPr="005D7324">
              <w:t>Del Rio Vilas Vj, Burgeí±O A, Montibeller G, Clavijo A, Vigilato Ma, Cosivi O.</w:t>
            </w:r>
          </w:p>
        </w:tc>
        <w:tc>
          <w:tcPr>
            <w:tcW w:w="2078" w:type="dxa"/>
            <w:tcBorders>
              <w:top w:val="nil"/>
              <w:left w:val="nil"/>
              <w:bottom w:val="single" w:sz="4" w:space="0" w:color="auto"/>
              <w:right w:val="single" w:sz="4" w:space="0" w:color="auto"/>
            </w:tcBorders>
            <w:shd w:val="clear" w:color="auto" w:fill="auto"/>
            <w:vAlign w:val="center"/>
            <w:hideMark/>
          </w:tcPr>
          <w:p w14:paraId="50F4B00A" w14:textId="77777777" w:rsidR="00E403D6" w:rsidRPr="00F10391" w:rsidRDefault="00E403D6" w:rsidP="0063065F">
            <w:pPr>
              <w:jc w:val="left"/>
            </w:pPr>
            <w:r w:rsidRPr="00F10391">
              <w:t>Pathog Glob Health. 2013 Oct;107(7):340-5.</w:t>
            </w:r>
          </w:p>
        </w:tc>
        <w:tc>
          <w:tcPr>
            <w:tcW w:w="862" w:type="dxa"/>
            <w:tcBorders>
              <w:top w:val="nil"/>
              <w:left w:val="nil"/>
              <w:bottom w:val="single" w:sz="4" w:space="0" w:color="auto"/>
              <w:right w:val="single" w:sz="4" w:space="0" w:color="auto"/>
            </w:tcBorders>
            <w:shd w:val="clear" w:color="auto" w:fill="auto"/>
            <w:noWrap/>
            <w:vAlign w:val="center"/>
            <w:hideMark/>
          </w:tcPr>
          <w:p w14:paraId="561240C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54C07A2"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20CD969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A15DB7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39062A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2684E0"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1C47325"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8823041" w14:textId="77777777" w:rsidR="00E403D6" w:rsidRPr="00F10391" w:rsidRDefault="00E403D6">
            <w:r w:rsidRPr="00F10391">
              <w:t>Not found</w:t>
            </w:r>
          </w:p>
        </w:tc>
      </w:tr>
      <w:tr w:rsidR="00E403D6" w:rsidRPr="00F10391" w14:paraId="4E6DD72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06659D" w14:textId="77777777" w:rsidR="00E403D6" w:rsidRPr="00F10391" w:rsidRDefault="00E403D6" w:rsidP="0063065F">
            <w:pPr>
              <w:jc w:val="left"/>
            </w:pPr>
            <w:r w:rsidRPr="00F10391">
              <w:t>08/02/14</w:t>
            </w:r>
          </w:p>
        </w:tc>
        <w:tc>
          <w:tcPr>
            <w:tcW w:w="2720" w:type="dxa"/>
            <w:tcBorders>
              <w:top w:val="nil"/>
              <w:left w:val="nil"/>
              <w:bottom w:val="single" w:sz="4" w:space="0" w:color="auto"/>
              <w:right w:val="single" w:sz="4" w:space="0" w:color="auto"/>
            </w:tcBorders>
            <w:shd w:val="clear" w:color="auto" w:fill="auto"/>
            <w:vAlign w:val="center"/>
            <w:hideMark/>
          </w:tcPr>
          <w:p w14:paraId="6174F3C0" w14:textId="77777777" w:rsidR="00E403D6" w:rsidRPr="00F10391" w:rsidRDefault="00E403D6" w:rsidP="0063065F">
            <w:pPr>
              <w:jc w:val="left"/>
            </w:pPr>
            <w:r w:rsidRPr="00F10391">
              <w:t>Assessing The Value Of Healthcare Interventions Using Multi-Criteria Decision Analysis: A Review Of The Literature.</w:t>
            </w:r>
          </w:p>
        </w:tc>
        <w:tc>
          <w:tcPr>
            <w:tcW w:w="1985" w:type="dxa"/>
            <w:tcBorders>
              <w:top w:val="nil"/>
              <w:left w:val="nil"/>
              <w:bottom w:val="single" w:sz="4" w:space="0" w:color="auto"/>
              <w:right w:val="single" w:sz="4" w:space="0" w:color="auto"/>
            </w:tcBorders>
            <w:shd w:val="clear" w:color="auto" w:fill="auto"/>
            <w:vAlign w:val="center"/>
            <w:hideMark/>
          </w:tcPr>
          <w:p w14:paraId="5EB80409" w14:textId="77777777" w:rsidR="00E403D6" w:rsidRPr="005D7324" w:rsidRDefault="00E403D6" w:rsidP="0063065F">
            <w:pPr>
              <w:jc w:val="left"/>
            </w:pPr>
            <w:r w:rsidRPr="005D7324">
              <w:t>Marsh K, Lanitis T, Neasham D, Orfanos P, Caro J.</w:t>
            </w:r>
          </w:p>
        </w:tc>
        <w:tc>
          <w:tcPr>
            <w:tcW w:w="2078" w:type="dxa"/>
            <w:tcBorders>
              <w:top w:val="nil"/>
              <w:left w:val="nil"/>
              <w:bottom w:val="single" w:sz="4" w:space="0" w:color="auto"/>
              <w:right w:val="single" w:sz="4" w:space="0" w:color="auto"/>
            </w:tcBorders>
            <w:shd w:val="clear" w:color="auto" w:fill="auto"/>
            <w:vAlign w:val="center"/>
            <w:hideMark/>
          </w:tcPr>
          <w:p w14:paraId="547FADB4" w14:textId="77777777" w:rsidR="00E403D6" w:rsidRPr="00F10391" w:rsidRDefault="00E403D6" w:rsidP="0063065F">
            <w:pPr>
              <w:jc w:val="left"/>
            </w:pPr>
            <w:r w:rsidRPr="00F10391">
              <w:t>Pharmacoeconomics. 2014 Apr;32(4):345-65. Doi: 10.1007/S40273-014-0135-0.</w:t>
            </w:r>
          </w:p>
        </w:tc>
        <w:tc>
          <w:tcPr>
            <w:tcW w:w="862" w:type="dxa"/>
            <w:tcBorders>
              <w:top w:val="nil"/>
              <w:left w:val="nil"/>
              <w:bottom w:val="single" w:sz="4" w:space="0" w:color="auto"/>
              <w:right w:val="single" w:sz="4" w:space="0" w:color="auto"/>
            </w:tcBorders>
            <w:shd w:val="clear" w:color="auto" w:fill="auto"/>
            <w:noWrap/>
            <w:vAlign w:val="center"/>
            <w:hideMark/>
          </w:tcPr>
          <w:p w14:paraId="4137A37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E86D43D"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588F0F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192090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A7139B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4BF279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45DF7F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FD7B3F" w14:textId="77777777" w:rsidR="00E403D6" w:rsidRPr="00F10391" w:rsidRDefault="00E403D6">
            <w:r w:rsidRPr="00F10391">
              <w:t>Not found</w:t>
            </w:r>
          </w:p>
        </w:tc>
      </w:tr>
      <w:tr w:rsidR="00E403D6" w:rsidRPr="00F10391" w14:paraId="60D2FC3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6E501DC" w14:textId="77777777" w:rsidR="00E403D6" w:rsidRPr="00F10391" w:rsidRDefault="00E403D6" w:rsidP="0063065F">
            <w:pPr>
              <w:jc w:val="left"/>
            </w:pPr>
            <w:r w:rsidRPr="00F10391">
              <w:t>17/02/14</w:t>
            </w:r>
          </w:p>
        </w:tc>
        <w:tc>
          <w:tcPr>
            <w:tcW w:w="2720" w:type="dxa"/>
            <w:tcBorders>
              <w:top w:val="nil"/>
              <w:left w:val="nil"/>
              <w:bottom w:val="single" w:sz="4" w:space="0" w:color="auto"/>
              <w:right w:val="single" w:sz="4" w:space="0" w:color="auto"/>
            </w:tcBorders>
            <w:shd w:val="clear" w:color="auto" w:fill="auto"/>
            <w:vAlign w:val="center"/>
            <w:hideMark/>
          </w:tcPr>
          <w:p w14:paraId="7A854250" w14:textId="77777777" w:rsidR="00E403D6" w:rsidRPr="00F10391" w:rsidRDefault="00E403D6" w:rsidP="0063065F">
            <w:pPr>
              <w:jc w:val="left"/>
            </w:pPr>
            <w:r w:rsidRPr="00F10391">
              <w:t>Application Of A Multi-Criteria Decision-Making Approach For Ranking Environmental Risks Caused By Petrochemical Industries: A Case Study Of A Sodium Carbonate Production Unit</w:t>
            </w:r>
          </w:p>
        </w:tc>
        <w:tc>
          <w:tcPr>
            <w:tcW w:w="1985" w:type="dxa"/>
            <w:tcBorders>
              <w:top w:val="nil"/>
              <w:left w:val="nil"/>
              <w:bottom w:val="single" w:sz="4" w:space="0" w:color="auto"/>
              <w:right w:val="single" w:sz="4" w:space="0" w:color="auto"/>
            </w:tcBorders>
            <w:shd w:val="clear" w:color="auto" w:fill="auto"/>
            <w:vAlign w:val="center"/>
            <w:hideMark/>
          </w:tcPr>
          <w:p w14:paraId="654DFEC1" w14:textId="77777777" w:rsidR="00E403D6" w:rsidRPr="00F10391" w:rsidRDefault="00E403D6" w:rsidP="0063065F">
            <w:pPr>
              <w:jc w:val="left"/>
            </w:pPr>
            <w:r w:rsidRPr="00F10391">
              <w:t>Motahari, Azam; Malmasi, Saeed; Fard, Nematollah Jafarzahe Haghighi</w:t>
            </w:r>
          </w:p>
        </w:tc>
        <w:tc>
          <w:tcPr>
            <w:tcW w:w="2078" w:type="dxa"/>
            <w:tcBorders>
              <w:top w:val="nil"/>
              <w:left w:val="nil"/>
              <w:bottom w:val="single" w:sz="4" w:space="0" w:color="auto"/>
              <w:right w:val="single" w:sz="4" w:space="0" w:color="auto"/>
            </w:tcBorders>
            <w:shd w:val="clear" w:color="auto" w:fill="auto"/>
            <w:vAlign w:val="center"/>
            <w:hideMark/>
          </w:tcPr>
          <w:p w14:paraId="7C333084" w14:textId="77777777" w:rsidR="00E403D6" w:rsidRPr="00F10391" w:rsidRDefault="00E403D6" w:rsidP="0063065F">
            <w:pPr>
              <w:jc w:val="left"/>
            </w:pPr>
            <w:r w:rsidRPr="00F10391">
              <w:t>Human And Ecological Risk Assessment 2014. 21 2 358-374 10.1080/10807039.2014.916548</w:t>
            </w:r>
          </w:p>
        </w:tc>
        <w:tc>
          <w:tcPr>
            <w:tcW w:w="862" w:type="dxa"/>
            <w:tcBorders>
              <w:top w:val="nil"/>
              <w:left w:val="nil"/>
              <w:bottom w:val="single" w:sz="4" w:space="0" w:color="auto"/>
              <w:right w:val="single" w:sz="4" w:space="0" w:color="auto"/>
            </w:tcBorders>
            <w:shd w:val="clear" w:color="auto" w:fill="auto"/>
            <w:noWrap/>
            <w:vAlign w:val="center"/>
            <w:hideMark/>
          </w:tcPr>
          <w:p w14:paraId="52D92233"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6F01EE3E"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81DBA0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7779CE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2CB206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5A640F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6173D3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4934536" w14:textId="77777777" w:rsidR="00E403D6" w:rsidRPr="00F10391" w:rsidRDefault="00E403D6">
            <w:r w:rsidRPr="00F10391">
              <w:t>Not found</w:t>
            </w:r>
          </w:p>
        </w:tc>
      </w:tr>
      <w:tr w:rsidR="00E403D6" w:rsidRPr="00F10391" w14:paraId="453AEAE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9237EEA" w14:textId="77777777" w:rsidR="00E403D6" w:rsidRPr="00F10391" w:rsidRDefault="00E403D6" w:rsidP="0063065F">
            <w:pPr>
              <w:jc w:val="left"/>
            </w:pPr>
            <w:r w:rsidRPr="00F10391">
              <w:t>21/02/14</w:t>
            </w:r>
          </w:p>
        </w:tc>
        <w:tc>
          <w:tcPr>
            <w:tcW w:w="2720" w:type="dxa"/>
            <w:tcBorders>
              <w:top w:val="nil"/>
              <w:left w:val="nil"/>
              <w:bottom w:val="single" w:sz="4" w:space="0" w:color="auto"/>
              <w:right w:val="single" w:sz="4" w:space="0" w:color="auto"/>
            </w:tcBorders>
            <w:shd w:val="clear" w:color="auto" w:fill="auto"/>
            <w:vAlign w:val="center"/>
            <w:hideMark/>
          </w:tcPr>
          <w:p w14:paraId="01C886D1" w14:textId="77777777" w:rsidR="00E403D6" w:rsidRPr="00F10391" w:rsidRDefault="00E403D6" w:rsidP="0063065F">
            <w:pPr>
              <w:jc w:val="left"/>
            </w:pPr>
            <w:r w:rsidRPr="00F10391">
              <w:t>Systematic Assessment Of Benefits And Risks: Study Protocol For A Multi-Criteria Decision Analysis Using The Analytic Hierarchy Process For Comparative Effectiveness Research.</w:t>
            </w:r>
          </w:p>
        </w:tc>
        <w:tc>
          <w:tcPr>
            <w:tcW w:w="1985" w:type="dxa"/>
            <w:tcBorders>
              <w:top w:val="nil"/>
              <w:left w:val="nil"/>
              <w:bottom w:val="single" w:sz="4" w:space="0" w:color="auto"/>
              <w:right w:val="single" w:sz="4" w:space="0" w:color="auto"/>
            </w:tcBorders>
            <w:shd w:val="clear" w:color="auto" w:fill="auto"/>
            <w:vAlign w:val="center"/>
            <w:hideMark/>
          </w:tcPr>
          <w:p w14:paraId="04E8AF0F" w14:textId="77777777" w:rsidR="00E403D6" w:rsidRPr="00F10391" w:rsidRDefault="00E403D6" w:rsidP="0063065F">
            <w:pPr>
              <w:jc w:val="left"/>
            </w:pPr>
            <w:r w:rsidRPr="00F10391">
              <w:t>Maruthur Nm, Joy S, Dolan J, Segal Jb, Shihab Hm, Singh S.</w:t>
            </w:r>
          </w:p>
        </w:tc>
        <w:tc>
          <w:tcPr>
            <w:tcW w:w="2078" w:type="dxa"/>
            <w:tcBorders>
              <w:top w:val="nil"/>
              <w:left w:val="nil"/>
              <w:bottom w:val="single" w:sz="4" w:space="0" w:color="auto"/>
              <w:right w:val="single" w:sz="4" w:space="0" w:color="auto"/>
            </w:tcBorders>
            <w:shd w:val="clear" w:color="auto" w:fill="auto"/>
            <w:vAlign w:val="center"/>
            <w:hideMark/>
          </w:tcPr>
          <w:p w14:paraId="6D908F97" w14:textId="77777777" w:rsidR="00E403D6" w:rsidRPr="00F10391" w:rsidRDefault="00E403D6" w:rsidP="0063065F">
            <w:pPr>
              <w:jc w:val="left"/>
            </w:pPr>
            <w:r w:rsidRPr="00F10391">
              <w:t>F1000Res. 2013;2:160. Doi: 10.12688/F1000Research.2-160.V1.</w:t>
            </w:r>
          </w:p>
        </w:tc>
        <w:tc>
          <w:tcPr>
            <w:tcW w:w="862" w:type="dxa"/>
            <w:tcBorders>
              <w:top w:val="nil"/>
              <w:left w:val="nil"/>
              <w:bottom w:val="single" w:sz="4" w:space="0" w:color="auto"/>
              <w:right w:val="single" w:sz="4" w:space="0" w:color="auto"/>
            </w:tcBorders>
            <w:shd w:val="clear" w:color="auto" w:fill="auto"/>
            <w:noWrap/>
            <w:vAlign w:val="center"/>
            <w:hideMark/>
          </w:tcPr>
          <w:p w14:paraId="5DE18D1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0EE254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B19466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3AD971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589E20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B1523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EAB740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28FE46C" w14:textId="77777777" w:rsidR="00E403D6" w:rsidRPr="00F10391" w:rsidRDefault="00E403D6">
            <w:r w:rsidRPr="00F10391">
              <w:t>Not found</w:t>
            </w:r>
          </w:p>
        </w:tc>
      </w:tr>
      <w:tr w:rsidR="00E403D6" w:rsidRPr="00F10391" w14:paraId="4C0C8DB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053BBA7" w14:textId="77777777" w:rsidR="00E403D6" w:rsidRPr="00F10391" w:rsidRDefault="00E403D6" w:rsidP="0063065F">
            <w:pPr>
              <w:jc w:val="left"/>
            </w:pPr>
            <w:r w:rsidRPr="00F10391">
              <w:t>01/03/14</w:t>
            </w:r>
          </w:p>
        </w:tc>
        <w:tc>
          <w:tcPr>
            <w:tcW w:w="2720" w:type="dxa"/>
            <w:tcBorders>
              <w:top w:val="nil"/>
              <w:left w:val="nil"/>
              <w:bottom w:val="single" w:sz="4" w:space="0" w:color="auto"/>
              <w:right w:val="single" w:sz="4" w:space="0" w:color="auto"/>
            </w:tcBorders>
            <w:shd w:val="clear" w:color="auto" w:fill="auto"/>
            <w:vAlign w:val="center"/>
            <w:hideMark/>
          </w:tcPr>
          <w:p w14:paraId="2752AD91" w14:textId="77777777" w:rsidR="00E403D6" w:rsidRPr="005D7324" w:rsidRDefault="00E403D6" w:rsidP="0063065F">
            <w:pPr>
              <w:jc w:val="left"/>
            </w:pPr>
            <w:r w:rsidRPr="005D7324">
              <w:t>Uso Da Mcda Na Identifica</w:t>
            </w:r>
            <w:r w:rsidRPr="00F10391">
              <w:t></w:t>
            </w:r>
            <w:r w:rsidRPr="005D7324">
              <w:t>Êo E Mensura</w:t>
            </w:r>
            <w:r w:rsidRPr="00F10391">
              <w:t></w:t>
            </w:r>
            <w:r w:rsidRPr="005D7324">
              <w:t>Êo Da Performance Dos Crit_Rios Para A Certifica</w:t>
            </w:r>
            <w:r w:rsidRPr="00F10391">
              <w:t></w:t>
            </w:r>
            <w:r w:rsidRPr="005D7324">
              <w:t>Êo Dos Hospitais De Ensino No _Mbito Do Sus</w:t>
            </w:r>
          </w:p>
        </w:tc>
        <w:tc>
          <w:tcPr>
            <w:tcW w:w="1985" w:type="dxa"/>
            <w:tcBorders>
              <w:top w:val="nil"/>
              <w:left w:val="nil"/>
              <w:bottom w:val="single" w:sz="4" w:space="0" w:color="auto"/>
              <w:right w:val="single" w:sz="4" w:space="0" w:color="auto"/>
            </w:tcBorders>
            <w:shd w:val="clear" w:color="auto" w:fill="auto"/>
            <w:vAlign w:val="center"/>
            <w:hideMark/>
          </w:tcPr>
          <w:p w14:paraId="29D95A7C" w14:textId="77777777" w:rsidR="00E403D6" w:rsidRPr="00F10391" w:rsidRDefault="00E403D6" w:rsidP="0063065F">
            <w:pPr>
              <w:jc w:val="left"/>
            </w:pPr>
            <w:r w:rsidRPr="00F10391">
              <w:t>Longaray, Andr_ Andrade; Ensslin, Leonardo</w:t>
            </w:r>
          </w:p>
        </w:tc>
        <w:tc>
          <w:tcPr>
            <w:tcW w:w="2078" w:type="dxa"/>
            <w:tcBorders>
              <w:top w:val="nil"/>
              <w:left w:val="nil"/>
              <w:bottom w:val="single" w:sz="4" w:space="0" w:color="auto"/>
              <w:right w:val="single" w:sz="4" w:space="0" w:color="auto"/>
            </w:tcBorders>
            <w:shd w:val="clear" w:color="auto" w:fill="auto"/>
            <w:vAlign w:val="center"/>
            <w:hideMark/>
          </w:tcPr>
          <w:p w14:paraId="127121DD" w14:textId="77777777" w:rsidR="00E403D6" w:rsidRPr="00F10391" w:rsidRDefault="00E403D6" w:rsidP="0063065F">
            <w:pPr>
              <w:jc w:val="left"/>
            </w:pPr>
            <w:r w:rsidRPr="00F10391">
              <w:t>Production. 2014;24(1):41-56</w:t>
            </w:r>
          </w:p>
        </w:tc>
        <w:tc>
          <w:tcPr>
            <w:tcW w:w="862" w:type="dxa"/>
            <w:tcBorders>
              <w:top w:val="nil"/>
              <w:left w:val="nil"/>
              <w:bottom w:val="single" w:sz="4" w:space="0" w:color="auto"/>
              <w:right w:val="single" w:sz="4" w:space="0" w:color="auto"/>
            </w:tcBorders>
            <w:shd w:val="clear" w:color="auto" w:fill="auto"/>
            <w:noWrap/>
            <w:vAlign w:val="center"/>
            <w:hideMark/>
          </w:tcPr>
          <w:p w14:paraId="192CD475"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7DF56AE"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7E0D4AA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EF66CD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EB980F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D94706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2A9B507"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92A68F" w14:textId="77777777" w:rsidR="00E403D6" w:rsidRPr="00F10391" w:rsidRDefault="00E403D6">
            <w:r w:rsidRPr="00F10391">
              <w:t>Not found</w:t>
            </w:r>
          </w:p>
        </w:tc>
      </w:tr>
      <w:tr w:rsidR="00E403D6" w:rsidRPr="00F10391" w14:paraId="5777D472"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8A4C606" w14:textId="77777777" w:rsidR="00E403D6" w:rsidRPr="00F10391" w:rsidRDefault="00E403D6" w:rsidP="0063065F">
            <w:pPr>
              <w:jc w:val="left"/>
            </w:pPr>
            <w:r w:rsidRPr="00F10391">
              <w:t>04/03/14</w:t>
            </w:r>
          </w:p>
        </w:tc>
        <w:tc>
          <w:tcPr>
            <w:tcW w:w="2720" w:type="dxa"/>
            <w:tcBorders>
              <w:top w:val="nil"/>
              <w:left w:val="nil"/>
              <w:bottom w:val="single" w:sz="4" w:space="0" w:color="auto"/>
              <w:right w:val="single" w:sz="4" w:space="0" w:color="auto"/>
            </w:tcBorders>
            <w:shd w:val="clear" w:color="auto" w:fill="auto"/>
            <w:vAlign w:val="center"/>
            <w:hideMark/>
          </w:tcPr>
          <w:p w14:paraId="044D9E4A" w14:textId="77777777" w:rsidR="00E403D6" w:rsidRPr="00F10391" w:rsidRDefault="00E403D6" w:rsidP="0063065F">
            <w:pPr>
              <w:jc w:val="left"/>
            </w:pPr>
            <w:r w:rsidRPr="00F10391">
              <w:t>Multi-Dye Residue Analysis Of Triarylmethane, Xanthene, Phenothiazine And Phenoxazine Dyes In Fish Tissues By Ultra-Performance Liquid Chromatography-Tandem Mass Spectrometry.</w:t>
            </w:r>
          </w:p>
        </w:tc>
        <w:tc>
          <w:tcPr>
            <w:tcW w:w="1985" w:type="dxa"/>
            <w:tcBorders>
              <w:top w:val="nil"/>
              <w:left w:val="nil"/>
              <w:bottom w:val="single" w:sz="4" w:space="0" w:color="auto"/>
              <w:right w:val="single" w:sz="4" w:space="0" w:color="auto"/>
            </w:tcBorders>
            <w:shd w:val="clear" w:color="auto" w:fill="auto"/>
            <w:vAlign w:val="center"/>
            <w:hideMark/>
          </w:tcPr>
          <w:p w14:paraId="30BE22A6" w14:textId="77777777" w:rsidR="00E403D6" w:rsidRPr="00F10391" w:rsidRDefault="00E403D6" w:rsidP="0063065F">
            <w:pPr>
              <w:jc w:val="left"/>
            </w:pPr>
            <w:r w:rsidRPr="00F10391">
              <w:t>Reyns T, Belpaire C, Geeraerts C, Van Loco J.</w:t>
            </w:r>
          </w:p>
        </w:tc>
        <w:tc>
          <w:tcPr>
            <w:tcW w:w="2078" w:type="dxa"/>
            <w:tcBorders>
              <w:top w:val="nil"/>
              <w:left w:val="nil"/>
              <w:bottom w:val="single" w:sz="4" w:space="0" w:color="auto"/>
              <w:right w:val="single" w:sz="4" w:space="0" w:color="auto"/>
            </w:tcBorders>
            <w:shd w:val="clear" w:color="auto" w:fill="auto"/>
            <w:vAlign w:val="center"/>
            <w:hideMark/>
          </w:tcPr>
          <w:p w14:paraId="094402C4" w14:textId="77777777" w:rsidR="00E403D6" w:rsidRPr="00F10391" w:rsidRDefault="00E403D6" w:rsidP="0063065F">
            <w:pPr>
              <w:jc w:val="left"/>
            </w:pPr>
            <w:r w:rsidRPr="00F10391">
              <w:t>J Chromatogr B Analyt Technol Biomed Life Sci. 2014 Mar 15;953-954:92-101. Doi: 10.1016/J.Jchromb.2014.02.002. Epub 2014 Feb 10.</w:t>
            </w:r>
          </w:p>
        </w:tc>
        <w:tc>
          <w:tcPr>
            <w:tcW w:w="862" w:type="dxa"/>
            <w:tcBorders>
              <w:top w:val="nil"/>
              <w:left w:val="nil"/>
              <w:bottom w:val="single" w:sz="4" w:space="0" w:color="auto"/>
              <w:right w:val="single" w:sz="4" w:space="0" w:color="auto"/>
            </w:tcBorders>
            <w:shd w:val="clear" w:color="auto" w:fill="auto"/>
            <w:noWrap/>
            <w:vAlign w:val="center"/>
            <w:hideMark/>
          </w:tcPr>
          <w:p w14:paraId="112ABF1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FF2B84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D94D94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260764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A724F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C41EC0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808894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A87669A" w14:textId="77777777" w:rsidR="00E403D6" w:rsidRPr="00F10391" w:rsidRDefault="00E403D6">
            <w:r w:rsidRPr="00F10391">
              <w:t>Not found</w:t>
            </w:r>
          </w:p>
        </w:tc>
      </w:tr>
      <w:tr w:rsidR="00E403D6" w:rsidRPr="00F10391" w14:paraId="351CB8A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B1E0397" w14:textId="77777777" w:rsidR="00E403D6" w:rsidRPr="00F10391" w:rsidRDefault="00E403D6" w:rsidP="0063065F">
            <w:pPr>
              <w:jc w:val="left"/>
            </w:pPr>
            <w:r w:rsidRPr="00F10391">
              <w:t>19/03/14</w:t>
            </w:r>
          </w:p>
        </w:tc>
        <w:tc>
          <w:tcPr>
            <w:tcW w:w="2720" w:type="dxa"/>
            <w:tcBorders>
              <w:top w:val="nil"/>
              <w:left w:val="nil"/>
              <w:bottom w:val="single" w:sz="4" w:space="0" w:color="auto"/>
              <w:right w:val="single" w:sz="4" w:space="0" w:color="auto"/>
            </w:tcBorders>
            <w:shd w:val="clear" w:color="auto" w:fill="auto"/>
            <w:vAlign w:val="center"/>
            <w:hideMark/>
          </w:tcPr>
          <w:p w14:paraId="397C7A18" w14:textId="77777777" w:rsidR="00E403D6" w:rsidRPr="00F10391" w:rsidRDefault="00E403D6" w:rsidP="0063065F">
            <w:pPr>
              <w:jc w:val="left"/>
            </w:pPr>
            <w:r w:rsidRPr="00F10391">
              <w:t>Indirect Treatment Comparison/Network Meta-Analysis Study Questionnaire To Assess Relevance And Credibility To Inform Health Care Decision Making: An Ispor-Amcp-Npc Good Practice Task Force Report.</w:t>
            </w:r>
          </w:p>
        </w:tc>
        <w:tc>
          <w:tcPr>
            <w:tcW w:w="1985" w:type="dxa"/>
            <w:tcBorders>
              <w:top w:val="nil"/>
              <w:left w:val="nil"/>
              <w:bottom w:val="single" w:sz="4" w:space="0" w:color="auto"/>
              <w:right w:val="single" w:sz="4" w:space="0" w:color="auto"/>
            </w:tcBorders>
            <w:shd w:val="clear" w:color="auto" w:fill="auto"/>
            <w:vAlign w:val="center"/>
            <w:hideMark/>
          </w:tcPr>
          <w:p w14:paraId="7764B412" w14:textId="77777777" w:rsidR="00E403D6" w:rsidRPr="00F10391" w:rsidRDefault="00E403D6" w:rsidP="0063065F">
            <w:pPr>
              <w:jc w:val="left"/>
            </w:pPr>
            <w:r w:rsidRPr="00F10391">
              <w:t>Jansen Jp, Trikalinos T, Cappelleri Jc, Daw J, Andes S, Eldessouki R, Salanti G.</w:t>
            </w:r>
          </w:p>
        </w:tc>
        <w:tc>
          <w:tcPr>
            <w:tcW w:w="2078" w:type="dxa"/>
            <w:tcBorders>
              <w:top w:val="nil"/>
              <w:left w:val="nil"/>
              <w:bottom w:val="single" w:sz="4" w:space="0" w:color="auto"/>
              <w:right w:val="single" w:sz="4" w:space="0" w:color="auto"/>
            </w:tcBorders>
            <w:shd w:val="clear" w:color="auto" w:fill="auto"/>
            <w:vAlign w:val="center"/>
            <w:hideMark/>
          </w:tcPr>
          <w:p w14:paraId="6D5D1012" w14:textId="77777777" w:rsidR="00E403D6" w:rsidRPr="00F10391" w:rsidRDefault="00E403D6" w:rsidP="0063065F">
            <w:pPr>
              <w:jc w:val="left"/>
            </w:pPr>
            <w:r w:rsidRPr="00F10391">
              <w:t>Value Health. 2014 Mar;17(2):157-73. Doi: 10.1016/J.Jval.2014.01.004.</w:t>
            </w:r>
          </w:p>
        </w:tc>
        <w:tc>
          <w:tcPr>
            <w:tcW w:w="862" w:type="dxa"/>
            <w:tcBorders>
              <w:top w:val="nil"/>
              <w:left w:val="nil"/>
              <w:bottom w:val="single" w:sz="4" w:space="0" w:color="auto"/>
              <w:right w:val="single" w:sz="4" w:space="0" w:color="auto"/>
            </w:tcBorders>
            <w:shd w:val="clear" w:color="auto" w:fill="auto"/>
            <w:noWrap/>
            <w:vAlign w:val="center"/>
            <w:hideMark/>
          </w:tcPr>
          <w:p w14:paraId="263E745B"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5029D9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064EEE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B2E7C4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162472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251303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FB4520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3BC97EA" w14:textId="77777777" w:rsidR="00E403D6" w:rsidRPr="00F10391" w:rsidRDefault="00E403D6">
            <w:r w:rsidRPr="00F10391">
              <w:t>Not found</w:t>
            </w:r>
          </w:p>
        </w:tc>
      </w:tr>
      <w:tr w:rsidR="00E403D6" w:rsidRPr="00F10391" w14:paraId="7A85197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9E4FE44" w14:textId="77777777" w:rsidR="00E403D6" w:rsidRPr="00F10391" w:rsidRDefault="00E403D6" w:rsidP="0063065F">
            <w:pPr>
              <w:jc w:val="left"/>
            </w:pPr>
            <w:r w:rsidRPr="00F10391">
              <w:t>26/03/14</w:t>
            </w:r>
          </w:p>
        </w:tc>
        <w:tc>
          <w:tcPr>
            <w:tcW w:w="2720" w:type="dxa"/>
            <w:tcBorders>
              <w:top w:val="nil"/>
              <w:left w:val="nil"/>
              <w:bottom w:val="single" w:sz="4" w:space="0" w:color="auto"/>
              <w:right w:val="single" w:sz="4" w:space="0" w:color="auto"/>
            </w:tcBorders>
            <w:shd w:val="clear" w:color="auto" w:fill="auto"/>
            <w:vAlign w:val="center"/>
            <w:hideMark/>
          </w:tcPr>
          <w:p w14:paraId="50FB4C7F" w14:textId="77777777" w:rsidR="00E403D6" w:rsidRPr="00F10391" w:rsidRDefault="00E403D6" w:rsidP="0063065F">
            <w:pPr>
              <w:jc w:val="left"/>
            </w:pPr>
            <w:r w:rsidRPr="00F10391">
              <w:t>Precision Of Progesterone Measurements With The Use Of Automated Immunoassay Analyzers And The Impact On Clinical Decisions For In Vitro Fertilization.</w:t>
            </w:r>
          </w:p>
        </w:tc>
        <w:tc>
          <w:tcPr>
            <w:tcW w:w="1985" w:type="dxa"/>
            <w:tcBorders>
              <w:top w:val="nil"/>
              <w:left w:val="nil"/>
              <w:bottom w:val="single" w:sz="4" w:space="0" w:color="auto"/>
              <w:right w:val="single" w:sz="4" w:space="0" w:color="auto"/>
            </w:tcBorders>
            <w:shd w:val="clear" w:color="auto" w:fill="auto"/>
            <w:vAlign w:val="center"/>
            <w:hideMark/>
          </w:tcPr>
          <w:p w14:paraId="53B27D27" w14:textId="77777777" w:rsidR="00E403D6" w:rsidRPr="00F10391" w:rsidRDefault="00E403D6" w:rsidP="0063065F">
            <w:pPr>
              <w:jc w:val="left"/>
            </w:pPr>
            <w:r w:rsidRPr="00F10391">
              <w:t>Patton Pe, Lim Jy, Hickok Lr, Kettel Lm, Larson Jm, Pau Ky.</w:t>
            </w:r>
          </w:p>
        </w:tc>
        <w:tc>
          <w:tcPr>
            <w:tcW w:w="2078" w:type="dxa"/>
            <w:tcBorders>
              <w:top w:val="nil"/>
              <w:left w:val="nil"/>
              <w:bottom w:val="single" w:sz="4" w:space="0" w:color="auto"/>
              <w:right w:val="single" w:sz="4" w:space="0" w:color="auto"/>
            </w:tcBorders>
            <w:shd w:val="clear" w:color="auto" w:fill="auto"/>
            <w:vAlign w:val="center"/>
            <w:hideMark/>
          </w:tcPr>
          <w:p w14:paraId="017812EB" w14:textId="77777777" w:rsidR="00E403D6" w:rsidRPr="00F10391" w:rsidRDefault="00E403D6" w:rsidP="0063065F">
            <w:pPr>
              <w:jc w:val="left"/>
            </w:pPr>
            <w:r w:rsidRPr="005D7324">
              <w:t xml:space="preserve">Fertil Steril. 2014 Jun;101(6):1629-36. Doi: 10.1016/J.Fertnstert.2014.02.037. </w:t>
            </w:r>
            <w:r w:rsidRPr="00F10391">
              <w:t>Epub 2014 Mar 21.</w:t>
            </w:r>
          </w:p>
        </w:tc>
        <w:tc>
          <w:tcPr>
            <w:tcW w:w="862" w:type="dxa"/>
            <w:tcBorders>
              <w:top w:val="nil"/>
              <w:left w:val="nil"/>
              <w:bottom w:val="single" w:sz="4" w:space="0" w:color="auto"/>
              <w:right w:val="single" w:sz="4" w:space="0" w:color="auto"/>
            </w:tcBorders>
            <w:shd w:val="clear" w:color="auto" w:fill="auto"/>
            <w:noWrap/>
            <w:vAlign w:val="center"/>
            <w:hideMark/>
          </w:tcPr>
          <w:p w14:paraId="767A7B5D"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3DB8F41"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913885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D62D96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3C510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FCCA4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4E854F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00F6AE8" w14:textId="77777777" w:rsidR="00E403D6" w:rsidRPr="00F10391" w:rsidRDefault="00E403D6">
            <w:r w:rsidRPr="00F10391">
              <w:t>Not found</w:t>
            </w:r>
          </w:p>
        </w:tc>
      </w:tr>
      <w:tr w:rsidR="00E403D6" w:rsidRPr="00F10391" w14:paraId="23ECBDC7"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F2E4271" w14:textId="77777777" w:rsidR="00E403D6" w:rsidRPr="00F10391" w:rsidRDefault="00E403D6" w:rsidP="0063065F">
            <w:pPr>
              <w:jc w:val="left"/>
            </w:pPr>
            <w:r w:rsidRPr="00F10391">
              <w:t>01/04/14</w:t>
            </w:r>
          </w:p>
        </w:tc>
        <w:tc>
          <w:tcPr>
            <w:tcW w:w="2720" w:type="dxa"/>
            <w:tcBorders>
              <w:top w:val="nil"/>
              <w:left w:val="nil"/>
              <w:bottom w:val="single" w:sz="4" w:space="0" w:color="auto"/>
              <w:right w:val="single" w:sz="4" w:space="0" w:color="auto"/>
            </w:tcBorders>
            <w:shd w:val="clear" w:color="auto" w:fill="auto"/>
            <w:vAlign w:val="center"/>
            <w:hideMark/>
          </w:tcPr>
          <w:p w14:paraId="0CB7D806" w14:textId="77777777" w:rsidR="00E403D6" w:rsidRPr="00F10391" w:rsidRDefault="00E403D6" w:rsidP="0063065F">
            <w:pPr>
              <w:jc w:val="left"/>
            </w:pPr>
            <w:r w:rsidRPr="00F10391">
              <w:t>Assessing The Value Of Healthcare Interventions Using Multi-Criteria Decision Analysis: A Review Of The Literature</w:t>
            </w:r>
          </w:p>
        </w:tc>
        <w:tc>
          <w:tcPr>
            <w:tcW w:w="1985" w:type="dxa"/>
            <w:tcBorders>
              <w:top w:val="nil"/>
              <w:left w:val="nil"/>
              <w:bottom w:val="single" w:sz="4" w:space="0" w:color="auto"/>
              <w:right w:val="single" w:sz="4" w:space="0" w:color="auto"/>
            </w:tcBorders>
            <w:shd w:val="clear" w:color="auto" w:fill="auto"/>
            <w:vAlign w:val="center"/>
            <w:hideMark/>
          </w:tcPr>
          <w:p w14:paraId="03E71209" w14:textId="77777777" w:rsidR="00E403D6" w:rsidRPr="00F10391" w:rsidRDefault="00E403D6" w:rsidP="0063065F">
            <w:pPr>
              <w:jc w:val="left"/>
            </w:pPr>
            <w:r w:rsidRPr="00F10391">
              <w:t>Marsh, Kevin; Lanitis, Tereza; Neasham, David; Orfanos, Panagiotis; Caro, Jaime</w:t>
            </w:r>
          </w:p>
        </w:tc>
        <w:tc>
          <w:tcPr>
            <w:tcW w:w="2078" w:type="dxa"/>
            <w:tcBorders>
              <w:top w:val="nil"/>
              <w:left w:val="nil"/>
              <w:bottom w:val="single" w:sz="4" w:space="0" w:color="auto"/>
              <w:right w:val="single" w:sz="4" w:space="0" w:color="auto"/>
            </w:tcBorders>
            <w:shd w:val="clear" w:color="auto" w:fill="auto"/>
            <w:vAlign w:val="center"/>
            <w:hideMark/>
          </w:tcPr>
          <w:p w14:paraId="52AB8B0E" w14:textId="77777777" w:rsidR="00E403D6" w:rsidRPr="00F10391" w:rsidRDefault="00E403D6" w:rsidP="0063065F">
            <w:pPr>
              <w:jc w:val="left"/>
            </w:pPr>
            <w:r w:rsidRPr="00F10391">
              <w:t>Pharmacoeconomics. 2014;32(4):345-365</w:t>
            </w:r>
          </w:p>
        </w:tc>
        <w:tc>
          <w:tcPr>
            <w:tcW w:w="862" w:type="dxa"/>
            <w:tcBorders>
              <w:top w:val="nil"/>
              <w:left w:val="nil"/>
              <w:bottom w:val="single" w:sz="4" w:space="0" w:color="auto"/>
              <w:right w:val="single" w:sz="4" w:space="0" w:color="auto"/>
            </w:tcBorders>
            <w:shd w:val="clear" w:color="auto" w:fill="auto"/>
            <w:noWrap/>
            <w:vAlign w:val="center"/>
            <w:hideMark/>
          </w:tcPr>
          <w:p w14:paraId="1A02833C"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D7164E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23885B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6DFC1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F6C026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A5D8C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E7B1C12"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63F0B215" w14:textId="77777777" w:rsidR="00E403D6" w:rsidRPr="00F10391" w:rsidRDefault="00E403D6">
            <w:r w:rsidRPr="00F10391">
              <w:t>Not found</w:t>
            </w:r>
          </w:p>
        </w:tc>
      </w:tr>
      <w:tr w:rsidR="00E403D6" w:rsidRPr="00F10391" w14:paraId="27693C8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C392F38" w14:textId="77777777" w:rsidR="00E403D6" w:rsidRPr="00F10391" w:rsidRDefault="00E403D6" w:rsidP="0063065F">
            <w:pPr>
              <w:jc w:val="left"/>
            </w:pPr>
            <w:r w:rsidRPr="00F10391">
              <w:t>01/04/14</w:t>
            </w:r>
          </w:p>
        </w:tc>
        <w:tc>
          <w:tcPr>
            <w:tcW w:w="2720" w:type="dxa"/>
            <w:tcBorders>
              <w:top w:val="nil"/>
              <w:left w:val="nil"/>
              <w:bottom w:val="single" w:sz="4" w:space="0" w:color="auto"/>
              <w:right w:val="single" w:sz="4" w:space="0" w:color="auto"/>
            </w:tcBorders>
            <w:shd w:val="clear" w:color="auto" w:fill="auto"/>
            <w:vAlign w:val="center"/>
            <w:hideMark/>
          </w:tcPr>
          <w:p w14:paraId="48D54C76" w14:textId="77777777" w:rsidR="00E403D6" w:rsidRPr="00F10391" w:rsidRDefault="00E403D6" w:rsidP="0063065F">
            <w:pPr>
              <w:jc w:val="left"/>
            </w:pPr>
            <w:r w:rsidRPr="00F10391">
              <w:t>Gis-Based Multicriteria Municipal Solid Waste Landfill Suitability Analysis: A Review Of The Methodologies Performed And Criteria Implemented</w:t>
            </w:r>
          </w:p>
        </w:tc>
        <w:tc>
          <w:tcPr>
            <w:tcW w:w="1985" w:type="dxa"/>
            <w:tcBorders>
              <w:top w:val="nil"/>
              <w:left w:val="nil"/>
              <w:bottom w:val="single" w:sz="4" w:space="0" w:color="auto"/>
              <w:right w:val="single" w:sz="4" w:space="0" w:color="auto"/>
            </w:tcBorders>
            <w:shd w:val="clear" w:color="auto" w:fill="auto"/>
            <w:vAlign w:val="center"/>
            <w:hideMark/>
          </w:tcPr>
          <w:p w14:paraId="39E331E5" w14:textId="77777777" w:rsidR="00E403D6" w:rsidRPr="00F10391" w:rsidRDefault="00E403D6" w:rsidP="0063065F">
            <w:pPr>
              <w:jc w:val="left"/>
            </w:pPr>
            <w:r w:rsidRPr="00F10391">
              <w:t>Demesouka, O. E.; Vavatsikos, A. P.; Anagnostopoulos, K. P.</w:t>
            </w:r>
          </w:p>
        </w:tc>
        <w:tc>
          <w:tcPr>
            <w:tcW w:w="2078" w:type="dxa"/>
            <w:tcBorders>
              <w:top w:val="nil"/>
              <w:left w:val="nil"/>
              <w:bottom w:val="single" w:sz="4" w:space="0" w:color="auto"/>
              <w:right w:val="single" w:sz="4" w:space="0" w:color="auto"/>
            </w:tcBorders>
            <w:shd w:val="clear" w:color="auto" w:fill="auto"/>
            <w:vAlign w:val="center"/>
            <w:hideMark/>
          </w:tcPr>
          <w:p w14:paraId="5BFDEEAA" w14:textId="77777777" w:rsidR="00E403D6" w:rsidRPr="00F10391" w:rsidRDefault="00E403D6" w:rsidP="0063065F">
            <w:pPr>
              <w:jc w:val="left"/>
            </w:pPr>
            <w:r w:rsidRPr="00F10391">
              <w:t>Waste Management &amp; Research. 2014;32(4):270-296</w:t>
            </w:r>
          </w:p>
        </w:tc>
        <w:tc>
          <w:tcPr>
            <w:tcW w:w="862" w:type="dxa"/>
            <w:tcBorders>
              <w:top w:val="nil"/>
              <w:left w:val="nil"/>
              <w:bottom w:val="single" w:sz="4" w:space="0" w:color="auto"/>
              <w:right w:val="single" w:sz="4" w:space="0" w:color="auto"/>
            </w:tcBorders>
            <w:shd w:val="clear" w:color="auto" w:fill="auto"/>
            <w:noWrap/>
            <w:vAlign w:val="center"/>
            <w:hideMark/>
          </w:tcPr>
          <w:p w14:paraId="37B9CCBF"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DF07ED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E3E2A6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EDDC2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D24A8F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27357C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DFA9E9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2A3F7E1" w14:textId="77777777" w:rsidR="00E403D6" w:rsidRPr="00F10391" w:rsidRDefault="00E403D6">
            <w:r w:rsidRPr="00F10391">
              <w:t>Not found</w:t>
            </w:r>
          </w:p>
        </w:tc>
      </w:tr>
      <w:tr w:rsidR="00E403D6" w:rsidRPr="00F10391" w14:paraId="2377B22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B44771E" w14:textId="77777777" w:rsidR="00E403D6" w:rsidRPr="00F10391" w:rsidRDefault="00E403D6" w:rsidP="0063065F">
            <w:pPr>
              <w:jc w:val="left"/>
            </w:pPr>
            <w:r w:rsidRPr="00F10391">
              <w:t>01/04/14</w:t>
            </w:r>
          </w:p>
        </w:tc>
        <w:tc>
          <w:tcPr>
            <w:tcW w:w="2720" w:type="dxa"/>
            <w:tcBorders>
              <w:top w:val="nil"/>
              <w:left w:val="nil"/>
              <w:bottom w:val="single" w:sz="4" w:space="0" w:color="auto"/>
              <w:right w:val="single" w:sz="4" w:space="0" w:color="auto"/>
            </w:tcBorders>
            <w:shd w:val="clear" w:color="auto" w:fill="auto"/>
            <w:vAlign w:val="center"/>
            <w:hideMark/>
          </w:tcPr>
          <w:p w14:paraId="5C9A6C79" w14:textId="77777777" w:rsidR="00E403D6" w:rsidRPr="00F10391" w:rsidRDefault="00E403D6" w:rsidP="0063065F">
            <w:pPr>
              <w:jc w:val="left"/>
            </w:pPr>
            <w:r w:rsidRPr="00F10391">
              <w:t>Regional Risk Assessment Approaches To Land Planning For Industrial Polluted Areas In China: The Hulunbeier Region Case Study</w:t>
            </w:r>
          </w:p>
        </w:tc>
        <w:tc>
          <w:tcPr>
            <w:tcW w:w="1985" w:type="dxa"/>
            <w:tcBorders>
              <w:top w:val="nil"/>
              <w:left w:val="nil"/>
              <w:bottom w:val="single" w:sz="4" w:space="0" w:color="auto"/>
              <w:right w:val="single" w:sz="4" w:space="0" w:color="auto"/>
            </w:tcBorders>
            <w:shd w:val="clear" w:color="auto" w:fill="auto"/>
            <w:vAlign w:val="center"/>
            <w:hideMark/>
          </w:tcPr>
          <w:p w14:paraId="2B404F1A" w14:textId="77777777" w:rsidR="00E403D6" w:rsidRPr="005D7324" w:rsidRDefault="00E403D6" w:rsidP="0063065F">
            <w:pPr>
              <w:jc w:val="left"/>
            </w:pPr>
            <w:r w:rsidRPr="005D7324">
              <w:t>Li, Daiqing; Zhang, Chen; Pizzol, Lisa; Critto, Andrea; Zhang, Haibo; Lv, Shihai; Marcomini, Antonio</w:t>
            </w:r>
          </w:p>
        </w:tc>
        <w:tc>
          <w:tcPr>
            <w:tcW w:w="2078" w:type="dxa"/>
            <w:tcBorders>
              <w:top w:val="nil"/>
              <w:left w:val="nil"/>
              <w:bottom w:val="single" w:sz="4" w:space="0" w:color="auto"/>
              <w:right w:val="single" w:sz="4" w:space="0" w:color="auto"/>
            </w:tcBorders>
            <w:shd w:val="clear" w:color="auto" w:fill="auto"/>
            <w:vAlign w:val="center"/>
            <w:hideMark/>
          </w:tcPr>
          <w:p w14:paraId="5D27568F" w14:textId="77777777" w:rsidR="00E403D6" w:rsidRPr="00F10391" w:rsidRDefault="00E403D6" w:rsidP="0063065F">
            <w:pPr>
              <w:jc w:val="left"/>
            </w:pPr>
            <w:r w:rsidRPr="00F10391">
              <w:t>Environment International. 2014;65():16-32</w:t>
            </w:r>
          </w:p>
        </w:tc>
        <w:tc>
          <w:tcPr>
            <w:tcW w:w="862" w:type="dxa"/>
            <w:tcBorders>
              <w:top w:val="nil"/>
              <w:left w:val="nil"/>
              <w:bottom w:val="single" w:sz="4" w:space="0" w:color="auto"/>
              <w:right w:val="single" w:sz="4" w:space="0" w:color="auto"/>
            </w:tcBorders>
            <w:shd w:val="clear" w:color="auto" w:fill="auto"/>
            <w:noWrap/>
            <w:vAlign w:val="center"/>
            <w:hideMark/>
          </w:tcPr>
          <w:p w14:paraId="49309C0B"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8DF21A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31A940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DACB4C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59FAB3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977C83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34926D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8641B4A" w14:textId="77777777" w:rsidR="00E403D6" w:rsidRPr="00F10391" w:rsidRDefault="00E403D6">
            <w:r w:rsidRPr="00F10391">
              <w:t>Not found</w:t>
            </w:r>
          </w:p>
        </w:tc>
      </w:tr>
      <w:tr w:rsidR="00E403D6" w:rsidRPr="00F10391" w14:paraId="519C488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1FABC4A" w14:textId="77777777" w:rsidR="00E403D6" w:rsidRPr="00F10391" w:rsidRDefault="00E403D6" w:rsidP="0063065F">
            <w:pPr>
              <w:jc w:val="left"/>
            </w:pPr>
            <w:r w:rsidRPr="00F10391">
              <w:t>01/05/14</w:t>
            </w:r>
          </w:p>
        </w:tc>
        <w:tc>
          <w:tcPr>
            <w:tcW w:w="2720" w:type="dxa"/>
            <w:tcBorders>
              <w:top w:val="nil"/>
              <w:left w:val="nil"/>
              <w:bottom w:val="single" w:sz="4" w:space="0" w:color="auto"/>
              <w:right w:val="single" w:sz="4" w:space="0" w:color="auto"/>
            </w:tcBorders>
            <w:shd w:val="clear" w:color="auto" w:fill="auto"/>
            <w:vAlign w:val="center"/>
            <w:hideMark/>
          </w:tcPr>
          <w:p w14:paraId="4B164437" w14:textId="77777777" w:rsidR="00E403D6" w:rsidRPr="00F10391" w:rsidRDefault="00E403D6" w:rsidP="0063065F">
            <w:pPr>
              <w:jc w:val="left"/>
            </w:pPr>
            <w:r w:rsidRPr="00F10391">
              <w:t>Application Of Hta Research On Policy Decision-Making.</w:t>
            </w:r>
          </w:p>
        </w:tc>
        <w:tc>
          <w:tcPr>
            <w:tcW w:w="1985" w:type="dxa"/>
            <w:tcBorders>
              <w:top w:val="nil"/>
              <w:left w:val="nil"/>
              <w:bottom w:val="single" w:sz="4" w:space="0" w:color="auto"/>
              <w:right w:val="single" w:sz="4" w:space="0" w:color="auto"/>
            </w:tcBorders>
            <w:shd w:val="clear" w:color="auto" w:fill="auto"/>
            <w:vAlign w:val="center"/>
            <w:hideMark/>
          </w:tcPr>
          <w:p w14:paraId="3043C9F3" w14:textId="77777777" w:rsidR="00E403D6" w:rsidRPr="00F10391" w:rsidRDefault="00E403D6" w:rsidP="0063065F">
            <w:pPr>
              <w:jc w:val="left"/>
            </w:pPr>
            <w:r w:rsidRPr="00F10391">
              <w:t>Youngkong, Sitaporn</w:t>
            </w:r>
          </w:p>
        </w:tc>
        <w:tc>
          <w:tcPr>
            <w:tcW w:w="2078" w:type="dxa"/>
            <w:tcBorders>
              <w:top w:val="nil"/>
              <w:left w:val="nil"/>
              <w:bottom w:val="single" w:sz="4" w:space="0" w:color="auto"/>
              <w:right w:val="single" w:sz="4" w:space="0" w:color="auto"/>
            </w:tcBorders>
            <w:shd w:val="clear" w:color="auto" w:fill="auto"/>
            <w:vAlign w:val="center"/>
            <w:hideMark/>
          </w:tcPr>
          <w:p w14:paraId="33A72C32" w14:textId="77777777" w:rsidR="00E403D6" w:rsidRPr="00F10391" w:rsidRDefault="00E403D6" w:rsidP="0063065F">
            <w:pPr>
              <w:jc w:val="left"/>
            </w:pPr>
            <w:r w:rsidRPr="00F10391">
              <w:t>Journal Of The Medical Association Of Thailand = Chotmaihet Thangphaet. 2014;97 Suppl 5():S119-26</w:t>
            </w:r>
          </w:p>
        </w:tc>
        <w:tc>
          <w:tcPr>
            <w:tcW w:w="862" w:type="dxa"/>
            <w:tcBorders>
              <w:top w:val="nil"/>
              <w:left w:val="nil"/>
              <w:bottom w:val="single" w:sz="4" w:space="0" w:color="auto"/>
              <w:right w:val="single" w:sz="4" w:space="0" w:color="auto"/>
            </w:tcBorders>
            <w:shd w:val="clear" w:color="auto" w:fill="auto"/>
            <w:noWrap/>
            <w:vAlign w:val="center"/>
            <w:hideMark/>
          </w:tcPr>
          <w:p w14:paraId="2F57477E"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25E71A2"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3C3A2AE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E8D55C3"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F1FCBE5"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1DDD08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596B28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14C927A" w14:textId="77777777" w:rsidR="00E403D6" w:rsidRPr="00F10391" w:rsidRDefault="00E403D6">
            <w:r w:rsidRPr="00F10391">
              <w:t>Not found</w:t>
            </w:r>
          </w:p>
        </w:tc>
      </w:tr>
      <w:tr w:rsidR="00E403D6" w:rsidRPr="00F10391" w14:paraId="20EDBF8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398618D" w14:textId="77777777" w:rsidR="00E403D6" w:rsidRPr="00F10391" w:rsidRDefault="00E403D6" w:rsidP="0063065F">
            <w:pPr>
              <w:jc w:val="left"/>
            </w:pPr>
            <w:r w:rsidRPr="00F10391">
              <w:t>13/05/14</w:t>
            </w:r>
          </w:p>
        </w:tc>
        <w:tc>
          <w:tcPr>
            <w:tcW w:w="2720" w:type="dxa"/>
            <w:tcBorders>
              <w:top w:val="nil"/>
              <w:left w:val="nil"/>
              <w:bottom w:val="single" w:sz="4" w:space="0" w:color="auto"/>
              <w:right w:val="single" w:sz="4" w:space="0" w:color="auto"/>
            </w:tcBorders>
            <w:shd w:val="clear" w:color="auto" w:fill="auto"/>
            <w:vAlign w:val="center"/>
            <w:hideMark/>
          </w:tcPr>
          <w:p w14:paraId="37E342A1" w14:textId="77777777" w:rsidR="00E403D6" w:rsidRPr="00F10391" w:rsidRDefault="00E403D6" w:rsidP="0063065F">
            <w:pPr>
              <w:jc w:val="left"/>
            </w:pPr>
            <w:r w:rsidRPr="00F10391">
              <w:t>Changing Priority Setting Practice: The Role Of Implementation In Practice Change.</w:t>
            </w:r>
          </w:p>
        </w:tc>
        <w:tc>
          <w:tcPr>
            <w:tcW w:w="1985" w:type="dxa"/>
            <w:tcBorders>
              <w:top w:val="nil"/>
              <w:left w:val="nil"/>
              <w:bottom w:val="single" w:sz="4" w:space="0" w:color="auto"/>
              <w:right w:val="single" w:sz="4" w:space="0" w:color="auto"/>
            </w:tcBorders>
            <w:shd w:val="clear" w:color="auto" w:fill="auto"/>
            <w:vAlign w:val="center"/>
            <w:hideMark/>
          </w:tcPr>
          <w:p w14:paraId="247FDD40" w14:textId="77777777" w:rsidR="00E403D6" w:rsidRPr="00F10391" w:rsidRDefault="00E403D6" w:rsidP="0063065F">
            <w:pPr>
              <w:jc w:val="left"/>
            </w:pPr>
            <w:r w:rsidRPr="00F10391">
              <w:t>Cornelissen E, Mitton C, Davidson A, Reid Rc, Hole R, Visockas Am, Smith N.</w:t>
            </w:r>
          </w:p>
        </w:tc>
        <w:tc>
          <w:tcPr>
            <w:tcW w:w="2078" w:type="dxa"/>
            <w:tcBorders>
              <w:top w:val="nil"/>
              <w:left w:val="nil"/>
              <w:bottom w:val="single" w:sz="4" w:space="0" w:color="auto"/>
              <w:right w:val="single" w:sz="4" w:space="0" w:color="auto"/>
            </w:tcBorders>
            <w:shd w:val="clear" w:color="auto" w:fill="auto"/>
            <w:vAlign w:val="center"/>
            <w:hideMark/>
          </w:tcPr>
          <w:p w14:paraId="5857B405" w14:textId="77777777" w:rsidR="00E403D6" w:rsidRPr="00F10391" w:rsidRDefault="00E403D6" w:rsidP="0063065F">
            <w:pPr>
              <w:jc w:val="left"/>
            </w:pPr>
            <w:r w:rsidRPr="00F10391">
              <w:t>Health Policy. 2014 Aug;117(2):266-74. Doi: 10.1016/J.Healthpol.2014.04.010. Epub 2014 Apr 27.</w:t>
            </w:r>
          </w:p>
        </w:tc>
        <w:tc>
          <w:tcPr>
            <w:tcW w:w="862" w:type="dxa"/>
            <w:tcBorders>
              <w:top w:val="nil"/>
              <w:left w:val="nil"/>
              <w:bottom w:val="single" w:sz="4" w:space="0" w:color="auto"/>
              <w:right w:val="single" w:sz="4" w:space="0" w:color="auto"/>
            </w:tcBorders>
            <w:shd w:val="clear" w:color="auto" w:fill="auto"/>
            <w:noWrap/>
            <w:vAlign w:val="center"/>
            <w:hideMark/>
          </w:tcPr>
          <w:p w14:paraId="37A2008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CFA22C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31575A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4E579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D82F4E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3F92EF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98C4BE5"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06485B93" w14:textId="77777777" w:rsidR="00E403D6" w:rsidRPr="00F10391" w:rsidRDefault="00E403D6">
            <w:r w:rsidRPr="00F10391">
              <w:t>Not found</w:t>
            </w:r>
          </w:p>
        </w:tc>
      </w:tr>
      <w:tr w:rsidR="00E403D6" w:rsidRPr="00F10391" w14:paraId="5E92744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BD9E041" w14:textId="77777777" w:rsidR="00E403D6" w:rsidRPr="00F10391" w:rsidRDefault="00E403D6" w:rsidP="0063065F">
            <w:pPr>
              <w:jc w:val="left"/>
            </w:pPr>
            <w:r w:rsidRPr="00F10391">
              <w:t>24/05/14</w:t>
            </w:r>
          </w:p>
        </w:tc>
        <w:tc>
          <w:tcPr>
            <w:tcW w:w="2720" w:type="dxa"/>
            <w:tcBorders>
              <w:top w:val="nil"/>
              <w:left w:val="nil"/>
              <w:bottom w:val="single" w:sz="4" w:space="0" w:color="auto"/>
              <w:right w:val="single" w:sz="4" w:space="0" w:color="auto"/>
            </w:tcBorders>
            <w:shd w:val="clear" w:color="auto" w:fill="auto"/>
            <w:vAlign w:val="center"/>
            <w:hideMark/>
          </w:tcPr>
          <w:p w14:paraId="507D169F" w14:textId="77777777" w:rsidR="00E403D6" w:rsidRPr="00F10391" w:rsidRDefault="00E403D6" w:rsidP="0063065F">
            <w:pPr>
              <w:jc w:val="left"/>
            </w:pPr>
            <w:r w:rsidRPr="00F10391">
              <w:t>Facilitators And Barriers To Quality Of Care In Maternal, Newborn And Child Health: A Global Situational Analysis Through Metareview.</w:t>
            </w:r>
          </w:p>
        </w:tc>
        <w:tc>
          <w:tcPr>
            <w:tcW w:w="1985" w:type="dxa"/>
            <w:tcBorders>
              <w:top w:val="nil"/>
              <w:left w:val="nil"/>
              <w:bottom w:val="single" w:sz="4" w:space="0" w:color="auto"/>
              <w:right w:val="single" w:sz="4" w:space="0" w:color="auto"/>
            </w:tcBorders>
            <w:shd w:val="clear" w:color="auto" w:fill="auto"/>
            <w:vAlign w:val="center"/>
            <w:hideMark/>
          </w:tcPr>
          <w:p w14:paraId="69D9B903" w14:textId="77777777" w:rsidR="00E403D6" w:rsidRPr="00F10391" w:rsidRDefault="00E403D6" w:rsidP="0063065F">
            <w:pPr>
              <w:jc w:val="left"/>
            </w:pPr>
            <w:r w:rsidRPr="00F10391">
              <w:t>Nair M, Yoshida S, Lambrechts T, Boschi-Pinto C, Bose K, Mason Em, Mathai M.</w:t>
            </w:r>
          </w:p>
        </w:tc>
        <w:tc>
          <w:tcPr>
            <w:tcW w:w="2078" w:type="dxa"/>
            <w:tcBorders>
              <w:top w:val="nil"/>
              <w:left w:val="nil"/>
              <w:bottom w:val="single" w:sz="4" w:space="0" w:color="auto"/>
              <w:right w:val="single" w:sz="4" w:space="0" w:color="auto"/>
            </w:tcBorders>
            <w:shd w:val="clear" w:color="auto" w:fill="auto"/>
            <w:vAlign w:val="center"/>
            <w:hideMark/>
          </w:tcPr>
          <w:p w14:paraId="609B8D77" w14:textId="77777777" w:rsidR="00E403D6" w:rsidRPr="00F10391" w:rsidRDefault="00E403D6" w:rsidP="0063065F">
            <w:pPr>
              <w:jc w:val="left"/>
            </w:pPr>
            <w:r w:rsidRPr="00F10391">
              <w:t>Bmj Open. 2014 May 22;4(5):E004749. Doi: 10.1136/Bmjopen-2013-004749.</w:t>
            </w:r>
          </w:p>
        </w:tc>
        <w:tc>
          <w:tcPr>
            <w:tcW w:w="862" w:type="dxa"/>
            <w:tcBorders>
              <w:top w:val="nil"/>
              <w:left w:val="nil"/>
              <w:bottom w:val="single" w:sz="4" w:space="0" w:color="auto"/>
              <w:right w:val="single" w:sz="4" w:space="0" w:color="auto"/>
            </w:tcBorders>
            <w:shd w:val="clear" w:color="auto" w:fill="auto"/>
            <w:noWrap/>
            <w:vAlign w:val="center"/>
            <w:hideMark/>
          </w:tcPr>
          <w:p w14:paraId="4A8F053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BC7F9E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1CAF47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11B2F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C0C05C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4563E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517586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BA686EA" w14:textId="77777777" w:rsidR="00E403D6" w:rsidRPr="00F10391" w:rsidRDefault="00E403D6">
            <w:r w:rsidRPr="00F10391">
              <w:t>Not found</w:t>
            </w:r>
          </w:p>
        </w:tc>
      </w:tr>
      <w:tr w:rsidR="00E403D6" w:rsidRPr="00F10391" w14:paraId="07EBDC9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383CD9E" w14:textId="77777777" w:rsidR="00E403D6" w:rsidRPr="00F10391" w:rsidRDefault="00E403D6" w:rsidP="0063065F">
            <w:pPr>
              <w:jc w:val="left"/>
            </w:pPr>
            <w:r w:rsidRPr="00F10391">
              <w:t>01/06/14</w:t>
            </w:r>
          </w:p>
        </w:tc>
        <w:tc>
          <w:tcPr>
            <w:tcW w:w="2720" w:type="dxa"/>
            <w:tcBorders>
              <w:top w:val="nil"/>
              <w:left w:val="nil"/>
              <w:bottom w:val="single" w:sz="4" w:space="0" w:color="auto"/>
              <w:right w:val="single" w:sz="4" w:space="0" w:color="auto"/>
            </w:tcBorders>
            <w:shd w:val="clear" w:color="auto" w:fill="auto"/>
            <w:vAlign w:val="center"/>
            <w:hideMark/>
          </w:tcPr>
          <w:p w14:paraId="6273E99B" w14:textId="77777777" w:rsidR="00E403D6" w:rsidRPr="00F10391" w:rsidRDefault="00E403D6" w:rsidP="0063065F">
            <w:pPr>
              <w:jc w:val="left"/>
            </w:pPr>
            <w:r w:rsidRPr="00F10391">
              <w:t>Priority Setting For The Prevention And Control Of Cardiovascular Diseases: Multi-Criteria Decision Analysis In Four Eastern Mediterranean Countries.</w:t>
            </w:r>
          </w:p>
        </w:tc>
        <w:tc>
          <w:tcPr>
            <w:tcW w:w="1985" w:type="dxa"/>
            <w:tcBorders>
              <w:top w:val="nil"/>
              <w:left w:val="nil"/>
              <w:bottom w:val="single" w:sz="4" w:space="0" w:color="auto"/>
              <w:right w:val="single" w:sz="4" w:space="0" w:color="auto"/>
            </w:tcBorders>
            <w:shd w:val="clear" w:color="auto" w:fill="auto"/>
            <w:vAlign w:val="center"/>
            <w:hideMark/>
          </w:tcPr>
          <w:p w14:paraId="13D5DCE4" w14:textId="77777777" w:rsidR="00E403D6" w:rsidRPr="00F10391" w:rsidRDefault="00E403D6" w:rsidP="0063065F">
            <w:pPr>
              <w:jc w:val="left"/>
            </w:pPr>
            <w:r w:rsidRPr="00F10391">
              <w:t>Ghandour R, Shoaibi A, Khatib R, Abu Rmeileh N, Unal B, Sí_Zmen K, Kñ±Lñ±Í_ B, Fouad F, Al Ali R, Ben Romdhane H, Aissi W, Ahmad B, Capewell S, Critchley J, Husseini A.</w:t>
            </w:r>
          </w:p>
        </w:tc>
        <w:tc>
          <w:tcPr>
            <w:tcW w:w="2078" w:type="dxa"/>
            <w:tcBorders>
              <w:top w:val="nil"/>
              <w:left w:val="nil"/>
              <w:bottom w:val="single" w:sz="4" w:space="0" w:color="auto"/>
              <w:right w:val="single" w:sz="4" w:space="0" w:color="auto"/>
            </w:tcBorders>
            <w:shd w:val="clear" w:color="auto" w:fill="auto"/>
            <w:vAlign w:val="center"/>
            <w:hideMark/>
          </w:tcPr>
          <w:p w14:paraId="0E87DACB" w14:textId="77777777" w:rsidR="00E403D6" w:rsidRPr="00F10391" w:rsidRDefault="00E403D6" w:rsidP="0063065F">
            <w:pPr>
              <w:jc w:val="left"/>
            </w:pPr>
            <w:r w:rsidRPr="00F10391">
              <w:t>Int J Public Health. 2014 May 31. [Epub Ahead Of Print]</w:t>
            </w:r>
          </w:p>
        </w:tc>
        <w:tc>
          <w:tcPr>
            <w:tcW w:w="862" w:type="dxa"/>
            <w:tcBorders>
              <w:top w:val="nil"/>
              <w:left w:val="nil"/>
              <w:bottom w:val="single" w:sz="4" w:space="0" w:color="auto"/>
              <w:right w:val="single" w:sz="4" w:space="0" w:color="auto"/>
            </w:tcBorders>
            <w:shd w:val="clear" w:color="auto" w:fill="auto"/>
            <w:noWrap/>
            <w:vAlign w:val="center"/>
            <w:hideMark/>
          </w:tcPr>
          <w:p w14:paraId="0CE1478F"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982FA10"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0C00BB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8EEF8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08906B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3D32BB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740DCC8"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5E629B47" w14:textId="77777777" w:rsidR="00E403D6" w:rsidRPr="00F10391" w:rsidRDefault="00E403D6">
            <w:r w:rsidRPr="00F10391">
              <w:t>Not found</w:t>
            </w:r>
          </w:p>
        </w:tc>
      </w:tr>
      <w:tr w:rsidR="00E403D6" w:rsidRPr="00F10391" w14:paraId="7980A97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E7A78F9" w14:textId="77777777" w:rsidR="00E403D6" w:rsidRPr="00F10391" w:rsidRDefault="00E403D6" w:rsidP="0063065F">
            <w:pPr>
              <w:jc w:val="left"/>
            </w:pPr>
            <w:r w:rsidRPr="00F10391">
              <w:t>Jun-14</w:t>
            </w:r>
          </w:p>
        </w:tc>
        <w:tc>
          <w:tcPr>
            <w:tcW w:w="2720" w:type="dxa"/>
            <w:tcBorders>
              <w:top w:val="nil"/>
              <w:left w:val="nil"/>
              <w:bottom w:val="single" w:sz="4" w:space="0" w:color="auto"/>
              <w:right w:val="single" w:sz="4" w:space="0" w:color="auto"/>
            </w:tcBorders>
            <w:shd w:val="clear" w:color="auto" w:fill="auto"/>
            <w:vAlign w:val="center"/>
            <w:hideMark/>
          </w:tcPr>
          <w:p w14:paraId="3B7FECC8" w14:textId="77777777" w:rsidR="00E403D6" w:rsidRPr="00F10391" w:rsidRDefault="00E403D6" w:rsidP="0063065F">
            <w:pPr>
              <w:jc w:val="left"/>
            </w:pPr>
            <w:r w:rsidRPr="00F10391">
              <w:t>Assessment Methods For Solid Waste Management: A Literature Review</w:t>
            </w:r>
          </w:p>
        </w:tc>
        <w:tc>
          <w:tcPr>
            <w:tcW w:w="1985" w:type="dxa"/>
            <w:tcBorders>
              <w:top w:val="nil"/>
              <w:left w:val="nil"/>
              <w:bottom w:val="single" w:sz="4" w:space="0" w:color="auto"/>
              <w:right w:val="single" w:sz="4" w:space="0" w:color="auto"/>
            </w:tcBorders>
            <w:shd w:val="clear" w:color="auto" w:fill="auto"/>
            <w:vAlign w:val="center"/>
            <w:hideMark/>
          </w:tcPr>
          <w:p w14:paraId="35AB861B" w14:textId="77777777" w:rsidR="00E403D6" w:rsidRPr="00F10391" w:rsidRDefault="00E403D6" w:rsidP="0063065F">
            <w:pPr>
              <w:jc w:val="left"/>
            </w:pPr>
            <w:r w:rsidRPr="00F10391">
              <w:t>Allesch, Astrid; Brunner, Paul H.</w:t>
            </w:r>
          </w:p>
        </w:tc>
        <w:tc>
          <w:tcPr>
            <w:tcW w:w="2078" w:type="dxa"/>
            <w:tcBorders>
              <w:top w:val="nil"/>
              <w:left w:val="nil"/>
              <w:bottom w:val="single" w:sz="4" w:space="0" w:color="auto"/>
              <w:right w:val="single" w:sz="4" w:space="0" w:color="auto"/>
            </w:tcBorders>
            <w:shd w:val="clear" w:color="auto" w:fill="auto"/>
            <w:vAlign w:val="center"/>
            <w:hideMark/>
          </w:tcPr>
          <w:p w14:paraId="10447E4C" w14:textId="77777777" w:rsidR="00E403D6" w:rsidRPr="00F10391" w:rsidRDefault="00E403D6" w:rsidP="0063065F">
            <w:pPr>
              <w:jc w:val="left"/>
            </w:pPr>
            <w:r w:rsidRPr="00F10391">
              <w:t>Waste Management &amp; Research 2014. 32 6 461-473 10.1177/0734242X14535653</w:t>
            </w:r>
          </w:p>
        </w:tc>
        <w:tc>
          <w:tcPr>
            <w:tcW w:w="862" w:type="dxa"/>
            <w:tcBorders>
              <w:top w:val="nil"/>
              <w:left w:val="nil"/>
              <w:bottom w:val="single" w:sz="4" w:space="0" w:color="auto"/>
              <w:right w:val="single" w:sz="4" w:space="0" w:color="auto"/>
            </w:tcBorders>
            <w:shd w:val="clear" w:color="auto" w:fill="auto"/>
            <w:noWrap/>
            <w:vAlign w:val="center"/>
            <w:hideMark/>
          </w:tcPr>
          <w:p w14:paraId="2EADDDD6"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5F24255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8BA840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668DF0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042115A"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1A06782"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1AFE0C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43504555" w14:textId="77777777" w:rsidR="00E403D6" w:rsidRPr="00F10391" w:rsidRDefault="00E403D6">
            <w:r w:rsidRPr="00F10391">
              <w:t>Not found</w:t>
            </w:r>
          </w:p>
        </w:tc>
      </w:tr>
      <w:tr w:rsidR="00E403D6" w:rsidRPr="00F10391" w14:paraId="5692CFC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7F12C8A" w14:textId="77777777" w:rsidR="00E403D6" w:rsidRPr="00F10391" w:rsidRDefault="00E403D6" w:rsidP="0063065F">
            <w:pPr>
              <w:jc w:val="left"/>
            </w:pPr>
            <w:r w:rsidRPr="00F10391">
              <w:t>03/06/14</w:t>
            </w:r>
          </w:p>
        </w:tc>
        <w:tc>
          <w:tcPr>
            <w:tcW w:w="2720" w:type="dxa"/>
            <w:tcBorders>
              <w:top w:val="nil"/>
              <w:left w:val="nil"/>
              <w:bottom w:val="single" w:sz="4" w:space="0" w:color="auto"/>
              <w:right w:val="single" w:sz="4" w:space="0" w:color="auto"/>
            </w:tcBorders>
            <w:shd w:val="clear" w:color="auto" w:fill="auto"/>
            <w:vAlign w:val="center"/>
            <w:hideMark/>
          </w:tcPr>
          <w:p w14:paraId="5A4697E7" w14:textId="77777777" w:rsidR="00E403D6" w:rsidRPr="00F10391" w:rsidRDefault="00E403D6" w:rsidP="0063065F">
            <w:pPr>
              <w:jc w:val="left"/>
            </w:pPr>
            <w:r w:rsidRPr="00F10391">
              <w:t>Determining And Broadening The Definition Of Impact From Implementing A Rational Priority Setting Approach In A Healthcare Organization.</w:t>
            </w:r>
          </w:p>
        </w:tc>
        <w:tc>
          <w:tcPr>
            <w:tcW w:w="1985" w:type="dxa"/>
            <w:tcBorders>
              <w:top w:val="nil"/>
              <w:left w:val="nil"/>
              <w:bottom w:val="single" w:sz="4" w:space="0" w:color="auto"/>
              <w:right w:val="single" w:sz="4" w:space="0" w:color="auto"/>
            </w:tcBorders>
            <w:shd w:val="clear" w:color="auto" w:fill="auto"/>
            <w:vAlign w:val="center"/>
            <w:hideMark/>
          </w:tcPr>
          <w:p w14:paraId="613E56BA" w14:textId="77777777" w:rsidR="00E403D6" w:rsidRPr="00F10391" w:rsidRDefault="00E403D6" w:rsidP="0063065F">
            <w:pPr>
              <w:jc w:val="left"/>
            </w:pPr>
            <w:r w:rsidRPr="00F10391">
              <w:t>Cornelissen E, Mitton C, Davidson A, Reid C, Hole R, Visockas Am, Smith N.</w:t>
            </w:r>
          </w:p>
        </w:tc>
        <w:tc>
          <w:tcPr>
            <w:tcW w:w="2078" w:type="dxa"/>
            <w:tcBorders>
              <w:top w:val="nil"/>
              <w:left w:val="nil"/>
              <w:bottom w:val="single" w:sz="4" w:space="0" w:color="auto"/>
              <w:right w:val="single" w:sz="4" w:space="0" w:color="auto"/>
            </w:tcBorders>
            <w:shd w:val="clear" w:color="auto" w:fill="auto"/>
            <w:vAlign w:val="center"/>
            <w:hideMark/>
          </w:tcPr>
          <w:p w14:paraId="2F92074C" w14:textId="77777777" w:rsidR="00E403D6" w:rsidRPr="00F10391" w:rsidRDefault="00E403D6" w:rsidP="0063065F">
            <w:pPr>
              <w:jc w:val="left"/>
            </w:pPr>
            <w:r w:rsidRPr="00F10391">
              <w:t>Soc Sci Med. 2014 Aug;114:1-9. Doi: 10.1016/J.Socscimed.2014.05.027. Epub 2014 May 20.</w:t>
            </w:r>
          </w:p>
        </w:tc>
        <w:tc>
          <w:tcPr>
            <w:tcW w:w="862" w:type="dxa"/>
            <w:tcBorders>
              <w:top w:val="nil"/>
              <w:left w:val="nil"/>
              <w:bottom w:val="single" w:sz="4" w:space="0" w:color="auto"/>
              <w:right w:val="single" w:sz="4" w:space="0" w:color="auto"/>
            </w:tcBorders>
            <w:shd w:val="clear" w:color="auto" w:fill="auto"/>
            <w:noWrap/>
            <w:vAlign w:val="center"/>
            <w:hideMark/>
          </w:tcPr>
          <w:p w14:paraId="102EAD67"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69BF042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00E83A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DCE4A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03C856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CD5A23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ABE13B7"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69074299" w14:textId="77777777" w:rsidR="00E403D6" w:rsidRPr="00F10391" w:rsidRDefault="00E403D6">
            <w:r w:rsidRPr="00F10391">
              <w:t>Not found</w:t>
            </w:r>
          </w:p>
        </w:tc>
      </w:tr>
      <w:tr w:rsidR="00E403D6" w:rsidRPr="00F10391" w14:paraId="6E3B6CF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93B0513" w14:textId="77777777" w:rsidR="00E403D6" w:rsidRPr="00F10391" w:rsidRDefault="00E403D6" w:rsidP="0063065F">
            <w:pPr>
              <w:jc w:val="left"/>
            </w:pPr>
            <w:r w:rsidRPr="00F10391">
              <w:t>27/06/14</w:t>
            </w:r>
          </w:p>
        </w:tc>
        <w:tc>
          <w:tcPr>
            <w:tcW w:w="2720" w:type="dxa"/>
            <w:tcBorders>
              <w:top w:val="nil"/>
              <w:left w:val="nil"/>
              <w:bottom w:val="single" w:sz="4" w:space="0" w:color="auto"/>
              <w:right w:val="single" w:sz="4" w:space="0" w:color="auto"/>
            </w:tcBorders>
            <w:shd w:val="clear" w:color="auto" w:fill="auto"/>
            <w:vAlign w:val="center"/>
            <w:hideMark/>
          </w:tcPr>
          <w:p w14:paraId="483E91AE" w14:textId="77777777" w:rsidR="00E403D6" w:rsidRPr="00F10391" w:rsidRDefault="00E403D6" w:rsidP="0063065F">
            <w:pPr>
              <w:jc w:val="left"/>
            </w:pPr>
            <w:r w:rsidRPr="00F10391">
              <w:t>Application Of Hta Research On Policy Decision-Making.</w:t>
            </w:r>
          </w:p>
        </w:tc>
        <w:tc>
          <w:tcPr>
            <w:tcW w:w="1985" w:type="dxa"/>
            <w:tcBorders>
              <w:top w:val="nil"/>
              <w:left w:val="nil"/>
              <w:bottom w:val="single" w:sz="4" w:space="0" w:color="auto"/>
              <w:right w:val="single" w:sz="4" w:space="0" w:color="auto"/>
            </w:tcBorders>
            <w:shd w:val="clear" w:color="auto" w:fill="auto"/>
            <w:vAlign w:val="center"/>
            <w:hideMark/>
          </w:tcPr>
          <w:p w14:paraId="236789A5" w14:textId="77777777" w:rsidR="00E403D6" w:rsidRPr="00F10391" w:rsidRDefault="00E403D6" w:rsidP="0063065F">
            <w:pPr>
              <w:jc w:val="left"/>
            </w:pPr>
            <w:r w:rsidRPr="00F10391">
              <w:t>Youngkong S.</w:t>
            </w:r>
          </w:p>
        </w:tc>
        <w:tc>
          <w:tcPr>
            <w:tcW w:w="2078" w:type="dxa"/>
            <w:tcBorders>
              <w:top w:val="nil"/>
              <w:left w:val="nil"/>
              <w:bottom w:val="single" w:sz="4" w:space="0" w:color="auto"/>
              <w:right w:val="single" w:sz="4" w:space="0" w:color="auto"/>
            </w:tcBorders>
            <w:shd w:val="clear" w:color="auto" w:fill="auto"/>
            <w:vAlign w:val="center"/>
            <w:hideMark/>
          </w:tcPr>
          <w:p w14:paraId="561832B7" w14:textId="77777777" w:rsidR="00E403D6" w:rsidRPr="00F10391" w:rsidRDefault="00E403D6" w:rsidP="0063065F">
            <w:pPr>
              <w:jc w:val="left"/>
            </w:pPr>
            <w:r w:rsidRPr="00F10391">
              <w:t>J Med Assoc Thai. 2014 May;97 Suppl 5:S119-26.</w:t>
            </w:r>
          </w:p>
        </w:tc>
        <w:tc>
          <w:tcPr>
            <w:tcW w:w="862" w:type="dxa"/>
            <w:tcBorders>
              <w:top w:val="nil"/>
              <w:left w:val="nil"/>
              <w:bottom w:val="single" w:sz="4" w:space="0" w:color="auto"/>
              <w:right w:val="single" w:sz="4" w:space="0" w:color="auto"/>
            </w:tcBorders>
            <w:shd w:val="clear" w:color="auto" w:fill="auto"/>
            <w:noWrap/>
            <w:vAlign w:val="center"/>
            <w:hideMark/>
          </w:tcPr>
          <w:p w14:paraId="795E840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9FBC97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B6C109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BC4C266"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662AB94"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225D358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CDAE03E"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3D99BD1" w14:textId="77777777" w:rsidR="00E403D6" w:rsidRPr="00F10391" w:rsidRDefault="00E403D6">
            <w:r w:rsidRPr="00F10391">
              <w:t>Not found</w:t>
            </w:r>
          </w:p>
        </w:tc>
      </w:tr>
      <w:tr w:rsidR="00E403D6" w:rsidRPr="00F10391" w14:paraId="1D489A4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8D09AAB" w14:textId="77777777" w:rsidR="00E403D6" w:rsidRPr="00F10391" w:rsidRDefault="00E403D6" w:rsidP="0063065F">
            <w:pPr>
              <w:jc w:val="left"/>
            </w:pPr>
            <w:r w:rsidRPr="00F10391">
              <w:t>01/07/14</w:t>
            </w:r>
          </w:p>
        </w:tc>
        <w:tc>
          <w:tcPr>
            <w:tcW w:w="2720" w:type="dxa"/>
            <w:tcBorders>
              <w:top w:val="nil"/>
              <w:left w:val="nil"/>
              <w:bottom w:val="single" w:sz="4" w:space="0" w:color="auto"/>
              <w:right w:val="single" w:sz="4" w:space="0" w:color="auto"/>
            </w:tcBorders>
            <w:shd w:val="clear" w:color="auto" w:fill="auto"/>
            <w:vAlign w:val="center"/>
            <w:hideMark/>
          </w:tcPr>
          <w:p w14:paraId="75CA8908" w14:textId="77777777" w:rsidR="00E403D6" w:rsidRPr="00F10391" w:rsidRDefault="00E403D6" w:rsidP="0063065F">
            <w:pPr>
              <w:jc w:val="left"/>
            </w:pPr>
            <w:r w:rsidRPr="00F10391">
              <w:t>Participatory Risk Mapping Of Malaria Vector Exposure In Northern South America Using Environmental And Population Data.</w:t>
            </w:r>
          </w:p>
        </w:tc>
        <w:tc>
          <w:tcPr>
            <w:tcW w:w="1985" w:type="dxa"/>
            <w:tcBorders>
              <w:top w:val="nil"/>
              <w:left w:val="nil"/>
              <w:bottom w:val="single" w:sz="4" w:space="0" w:color="auto"/>
              <w:right w:val="single" w:sz="4" w:space="0" w:color="auto"/>
            </w:tcBorders>
            <w:shd w:val="clear" w:color="auto" w:fill="auto"/>
            <w:vAlign w:val="center"/>
            <w:hideMark/>
          </w:tcPr>
          <w:p w14:paraId="75F7DBEF" w14:textId="77777777" w:rsidR="00E403D6" w:rsidRPr="00F10391" w:rsidRDefault="00E403D6" w:rsidP="0063065F">
            <w:pPr>
              <w:jc w:val="left"/>
            </w:pPr>
            <w:r w:rsidRPr="00F10391">
              <w:t>Fuller Do, Troyo A, Alimi To, Beier Jc.</w:t>
            </w:r>
          </w:p>
        </w:tc>
        <w:tc>
          <w:tcPr>
            <w:tcW w:w="2078" w:type="dxa"/>
            <w:tcBorders>
              <w:top w:val="nil"/>
              <w:left w:val="nil"/>
              <w:bottom w:val="single" w:sz="4" w:space="0" w:color="auto"/>
              <w:right w:val="single" w:sz="4" w:space="0" w:color="auto"/>
            </w:tcBorders>
            <w:shd w:val="clear" w:color="auto" w:fill="auto"/>
            <w:vAlign w:val="center"/>
            <w:hideMark/>
          </w:tcPr>
          <w:p w14:paraId="40BD4C8C" w14:textId="77777777" w:rsidR="00E403D6" w:rsidRPr="00F10391" w:rsidRDefault="00E403D6" w:rsidP="0063065F">
            <w:pPr>
              <w:jc w:val="left"/>
            </w:pPr>
            <w:r w:rsidRPr="00F10391">
              <w:t>Appl Geogr. 2014 Mar 1;48:1-7.</w:t>
            </w:r>
          </w:p>
        </w:tc>
        <w:tc>
          <w:tcPr>
            <w:tcW w:w="862" w:type="dxa"/>
            <w:tcBorders>
              <w:top w:val="nil"/>
              <w:left w:val="nil"/>
              <w:bottom w:val="single" w:sz="4" w:space="0" w:color="auto"/>
              <w:right w:val="single" w:sz="4" w:space="0" w:color="auto"/>
            </w:tcBorders>
            <w:shd w:val="clear" w:color="auto" w:fill="auto"/>
            <w:noWrap/>
            <w:vAlign w:val="center"/>
            <w:hideMark/>
          </w:tcPr>
          <w:p w14:paraId="392E5FEA"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432271AB"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B6F88E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0E419A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9B9E32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B4D33A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BC45720"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364F5A51" w14:textId="77777777" w:rsidR="00E403D6" w:rsidRPr="00F10391" w:rsidRDefault="00E403D6">
            <w:r w:rsidRPr="00F10391">
              <w:t>Not found</w:t>
            </w:r>
          </w:p>
        </w:tc>
      </w:tr>
      <w:tr w:rsidR="00E403D6" w:rsidRPr="00F10391" w14:paraId="2940524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553B997" w14:textId="77777777" w:rsidR="00E403D6" w:rsidRPr="00F10391" w:rsidRDefault="00E403D6" w:rsidP="0063065F">
            <w:pPr>
              <w:jc w:val="left"/>
            </w:pPr>
            <w:r w:rsidRPr="00F10391">
              <w:t>01/07/14</w:t>
            </w:r>
          </w:p>
        </w:tc>
        <w:tc>
          <w:tcPr>
            <w:tcW w:w="2720" w:type="dxa"/>
            <w:tcBorders>
              <w:top w:val="nil"/>
              <w:left w:val="nil"/>
              <w:bottom w:val="single" w:sz="4" w:space="0" w:color="auto"/>
              <w:right w:val="single" w:sz="4" w:space="0" w:color="auto"/>
            </w:tcBorders>
            <w:shd w:val="clear" w:color="auto" w:fill="auto"/>
            <w:vAlign w:val="center"/>
            <w:hideMark/>
          </w:tcPr>
          <w:p w14:paraId="78038BE0" w14:textId="77777777" w:rsidR="00E403D6" w:rsidRPr="00F10391" w:rsidRDefault="00E403D6" w:rsidP="0063065F">
            <w:pPr>
              <w:jc w:val="left"/>
            </w:pPr>
            <w:r w:rsidRPr="00F10391">
              <w:t>Using Soil Function Evaluation In Multi-Criteria Decision Analysis For Sustainability Appraisal Of Remediation Alternatives</w:t>
            </w:r>
          </w:p>
        </w:tc>
        <w:tc>
          <w:tcPr>
            <w:tcW w:w="1985" w:type="dxa"/>
            <w:tcBorders>
              <w:top w:val="nil"/>
              <w:left w:val="nil"/>
              <w:bottom w:val="single" w:sz="4" w:space="0" w:color="auto"/>
              <w:right w:val="single" w:sz="4" w:space="0" w:color="auto"/>
            </w:tcBorders>
            <w:shd w:val="clear" w:color="auto" w:fill="auto"/>
            <w:vAlign w:val="center"/>
            <w:hideMark/>
          </w:tcPr>
          <w:p w14:paraId="3B1A0F27" w14:textId="77777777" w:rsidR="00E403D6" w:rsidRPr="00F10391" w:rsidRDefault="00E403D6" w:rsidP="0063065F">
            <w:pPr>
              <w:jc w:val="left"/>
            </w:pPr>
            <w:r w:rsidRPr="00F10391">
              <w:t>Volchko, Yevheniya; Norrman, Jenny; Rosen, Lars; Bergknut, Magnus; Josefsson, Sarah; Soderqvist, Tore; Norberg, Tommy; Wiberg, Karin; Tysklind, Mats</w:t>
            </w:r>
          </w:p>
        </w:tc>
        <w:tc>
          <w:tcPr>
            <w:tcW w:w="2078" w:type="dxa"/>
            <w:tcBorders>
              <w:top w:val="nil"/>
              <w:left w:val="nil"/>
              <w:bottom w:val="single" w:sz="4" w:space="0" w:color="auto"/>
              <w:right w:val="single" w:sz="4" w:space="0" w:color="auto"/>
            </w:tcBorders>
            <w:shd w:val="clear" w:color="auto" w:fill="auto"/>
            <w:vAlign w:val="center"/>
            <w:hideMark/>
          </w:tcPr>
          <w:p w14:paraId="71C431E4" w14:textId="77777777" w:rsidR="00E403D6" w:rsidRPr="00F10391" w:rsidRDefault="00E403D6" w:rsidP="0063065F">
            <w:pPr>
              <w:jc w:val="left"/>
            </w:pPr>
            <w:r w:rsidRPr="00F10391">
              <w:t>Science Of The Total Environment. 2014;485():785-791</w:t>
            </w:r>
          </w:p>
        </w:tc>
        <w:tc>
          <w:tcPr>
            <w:tcW w:w="862" w:type="dxa"/>
            <w:tcBorders>
              <w:top w:val="nil"/>
              <w:left w:val="nil"/>
              <w:bottom w:val="single" w:sz="4" w:space="0" w:color="auto"/>
              <w:right w:val="single" w:sz="4" w:space="0" w:color="auto"/>
            </w:tcBorders>
            <w:shd w:val="clear" w:color="auto" w:fill="auto"/>
            <w:noWrap/>
            <w:vAlign w:val="center"/>
            <w:hideMark/>
          </w:tcPr>
          <w:p w14:paraId="0EBAF928"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5F53AC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BDD274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E37DA9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C9442C"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7490EB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8C7892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9E5A037" w14:textId="77777777" w:rsidR="00E403D6" w:rsidRPr="00F10391" w:rsidRDefault="00E403D6">
            <w:r w:rsidRPr="00F10391">
              <w:t>Not found</w:t>
            </w:r>
          </w:p>
        </w:tc>
      </w:tr>
      <w:tr w:rsidR="00E403D6" w:rsidRPr="00F10391" w14:paraId="6904A34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3A0F750" w14:textId="77777777" w:rsidR="00E403D6" w:rsidRPr="00F10391" w:rsidRDefault="00E403D6" w:rsidP="0063065F">
            <w:pPr>
              <w:jc w:val="left"/>
            </w:pPr>
            <w:r w:rsidRPr="00F10391">
              <w:t>06/07/14</w:t>
            </w:r>
          </w:p>
        </w:tc>
        <w:tc>
          <w:tcPr>
            <w:tcW w:w="2720" w:type="dxa"/>
            <w:tcBorders>
              <w:top w:val="nil"/>
              <w:left w:val="nil"/>
              <w:bottom w:val="single" w:sz="4" w:space="0" w:color="auto"/>
              <w:right w:val="single" w:sz="4" w:space="0" w:color="auto"/>
            </w:tcBorders>
            <w:shd w:val="clear" w:color="auto" w:fill="auto"/>
            <w:vAlign w:val="center"/>
            <w:hideMark/>
          </w:tcPr>
          <w:p w14:paraId="713C6E28" w14:textId="77777777" w:rsidR="00E403D6" w:rsidRPr="00F10391" w:rsidRDefault="00E403D6" w:rsidP="0063065F">
            <w:pPr>
              <w:jc w:val="left"/>
            </w:pPr>
            <w:r w:rsidRPr="00F10391">
              <w:t>Decision-Making Criteria Among European Patients: Exploring Patient Preferences For Primary Care Services.</w:t>
            </w:r>
          </w:p>
        </w:tc>
        <w:tc>
          <w:tcPr>
            <w:tcW w:w="1985" w:type="dxa"/>
            <w:tcBorders>
              <w:top w:val="nil"/>
              <w:left w:val="nil"/>
              <w:bottom w:val="single" w:sz="4" w:space="0" w:color="auto"/>
              <w:right w:val="single" w:sz="4" w:space="0" w:color="auto"/>
            </w:tcBorders>
            <w:shd w:val="clear" w:color="auto" w:fill="auto"/>
            <w:vAlign w:val="center"/>
            <w:hideMark/>
          </w:tcPr>
          <w:p w14:paraId="365AFA47" w14:textId="77777777" w:rsidR="00E403D6" w:rsidRPr="00F10391" w:rsidRDefault="00E403D6" w:rsidP="0063065F">
            <w:pPr>
              <w:jc w:val="left"/>
            </w:pPr>
            <w:r w:rsidRPr="00F10391">
              <w:t>Tinelli M, Nikoloski Z, Kumpunen S, Knai C, Pribakovic Brinovec R, Warren E, Wittgens K, Dickmann P.</w:t>
            </w:r>
          </w:p>
        </w:tc>
        <w:tc>
          <w:tcPr>
            <w:tcW w:w="2078" w:type="dxa"/>
            <w:tcBorders>
              <w:top w:val="nil"/>
              <w:left w:val="nil"/>
              <w:bottom w:val="single" w:sz="4" w:space="0" w:color="auto"/>
              <w:right w:val="single" w:sz="4" w:space="0" w:color="auto"/>
            </w:tcBorders>
            <w:shd w:val="clear" w:color="auto" w:fill="auto"/>
            <w:vAlign w:val="center"/>
            <w:hideMark/>
          </w:tcPr>
          <w:p w14:paraId="5B405879" w14:textId="77777777" w:rsidR="00E403D6" w:rsidRPr="00F10391" w:rsidRDefault="00E403D6" w:rsidP="0063065F">
            <w:pPr>
              <w:jc w:val="left"/>
            </w:pPr>
            <w:r w:rsidRPr="00F10391">
              <w:t>Eur J Public Health. 2014 Jul 4. Doi:Pii: Cku082. [Epub Ahead Of Print]</w:t>
            </w:r>
          </w:p>
        </w:tc>
        <w:tc>
          <w:tcPr>
            <w:tcW w:w="862" w:type="dxa"/>
            <w:tcBorders>
              <w:top w:val="nil"/>
              <w:left w:val="nil"/>
              <w:bottom w:val="single" w:sz="4" w:space="0" w:color="auto"/>
              <w:right w:val="single" w:sz="4" w:space="0" w:color="auto"/>
            </w:tcBorders>
            <w:shd w:val="clear" w:color="auto" w:fill="auto"/>
            <w:noWrap/>
            <w:vAlign w:val="center"/>
            <w:hideMark/>
          </w:tcPr>
          <w:p w14:paraId="4E8EFC43"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E707C2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C5851B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342C58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39F7CF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889014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B037FA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043EDC0" w14:textId="77777777" w:rsidR="00E403D6" w:rsidRPr="00F10391" w:rsidRDefault="00E403D6">
            <w:r w:rsidRPr="00F10391">
              <w:t>Not found</w:t>
            </w:r>
          </w:p>
        </w:tc>
      </w:tr>
      <w:tr w:rsidR="00E403D6" w:rsidRPr="00F10391" w14:paraId="4451C9B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1F9EF41" w14:textId="77777777" w:rsidR="00E403D6" w:rsidRPr="00F10391" w:rsidRDefault="00E403D6" w:rsidP="0063065F">
            <w:pPr>
              <w:jc w:val="left"/>
            </w:pPr>
            <w:r w:rsidRPr="00F10391">
              <w:t>22/07/14</w:t>
            </w:r>
          </w:p>
        </w:tc>
        <w:tc>
          <w:tcPr>
            <w:tcW w:w="2720" w:type="dxa"/>
            <w:tcBorders>
              <w:top w:val="nil"/>
              <w:left w:val="nil"/>
              <w:bottom w:val="single" w:sz="4" w:space="0" w:color="auto"/>
              <w:right w:val="single" w:sz="4" w:space="0" w:color="auto"/>
            </w:tcBorders>
            <w:shd w:val="clear" w:color="auto" w:fill="auto"/>
            <w:vAlign w:val="center"/>
            <w:hideMark/>
          </w:tcPr>
          <w:p w14:paraId="1C5C7D7D" w14:textId="77777777" w:rsidR="00E403D6" w:rsidRPr="00F10391" w:rsidRDefault="00E403D6" w:rsidP="0063065F">
            <w:pPr>
              <w:jc w:val="left"/>
            </w:pPr>
            <w:r w:rsidRPr="00F10391">
              <w:t>Benefit-Risk Assessment In A Post-Market Setting: A Case Study Integrating Real-Life Experience Into Benefit-Risk Methodology.</w:t>
            </w:r>
          </w:p>
        </w:tc>
        <w:tc>
          <w:tcPr>
            <w:tcW w:w="1985" w:type="dxa"/>
            <w:tcBorders>
              <w:top w:val="nil"/>
              <w:left w:val="nil"/>
              <w:bottom w:val="single" w:sz="4" w:space="0" w:color="auto"/>
              <w:right w:val="single" w:sz="4" w:space="0" w:color="auto"/>
            </w:tcBorders>
            <w:shd w:val="clear" w:color="auto" w:fill="auto"/>
            <w:vAlign w:val="center"/>
            <w:hideMark/>
          </w:tcPr>
          <w:p w14:paraId="2346D50A" w14:textId="77777777" w:rsidR="00E403D6" w:rsidRPr="00F10391" w:rsidRDefault="00E403D6" w:rsidP="0063065F">
            <w:pPr>
              <w:jc w:val="left"/>
            </w:pPr>
            <w:r w:rsidRPr="00F10391">
              <w:t>Hallgreen Ce, Van Den Ham Ha, Mt-Isa S, Ashworth S, Hermann R, Hobbiger S, Luciani D, Micaleff A, Thomson A, Wang N, Van Staa Tp, Downey G, Hirsch I, Hockley K, Juhaeri J, Metcalf M, Mwangi J, Nixon R, Peters R, Stoeckert I, Waddingham E, Tzoulaki I, Et Al.</w:t>
            </w:r>
          </w:p>
        </w:tc>
        <w:tc>
          <w:tcPr>
            <w:tcW w:w="2078" w:type="dxa"/>
            <w:tcBorders>
              <w:top w:val="nil"/>
              <w:left w:val="nil"/>
              <w:bottom w:val="single" w:sz="4" w:space="0" w:color="auto"/>
              <w:right w:val="single" w:sz="4" w:space="0" w:color="auto"/>
            </w:tcBorders>
            <w:shd w:val="clear" w:color="auto" w:fill="auto"/>
            <w:vAlign w:val="center"/>
            <w:hideMark/>
          </w:tcPr>
          <w:p w14:paraId="6F67B60C" w14:textId="77777777" w:rsidR="00E403D6" w:rsidRPr="00F10391" w:rsidRDefault="00E403D6" w:rsidP="0063065F">
            <w:pPr>
              <w:jc w:val="left"/>
            </w:pPr>
            <w:r w:rsidRPr="00F10391">
              <w:t>Pharmacoepidemiol Drug Saf. 2014 Sep;23(9):974-83. Doi: 10.1002/Pds.3676. Epub 2014 Jul 5.</w:t>
            </w:r>
          </w:p>
        </w:tc>
        <w:tc>
          <w:tcPr>
            <w:tcW w:w="862" w:type="dxa"/>
            <w:tcBorders>
              <w:top w:val="nil"/>
              <w:left w:val="nil"/>
              <w:bottom w:val="single" w:sz="4" w:space="0" w:color="auto"/>
              <w:right w:val="single" w:sz="4" w:space="0" w:color="auto"/>
            </w:tcBorders>
            <w:shd w:val="clear" w:color="auto" w:fill="auto"/>
            <w:noWrap/>
            <w:vAlign w:val="center"/>
            <w:hideMark/>
          </w:tcPr>
          <w:p w14:paraId="78BFED42"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75FDE36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809CBF3"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AE1E18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96A18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BBED66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3346059"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B6106E2" w14:textId="77777777" w:rsidR="00E403D6" w:rsidRPr="00F10391" w:rsidRDefault="00E403D6">
            <w:r w:rsidRPr="00F10391">
              <w:t>Not found</w:t>
            </w:r>
          </w:p>
        </w:tc>
      </w:tr>
      <w:tr w:rsidR="00E403D6" w:rsidRPr="00F10391" w14:paraId="0FCB3EEE"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B370FB" w14:textId="77777777" w:rsidR="00E403D6" w:rsidRPr="00F10391" w:rsidRDefault="00E403D6" w:rsidP="0063065F">
            <w:pPr>
              <w:jc w:val="left"/>
            </w:pPr>
            <w:r w:rsidRPr="00F10391">
              <w:t>02/08/14</w:t>
            </w:r>
          </w:p>
        </w:tc>
        <w:tc>
          <w:tcPr>
            <w:tcW w:w="2720" w:type="dxa"/>
            <w:tcBorders>
              <w:top w:val="nil"/>
              <w:left w:val="nil"/>
              <w:bottom w:val="single" w:sz="4" w:space="0" w:color="auto"/>
              <w:right w:val="single" w:sz="4" w:space="0" w:color="auto"/>
            </w:tcBorders>
            <w:shd w:val="clear" w:color="auto" w:fill="auto"/>
            <w:vAlign w:val="center"/>
            <w:hideMark/>
          </w:tcPr>
          <w:p w14:paraId="4F021351" w14:textId="77777777" w:rsidR="00E403D6" w:rsidRPr="00F10391" w:rsidRDefault="00E403D6" w:rsidP="0063065F">
            <w:pPr>
              <w:jc w:val="left"/>
            </w:pPr>
            <w:r w:rsidRPr="00F10391">
              <w:t>Health Benefits, Costs, And Cost-Effectiveness Of Earlier Eligibility For Adult Antiretroviral Therapy And Expanded Treatment Coverage: A Combined Analysis Of 12 Mathematical Models.</w:t>
            </w:r>
          </w:p>
        </w:tc>
        <w:tc>
          <w:tcPr>
            <w:tcW w:w="1985" w:type="dxa"/>
            <w:tcBorders>
              <w:top w:val="nil"/>
              <w:left w:val="nil"/>
              <w:bottom w:val="single" w:sz="4" w:space="0" w:color="auto"/>
              <w:right w:val="single" w:sz="4" w:space="0" w:color="auto"/>
            </w:tcBorders>
            <w:shd w:val="clear" w:color="auto" w:fill="auto"/>
            <w:vAlign w:val="center"/>
            <w:hideMark/>
          </w:tcPr>
          <w:p w14:paraId="1DABE4DE" w14:textId="77777777" w:rsidR="00E403D6" w:rsidRPr="00F10391" w:rsidRDefault="00E403D6" w:rsidP="0063065F">
            <w:pPr>
              <w:jc w:val="left"/>
            </w:pPr>
            <w:r w:rsidRPr="00F10391">
              <w:t>Eaton Jw, Menzies Na, Stover J, Cambiano V, Chindelevitch L, Cori A, Hontelez Ja, Humair S, Kerr Cc, Klein Dj, Mishra S, Mitchell Km, Nichols Be, Vickerman P, Bakker R, Bí_Rnighausen T, Bershteyn A, Bloom De, Boily Mc, Chang St, Cohen T, Dodd Pj, Et Al.</w:t>
            </w:r>
          </w:p>
        </w:tc>
        <w:tc>
          <w:tcPr>
            <w:tcW w:w="2078" w:type="dxa"/>
            <w:tcBorders>
              <w:top w:val="nil"/>
              <w:left w:val="nil"/>
              <w:bottom w:val="single" w:sz="4" w:space="0" w:color="auto"/>
              <w:right w:val="single" w:sz="4" w:space="0" w:color="auto"/>
            </w:tcBorders>
            <w:shd w:val="clear" w:color="auto" w:fill="auto"/>
            <w:vAlign w:val="center"/>
            <w:hideMark/>
          </w:tcPr>
          <w:p w14:paraId="6677D557" w14:textId="77777777" w:rsidR="00E403D6" w:rsidRPr="00F10391" w:rsidRDefault="00E403D6" w:rsidP="0063065F">
            <w:pPr>
              <w:jc w:val="left"/>
            </w:pPr>
            <w:r w:rsidRPr="00F10391">
              <w:t>Lancet Glob Health. 2013 Dec 10;2(1):23-34.</w:t>
            </w:r>
          </w:p>
        </w:tc>
        <w:tc>
          <w:tcPr>
            <w:tcW w:w="862" w:type="dxa"/>
            <w:tcBorders>
              <w:top w:val="nil"/>
              <w:left w:val="nil"/>
              <w:bottom w:val="single" w:sz="4" w:space="0" w:color="auto"/>
              <w:right w:val="single" w:sz="4" w:space="0" w:color="auto"/>
            </w:tcBorders>
            <w:shd w:val="clear" w:color="auto" w:fill="auto"/>
            <w:noWrap/>
            <w:vAlign w:val="center"/>
            <w:hideMark/>
          </w:tcPr>
          <w:p w14:paraId="1E404964"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34C528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207C12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8A4F3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B0D941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2F84A5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A49E19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F5F8DAE" w14:textId="77777777" w:rsidR="00E403D6" w:rsidRPr="00F10391" w:rsidRDefault="00E403D6">
            <w:r w:rsidRPr="00F10391">
              <w:t>Not found</w:t>
            </w:r>
          </w:p>
        </w:tc>
      </w:tr>
      <w:tr w:rsidR="00E403D6" w:rsidRPr="00F10391" w14:paraId="506D39C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339E78A" w14:textId="77777777" w:rsidR="00E403D6" w:rsidRPr="00F10391" w:rsidRDefault="00E403D6" w:rsidP="0063065F">
            <w:pPr>
              <w:jc w:val="left"/>
            </w:pPr>
            <w:r w:rsidRPr="00F10391">
              <w:t>06/08/14</w:t>
            </w:r>
          </w:p>
        </w:tc>
        <w:tc>
          <w:tcPr>
            <w:tcW w:w="2720" w:type="dxa"/>
            <w:tcBorders>
              <w:top w:val="nil"/>
              <w:left w:val="nil"/>
              <w:bottom w:val="single" w:sz="4" w:space="0" w:color="auto"/>
              <w:right w:val="single" w:sz="4" w:space="0" w:color="auto"/>
            </w:tcBorders>
            <w:shd w:val="clear" w:color="auto" w:fill="auto"/>
            <w:vAlign w:val="center"/>
            <w:hideMark/>
          </w:tcPr>
          <w:p w14:paraId="5F7439A6" w14:textId="77777777" w:rsidR="00E403D6" w:rsidRPr="00F10391" w:rsidRDefault="00E403D6" w:rsidP="0063065F">
            <w:pPr>
              <w:jc w:val="left"/>
            </w:pPr>
            <w:r w:rsidRPr="00F10391">
              <w:t>Web Search Behavior And Information Needs Of People With Multiple Sclerosis: Focus Group Study And Analysis Of Online Postings.</w:t>
            </w:r>
          </w:p>
        </w:tc>
        <w:tc>
          <w:tcPr>
            <w:tcW w:w="1985" w:type="dxa"/>
            <w:tcBorders>
              <w:top w:val="nil"/>
              <w:left w:val="nil"/>
              <w:bottom w:val="single" w:sz="4" w:space="0" w:color="auto"/>
              <w:right w:val="single" w:sz="4" w:space="0" w:color="auto"/>
            </w:tcBorders>
            <w:shd w:val="clear" w:color="auto" w:fill="auto"/>
            <w:vAlign w:val="center"/>
            <w:hideMark/>
          </w:tcPr>
          <w:p w14:paraId="08D48F12" w14:textId="77777777" w:rsidR="00E403D6" w:rsidRPr="005D7324" w:rsidRDefault="00E403D6" w:rsidP="0063065F">
            <w:pPr>
              <w:jc w:val="left"/>
            </w:pPr>
            <w:r w:rsidRPr="005D7324">
              <w:t>Colombo C, Mosconi P, Confalonieri P, Baroni I, Traversa S, Hill Sj, Synnot Aj, Oprandi N, Filippini G.</w:t>
            </w:r>
          </w:p>
        </w:tc>
        <w:tc>
          <w:tcPr>
            <w:tcW w:w="2078" w:type="dxa"/>
            <w:tcBorders>
              <w:top w:val="nil"/>
              <w:left w:val="nil"/>
              <w:bottom w:val="single" w:sz="4" w:space="0" w:color="auto"/>
              <w:right w:val="single" w:sz="4" w:space="0" w:color="auto"/>
            </w:tcBorders>
            <w:shd w:val="clear" w:color="auto" w:fill="auto"/>
            <w:vAlign w:val="center"/>
            <w:hideMark/>
          </w:tcPr>
          <w:p w14:paraId="5D815006" w14:textId="77777777" w:rsidR="00E403D6" w:rsidRPr="00F10391" w:rsidRDefault="00E403D6" w:rsidP="0063065F">
            <w:pPr>
              <w:jc w:val="left"/>
            </w:pPr>
            <w:r w:rsidRPr="00F10391">
              <w:t>Interact J Med Res. 2014 Jul 24;3(3):E12. Doi: 10.2196/Ijmr.3034.</w:t>
            </w:r>
          </w:p>
        </w:tc>
        <w:tc>
          <w:tcPr>
            <w:tcW w:w="862" w:type="dxa"/>
            <w:tcBorders>
              <w:top w:val="nil"/>
              <w:left w:val="nil"/>
              <w:bottom w:val="single" w:sz="4" w:space="0" w:color="auto"/>
              <w:right w:val="single" w:sz="4" w:space="0" w:color="auto"/>
            </w:tcBorders>
            <w:shd w:val="clear" w:color="auto" w:fill="auto"/>
            <w:noWrap/>
            <w:vAlign w:val="center"/>
            <w:hideMark/>
          </w:tcPr>
          <w:p w14:paraId="44E7CFA5"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0C15C22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39C5805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8D9A2A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42F0F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321E71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6ABA7F6"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2577696" w14:textId="77777777" w:rsidR="00E403D6" w:rsidRPr="00F10391" w:rsidRDefault="00E403D6">
            <w:r w:rsidRPr="00F10391">
              <w:t>Not found</w:t>
            </w:r>
          </w:p>
        </w:tc>
      </w:tr>
      <w:tr w:rsidR="00E403D6" w:rsidRPr="00F10391" w14:paraId="2EAD926F"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94D4BC0" w14:textId="77777777" w:rsidR="00E403D6" w:rsidRPr="00F10391" w:rsidRDefault="00E403D6" w:rsidP="0063065F">
            <w:pPr>
              <w:jc w:val="left"/>
            </w:pPr>
            <w:r w:rsidRPr="00F10391">
              <w:t>12/08/14</w:t>
            </w:r>
          </w:p>
        </w:tc>
        <w:tc>
          <w:tcPr>
            <w:tcW w:w="2720" w:type="dxa"/>
            <w:tcBorders>
              <w:top w:val="nil"/>
              <w:left w:val="nil"/>
              <w:bottom w:val="single" w:sz="4" w:space="0" w:color="auto"/>
              <w:right w:val="single" w:sz="4" w:space="0" w:color="auto"/>
            </w:tcBorders>
            <w:shd w:val="clear" w:color="auto" w:fill="auto"/>
            <w:vAlign w:val="center"/>
            <w:hideMark/>
          </w:tcPr>
          <w:p w14:paraId="755FC5C9" w14:textId="77777777" w:rsidR="00E403D6" w:rsidRPr="00F10391" w:rsidRDefault="00E403D6" w:rsidP="0063065F">
            <w:pPr>
              <w:jc w:val="left"/>
            </w:pPr>
            <w:r w:rsidRPr="00F10391">
              <w:t>Applying Quantitative Benefit-Risk Analysis To Aid Regulatory Decision Making In Diagnostic Imaging: Methods, Challenges, And Opportunities.</w:t>
            </w:r>
          </w:p>
        </w:tc>
        <w:tc>
          <w:tcPr>
            <w:tcW w:w="1985" w:type="dxa"/>
            <w:tcBorders>
              <w:top w:val="nil"/>
              <w:left w:val="nil"/>
              <w:bottom w:val="single" w:sz="4" w:space="0" w:color="auto"/>
              <w:right w:val="single" w:sz="4" w:space="0" w:color="auto"/>
            </w:tcBorders>
            <w:shd w:val="clear" w:color="auto" w:fill="auto"/>
            <w:vAlign w:val="center"/>
            <w:hideMark/>
          </w:tcPr>
          <w:p w14:paraId="7633A355" w14:textId="77777777" w:rsidR="00E403D6" w:rsidRPr="00F10391" w:rsidRDefault="00E403D6" w:rsidP="0063065F">
            <w:pPr>
              <w:jc w:val="left"/>
            </w:pPr>
            <w:r w:rsidRPr="00F10391">
              <w:t>Agapova M, Devine Eb, Bresnahan Bw, Higashi Mk, Garrison Lp Jr.</w:t>
            </w:r>
          </w:p>
        </w:tc>
        <w:tc>
          <w:tcPr>
            <w:tcW w:w="2078" w:type="dxa"/>
            <w:tcBorders>
              <w:top w:val="nil"/>
              <w:left w:val="nil"/>
              <w:bottom w:val="single" w:sz="4" w:space="0" w:color="auto"/>
              <w:right w:val="single" w:sz="4" w:space="0" w:color="auto"/>
            </w:tcBorders>
            <w:shd w:val="clear" w:color="auto" w:fill="auto"/>
            <w:vAlign w:val="center"/>
            <w:hideMark/>
          </w:tcPr>
          <w:p w14:paraId="360DE2B3" w14:textId="77777777" w:rsidR="00E403D6" w:rsidRPr="00F10391" w:rsidRDefault="00E403D6" w:rsidP="0063065F">
            <w:pPr>
              <w:jc w:val="left"/>
            </w:pPr>
            <w:r w:rsidRPr="00F10391">
              <w:t>Acad Radiol. 2014 Sep;21(9):1138-43. Doi: 10.1016/J.Acra.2014.05.006.</w:t>
            </w:r>
          </w:p>
        </w:tc>
        <w:tc>
          <w:tcPr>
            <w:tcW w:w="862" w:type="dxa"/>
            <w:tcBorders>
              <w:top w:val="nil"/>
              <w:left w:val="nil"/>
              <w:bottom w:val="single" w:sz="4" w:space="0" w:color="auto"/>
              <w:right w:val="single" w:sz="4" w:space="0" w:color="auto"/>
            </w:tcBorders>
            <w:shd w:val="clear" w:color="auto" w:fill="auto"/>
            <w:noWrap/>
            <w:vAlign w:val="center"/>
            <w:hideMark/>
          </w:tcPr>
          <w:p w14:paraId="4DBEB96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28DA9B9A"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59022D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596297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CC08D85"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2020D5F"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3C7B81F"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4FEF6975" w14:textId="77777777" w:rsidR="00E403D6" w:rsidRPr="00F10391" w:rsidRDefault="00E403D6">
            <w:r w:rsidRPr="00F10391">
              <w:t>Not found</w:t>
            </w:r>
          </w:p>
        </w:tc>
      </w:tr>
      <w:tr w:rsidR="00E403D6" w:rsidRPr="00F10391" w14:paraId="66CA32E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3D77980" w14:textId="77777777" w:rsidR="00E403D6" w:rsidRPr="00F10391" w:rsidRDefault="00E403D6" w:rsidP="0063065F">
            <w:pPr>
              <w:jc w:val="left"/>
            </w:pPr>
            <w:r w:rsidRPr="00F10391">
              <w:t>15/08/14</w:t>
            </w:r>
          </w:p>
        </w:tc>
        <w:tc>
          <w:tcPr>
            <w:tcW w:w="2720" w:type="dxa"/>
            <w:tcBorders>
              <w:top w:val="nil"/>
              <w:left w:val="nil"/>
              <w:bottom w:val="single" w:sz="4" w:space="0" w:color="auto"/>
              <w:right w:val="single" w:sz="4" w:space="0" w:color="auto"/>
            </w:tcBorders>
            <w:shd w:val="clear" w:color="auto" w:fill="auto"/>
            <w:vAlign w:val="center"/>
            <w:hideMark/>
          </w:tcPr>
          <w:p w14:paraId="0C5D00CA" w14:textId="77777777" w:rsidR="00E403D6" w:rsidRPr="00F10391" w:rsidRDefault="00E403D6" w:rsidP="0063065F">
            <w:pPr>
              <w:jc w:val="left"/>
            </w:pPr>
            <w:r w:rsidRPr="00F10391">
              <w:t>A National Programme Budgeting And Marginal Analysis (Pbma) Of Health Improvement Spending Across Wales: Disinvestment And Reinvestment Across The Life Course.</w:t>
            </w:r>
          </w:p>
        </w:tc>
        <w:tc>
          <w:tcPr>
            <w:tcW w:w="1985" w:type="dxa"/>
            <w:tcBorders>
              <w:top w:val="nil"/>
              <w:left w:val="nil"/>
              <w:bottom w:val="single" w:sz="4" w:space="0" w:color="auto"/>
              <w:right w:val="single" w:sz="4" w:space="0" w:color="auto"/>
            </w:tcBorders>
            <w:shd w:val="clear" w:color="auto" w:fill="auto"/>
            <w:vAlign w:val="center"/>
            <w:hideMark/>
          </w:tcPr>
          <w:p w14:paraId="66F3FE54" w14:textId="77777777" w:rsidR="00E403D6" w:rsidRPr="00F10391" w:rsidRDefault="00E403D6" w:rsidP="0063065F">
            <w:pPr>
              <w:jc w:val="left"/>
            </w:pPr>
            <w:r w:rsidRPr="00F10391">
              <w:t>Edwards Rt, Charles Jm, Thomas S, Bishop J, Cohen D, Groves S, Humphreys C, Howson H, Bradley P.</w:t>
            </w:r>
          </w:p>
        </w:tc>
        <w:tc>
          <w:tcPr>
            <w:tcW w:w="2078" w:type="dxa"/>
            <w:tcBorders>
              <w:top w:val="nil"/>
              <w:left w:val="nil"/>
              <w:bottom w:val="single" w:sz="4" w:space="0" w:color="auto"/>
              <w:right w:val="single" w:sz="4" w:space="0" w:color="auto"/>
            </w:tcBorders>
            <w:shd w:val="clear" w:color="auto" w:fill="auto"/>
            <w:vAlign w:val="center"/>
            <w:hideMark/>
          </w:tcPr>
          <w:p w14:paraId="3970B827" w14:textId="77777777" w:rsidR="00E403D6" w:rsidRPr="00F10391" w:rsidRDefault="00E403D6" w:rsidP="0063065F">
            <w:pPr>
              <w:jc w:val="left"/>
            </w:pPr>
            <w:r w:rsidRPr="00F10391">
              <w:t>Bmc Public Health. 2014 Aug 12;14(1):837. [Epub Ahead Of Print]</w:t>
            </w:r>
          </w:p>
        </w:tc>
        <w:tc>
          <w:tcPr>
            <w:tcW w:w="862" w:type="dxa"/>
            <w:tcBorders>
              <w:top w:val="nil"/>
              <w:left w:val="nil"/>
              <w:bottom w:val="single" w:sz="4" w:space="0" w:color="auto"/>
              <w:right w:val="single" w:sz="4" w:space="0" w:color="auto"/>
            </w:tcBorders>
            <w:shd w:val="clear" w:color="auto" w:fill="auto"/>
            <w:noWrap/>
            <w:vAlign w:val="center"/>
            <w:hideMark/>
          </w:tcPr>
          <w:p w14:paraId="34558FA1"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5173D6B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400683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EABFCD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0FE10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737CAFE"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22732DC5"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37AF9A96" w14:textId="77777777" w:rsidR="00E403D6" w:rsidRPr="00F10391" w:rsidRDefault="00E403D6">
            <w:r w:rsidRPr="00F10391">
              <w:t>Not found</w:t>
            </w:r>
          </w:p>
        </w:tc>
      </w:tr>
      <w:tr w:rsidR="00E403D6" w:rsidRPr="00F10391" w14:paraId="1CFCB47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6107E0B" w14:textId="77777777" w:rsidR="00E403D6" w:rsidRPr="00F10391" w:rsidRDefault="00E403D6" w:rsidP="0063065F">
            <w:pPr>
              <w:jc w:val="left"/>
            </w:pPr>
            <w:r w:rsidRPr="00F10391">
              <w:t>19/08/14</w:t>
            </w:r>
          </w:p>
        </w:tc>
        <w:tc>
          <w:tcPr>
            <w:tcW w:w="2720" w:type="dxa"/>
            <w:tcBorders>
              <w:top w:val="nil"/>
              <w:left w:val="nil"/>
              <w:bottom w:val="single" w:sz="4" w:space="0" w:color="auto"/>
              <w:right w:val="single" w:sz="4" w:space="0" w:color="auto"/>
            </w:tcBorders>
            <w:shd w:val="clear" w:color="auto" w:fill="auto"/>
            <w:vAlign w:val="center"/>
            <w:hideMark/>
          </w:tcPr>
          <w:p w14:paraId="71C064ED" w14:textId="77777777" w:rsidR="00E403D6" w:rsidRPr="00F10391" w:rsidRDefault="00E403D6" w:rsidP="0063065F">
            <w:pPr>
              <w:jc w:val="left"/>
            </w:pPr>
            <w:r w:rsidRPr="00F10391">
              <w:t>The Value Of Information For Managing Contaminated Sediments</w:t>
            </w:r>
          </w:p>
        </w:tc>
        <w:tc>
          <w:tcPr>
            <w:tcW w:w="1985" w:type="dxa"/>
            <w:tcBorders>
              <w:top w:val="nil"/>
              <w:left w:val="nil"/>
              <w:bottom w:val="single" w:sz="4" w:space="0" w:color="auto"/>
              <w:right w:val="single" w:sz="4" w:space="0" w:color="auto"/>
            </w:tcBorders>
            <w:shd w:val="clear" w:color="auto" w:fill="auto"/>
            <w:vAlign w:val="center"/>
            <w:hideMark/>
          </w:tcPr>
          <w:p w14:paraId="7CECDEE4" w14:textId="77777777" w:rsidR="00E403D6" w:rsidRPr="00F10391" w:rsidRDefault="00E403D6" w:rsidP="0063065F">
            <w:pPr>
              <w:jc w:val="left"/>
            </w:pPr>
            <w:r w:rsidRPr="00F10391">
              <w:t>Bates, Matthew E.; Sparrevik, Magnus; De Lichy, Nicolas; Linkov, Igor</w:t>
            </w:r>
          </w:p>
        </w:tc>
        <w:tc>
          <w:tcPr>
            <w:tcW w:w="2078" w:type="dxa"/>
            <w:tcBorders>
              <w:top w:val="nil"/>
              <w:left w:val="nil"/>
              <w:bottom w:val="single" w:sz="4" w:space="0" w:color="auto"/>
              <w:right w:val="single" w:sz="4" w:space="0" w:color="auto"/>
            </w:tcBorders>
            <w:shd w:val="clear" w:color="auto" w:fill="auto"/>
            <w:vAlign w:val="center"/>
            <w:hideMark/>
          </w:tcPr>
          <w:p w14:paraId="262FC857" w14:textId="77777777" w:rsidR="00E403D6" w:rsidRPr="00F10391" w:rsidRDefault="00E403D6" w:rsidP="0063065F">
            <w:pPr>
              <w:jc w:val="left"/>
            </w:pPr>
            <w:r w:rsidRPr="00F10391">
              <w:t>Environmental Science &amp; Technology 2014. 48 16 9478-9485 10.1021/Es500717T</w:t>
            </w:r>
          </w:p>
        </w:tc>
        <w:tc>
          <w:tcPr>
            <w:tcW w:w="862" w:type="dxa"/>
            <w:tcBorders>
              <w:top w:val="nil"/>
              <w:left w:val="nil"/>
              <w:bottom w:val="single" w:sz="4" w:space="0" w:color="auto"/>
              <w:right w:val="single" w:sz="4" w:space="0" w:color="auto"/>
            </w:tcBorders>
            <w:shd w:val="clear" w:color="auto" w:fill="auto"/>
            <w:noWrap/>
            <w:vAlign w:val="center"/>
            <w:hideMark/>
          </w:tcPr>
          <w:p w14:paraId="122580A8"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43C578B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09B4A32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1E2E7A0"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8DCDFA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C7C2317"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15B100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1D81F0B9" w14:textId="77777777" w:rsidR="00E403D6" w:rsidRPr="00F10391" w:rsidRDefault="00E403D6">
            <w:r w:rsidRPr="00F10391">
              <w:t>Not found</w:t>
            </w:r>
          </w:p>
        </w:tc>
      </w:tr>
      <w:tr w:rsidR="00E403D6" w:rsidRPr="00F10391" w14:paraId="71926CD6"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5A2F9C1" w14:textId="77777777" w:rsidR="00E403D6" w:rsidRPr="00F10391" w:rsidRDefault="00E403D6" w:rsidP="0063065F">
            <w:pPr>
              <w:jc w:val="left"/>
            </w:pPr>
            <w:r w:rsidRPr="00F10391">
              <w:t>27/08/14</w:t>
            </w:r>
          </w:p>
        </w:tc>
        <w:tc>
          <w:tcPr>
            <w:tcW w:w="2720" w:type="dxa"/>
            <w:tcBorders>
              <w:top w:val="nil"/>
              <w:left w:val="nil"/>
              <w:bottom w:val="single" w:sz="4" w:space="0" w:color="auto"/>
              <w:right w:val="single" w:sz="4" w:space="0" w:color="auto"/>
            </w:tcBorders>
            <w:shd w:val="clear" w:color="auto" w:fill="auto"/>
            <w:vAlign w:val="center"/>
            <w:hideMark/>
          </w:tcPr>
          <w:p w14:paraId="785420C3" w14:textId="77777777" w:rsidR="00E403D6" w:rsidRPr="00F10391" w:rsidRDefault="00E403D6" w:rsidP="0063065F">
            <w:pPr>
              <w:jc w:val="left"/>
            </w:pPr>
            <w:r w:rsidRPr="00F10391">
              <w:t>A Descriptive Review On Methods To Prioritize Outcomes In A Health Care Context.</w:t>
            </w:r>
          </w:p>
        </w:tc>
        <w:tc>
          <w:tcPr>
            <w:tcW w:w="1985" w:type="dxa"/>
            <w:tcBorders>
              <w:top w:val="nil"/>
              <w:left w:val="nil"/>
              <w:bottom w:val="single" w:sz="4" w:space="0" w:color="auto"/>
              <w:right w:val="single" w:sz="4" w:space="0" w:color="auto"/>
            </w:tcBorders>
            <w:shd w:val="clear" w:color="auto" w:fill="auto"/>
            <w:vAlign w:val="center"/>
            <w:hideMark/>
          </w:tcPr>
          <w:p w14:paraId="4E79D183" w14:textId="77777777" w:rsidR="00E403D6" w:rsidRPr="005D7324" w:rsidRDefault="00E403D6" w:rsidP="0063065F">
            <w:pPr>
              <w:jc w:val="left"/>
            </w:pPr>
            <w:r w:rsidRPr="005D7324">
              <w:t>Janssen Im, Gerhardus A, Schrí_Er-Gí_Nther Ma, Scheibler F.</w:t>
            </w:r>
          </w:p>
        </w:tc>
        <w:tc>
          <w:tcPr>
            <w:tcW w:w="2078" w:type="dxa"/>
            <w:tcBorders>
              <w:top w:val="nil"/>
              <w:left w:val="nil"/>
              <w:bottom w:val="single" w:sz="4" w:space="0" w:color="auto"/>
              <w:right w:val="single" w:sz="4" w:space="0" w:color="auto"/>
            </w:tcBorders>
            <w:shd w:val="clear" w:color="auto" w:fill="auto"/>
            <w:vAlign w:val="center"/>
            <w:hideMark/>
          </w:tcPr>
          <w:p w14:paraId="326769C7" w14:textId="77777777" w:rsidR="00E403D6" w:rsidRPr="00F10391" w:rsidRDefault="00E403D6" w:rsidP="0063065F">
            <w:pPr>
              <w:jc w:val="left"/>
            </w:pPr>
            <w:r w:rsidRPr="00F10391">
              <w:t>Health Expect. 2014 Aug 25. Doi: 10.1111/Hex.12256. [Epub Ahead Of Print]</w:t>
            </w:r>
          </w:p>
        </w:tc>
        <w:tc>
          <w:tcPr>
            <w:tcW w:w="862" w:type="dxa"/>
            <w:tcBorders>
              <w:top w:val="nil"/>
              <w:left w:val="nil"/>
              <w:bottom w:val="single" w:sz="4" w:space="0" w:color="auto"/>
              <w:right w:val="single" w:sz="4" w:space="0" w:color="auto"/>
            </w:tcBorders>
            <w:shd w:val="clear" w:color="auto" w:fill="auto"/>
            <w:noWrap/>
            <w:vAlign w:val="center"/>
            <w:hideMark/>
          </w:tcPr>
          <w:p w14:paraId="4451D34E"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12243347"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1CFD96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DD3F72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7BD1F2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D611DC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1BFD920"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7F949D6" w14:textId="77777777" w:rsidR="00E403D6" w:rsidRPr="00F10391" w:rsidRDefault="00E403D6">
            <w:r w:rsidRPr="00F10391">
              <w:t>Not found</w:t>
            </w:r>
          </w:p>
        </w:tc>
      </w:tr>
      <w:tr w:rsidR="00E403D6" w:rsidRPr="00F10391" w14:paraId="122B287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9663346" w14:textId="77777777" w:rsidR="00E403D6" w:rsidRPr="00F10391" w:rsidRDefault="00E403D6" w:rsidP="0063065F">
            <w:pPr>
              <w:jc w:val="left"/>
            </w:pPr>
            <w:r w:rsidRPr="00F10391">
              <w:t>01/09/14</w:t>
            </w:r>
          </w:p>
        </w:tc>
        <w:tc>
          <w:tcPr>
            <w:tcW w:w="2720" w:type="dxa"/>
            <w:tcBorders>
              <w:top w:val="nil"/>
              <w:left w:val="nil"/>
              <w:bottom w:val="single" w:sz="4" w:space="0" w:color="auto"/>
              <w:right w:val="single" w:sz="4" w:space="0" w:color="auto"/>
            </w:tcBorders>
            <w:shd w:val="clear" w:color="auto" w:fill="auto"/>
            <w:vAlign w:val="center"/>
            <w:hideMark/>
          </w:tcPr>
          <w:p w14:paraId="00C9BCB4" w14:textId="77777777" w:rsidR="00E403D6" w:rsidRPr="00F10391" w:rsidRDefault="00E403D6" w:rsidP="0063065F">
            <w:pPr>
              <w:jc w:val="left"/>
            </w:pPr>
            <w:r w:rsidRPr="00F10391">
              <w:t>Assessing The Vulnerability Of Brazilian Municipalities To The Vectorial Transmission Of Trypanosoma Cruzi Using Multi-Criteria Decision Analysis</w:t>
            </w:r>
          </w:p>
        </w:tc>
        <w:tc>
          <w:tcPr>
            <w:tcW w:w="1985" w:type="dxa"/>
            <w:tcBorders>
              <w:top w:val="nil"/>
              <w:left w:val="nil"/>
              <w:bottom w:val="single" w:sz="4" w:space="0" w:color="auto"/>
              <w:right w:val="single" w:sz="4" w:space="0" w:color="auto"/>
            </w:tcBorders>
            <w:shd w:val="clear" w:color="auto" w:fill="auto"/>
            <w:vAlign w:val="center"/>
            <w:hideMark/>
          </w:tcPr>
          <w:p w14:paraId="565908AD" w14:textId="77777777" w:rsidR="00E403D6" w:rsidRPr="00F10391" w:rsidRDefault="00E403D6" w:rsidP="0063065F">
            <w:pPr>
              <w:jc w:val="left"/>
            </w:pPr>
            <w:r w:rsidRPr="00F10391">
              <w:t>Vinhaes, Marcio Costa; De Oliveira, Stefan Vilges; Reis, Priscilleyne Ouverney; De Lacerda Sousa, Ana Carolina; Albuquerque E Silva, Rafaella; Obara, Marcos Takashi; Bezerra, Claudia Mendonca; Da Costa, Veruska Maia; Alves, Renato Vieira; Gurgel-Goncalves, Rodrigo</w:t>
            </w:r>
          </w:p>
        </w:tc>
        <w:tc>
          <w:tcPr>
            <w:tcW w:w="2078" w:type="dxa"/>
            <w:tcBorders>
              <w:top w:val="nil"/>
              <w:left w:val="nil"/>
              <w:bottom w:val="single" w:sz="4" w:space="0" w:color="auto"/>
              <w:right w:val="single" w:sz="4" w:space="0" w:color="auto"/>
            </w:tcBorders>
            <w:shd w:val="clear" w:color="auto" w:fill="auto"/>
            <w:vAlign w:val="center"/>
            <w:hideMark/>
          </w:tcPr>
          <w:p w14:paraId="30AEB309" w14:textId="77777777" w:rsidR="00E403D6" w:rsidRPr="00F10391" w:rsidRDefault="00E403D6" w:rsidP="0063065F">
            <w:pPr>
              <w:jc w:val="left"/>
            </w:pPr>
            <w:r w:rsidRPr="00F10391">
              <w:t>Acta Tropica. 2014;137():105-110</w:t>
            </w:r>
          </w:p>
        </w:tc>
        <w:tc>
          <w:tcPr>
            <w:tcW w:w="862" w:type="dxa"/>
            <w:tcBorders>
              <w:top w:val="nil"/>
              <w:left w:val="nil"/>
              <w:bottom w:val="single" w:sz="4" w:space="0" w:color="auto"/>
              <w:right w:val="single" w:sz="4" w:space="0" w:color="auto"/>
            </w:tcBorders>
            <w:shd w:val="clear" w:color="auto" w:fill="auto"/>
            <w:noWrap/>
            <w:vAlign w:val="center"/>
            <w:hideMark/>
          </w:tcPr>
          <w:p w14:paraId="39172B9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48EF6EE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47F9A1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E4676C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048CDFA"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4129D1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920D704"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5BE598FE" w14:textId="77777777" w:rsidR="00E403D6" w:rsidRPr="00F10391" w:rsidRDefault="00E403D6">
            <w:r w:rsidRPr="00F10391">
              <w:t>Not found</w:t>
            </w:r>
          </w:p>
        </w:tc>
      </w:tr>
      <w:tr w:rsidR="00E403D6" w:rsidRPr="00F10391" w14:paraId="627B93D9"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CBCD937" w14:textId="77777777" w:rsidR="00E403D6" w:rsidRPr="00F10391" w:rsidRDefault="00E403D6" w:rsidP="0063065F">
            <w:pPr>
              <w:jc w:val="left"/>
            </w:pPr>
            <w:r w:rsidRPr="00F10391">
              <w:t>01/10/14</w:t>
            </w:r>
          </w:p>
        </w:tc>
        <w:tc>
          <w:tcPr>
            <w:tcW w:w="2720" w:type="dxa"/>
            <w:tcBorders>
              <w:top w:val="nil"/>
              <w:left w:val="nil"/>
              <w:bottom w:val="single" w:sz="4" w:space="0" w:color="auto"/>
              <w:right w:val="single" w:sz="4" w:space="0" w:color="auto"/>
            </w:tcBorders>
            <w:shd w:val="clear" w:color="auto" w:fill="auto"/>
            <w:vAlign w:val="center"/>
            <w:hideMark/>
          </w:tcPr>
          <w:p w14:paraId="13E5E75A" w14:textId="77777777" w:rsidR="00E403D6" w:rsidRPr="00F10391" w:rsidRDefault="00E403D6" w:rsidP="0063065F">
            <w:pPr>
              <w:jc w:val="left"/>
            </w:pPr>
            <w:r w:rsidRPr="00F10391">
              <w:t>Prioritising Public Health Guidance Topics In The National Institute For Health And Care Excellence Using The Analytic Hierarchy Process.</w:t>
            </w:r>
          </w:p>
        </w:tc>
        <w:tc>
          <w:tcPr>
            <w:tcW w:w="1985" w:type="dxa"/>
            <w:tcBorders>
              <w:top w:val="nil"/>
              <w:left w:val="nil"/>
              <w:bottom w:val="single" w:sz="4" w:space="0" w:color="auto"/>
              <w:right w:val="single" w:sz="4" w:space="0" w:color="auto"/>
            </w:tcBorders>
            <w:shd w:val="clear" w:color="auto" w:fill="auto"/>
            <w:vAlign w:val="center"/>
            <w:hideMark/>
          </w:tcPr>
          <w:p w14:paraId="75E92F66" w14:textId="77777777" w:rsidR="00E403D6" w:rsidRPr="00F10391" w:rsidRDefault="00E403D6" w:rsidP="0063065F">
            <w:pPr>
              <w:jc w:val="left"/>
            </w:pPr>
            <w:r w:rsidRPr="00F10391">
              <w:t>Reddy Bp, Kelly Mp, Thokala P, Walters Sj, Duenas A.</w:t>
            </w:r>
          </w:p>
        </w:tc>
        <w:tc>
          <w:tcPr>
            <w:tcW w:w="2078" w:type="dxa"/>
            <w:tcBorders>
              <w:top w:val="nil"/>
              <w:left w:val="nil"/>
              <w:bottom w:val="single" w:sz="4" w:space="0" w:color="auto"/>
              <w:right w:val="single" w:sz="4" w:space="0" w:color="auto"/>
            </w:tcBorders>
            <w:shd w:val="clear" w:color="auto" w:fill="auto"/>
            <w:vAlign w:val="center"/>
            <w:hideMark/>
          </w:tcPr>
          <w:p w14:paraId="0DCC55BE" w14:textId="77777777" w:rsidR="00E403D6" w:rsidRPr="00F10391" w:rsidRDefault="00E403D6" w:rsidP="0063065F">
            <w:pPr>
              <w:jc w:val="left"/>
            </w:pPr>
            <w:r w:rsidRPr="00F10391">
              <w:t>Public Health. 2014;128(10):896-903. Doi: 10.1016/J.Puhe.2014.07.003. Epub 2014 Oct 17</w:t>
            </w:r>
          </w:p>
        </w:tc>
        <w:tc>
          <w:tcPr>
            <w:tcW w:w="862" w:type="dxa"/>
            <w:tcBorders>
              <w:top w:val="nil"/>
              <w:left w:val="nil"/>
              <w:bottom w:val="single" w:sz="4" w:space="0" w:color="auto"/>
              <w:right w:val="single" w:sz="4" w:space="0" w:color="auto"/>
            </w:tcBorders>
            <w:shd w:val="clear" w:color="auto" w:fill="auto"/>
            <w:noWrap/>
            <w:vAlign w:val="center"/>
            <w:hideMark/>
          </w:tcPr>
          <w:p w14:paraId="73020CE6" w14:textId="77777777" w:rsidR="00E403D6" w:rsidRPr="00F10391" w:rsidRDefault="00E403D6" w:rsidP="0063065F">
            <w:pPr>
              <w:jc w:val="left"/>
            </w:pPr>
            <w:r w:rsidRPr="00F10391">
              <w:t>PubMed</w:t>
            </w:r>
          </w:p>
        </w:tc>
        <w:tc>
          <w:tcPr>
            <w:tcW w:w="940" w:type="dxa"/>
            <w:tcBorders>
              <w:top w:val="nil"/>
              <w:left w:val="nil"/>
              <w:bottom w:val="single" w:sz="4" w:space="0" w:color="auto"/>
              <w:right w:val="single" w:sz="4" w:space="0" w:color="auto"/>
            </w:tcBorders>
            <w:shd w:val="clear" w:color="auto" w:fill="auto"/>
            <w:noWrap/>
            <w:vAlign w:val="center"/>
            <w:hideMark/>
          </w:tcPr>
          <w:p w14:paraId="30B5BA35"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46B5576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5E6BD3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FF5ED0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892FDA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A1A073F" w14:textId="77777777" w:rsidR="00E403D6" w:rsidRPr="00F10391" w:rsidRDefault="00E403D6">
            <w:r w:rsidRPr="00F10391">
              <w:rPr>
                <w:rFonts w:ascii="Segoe UI Symbol" w:hAnsi="Segoe UI Symbol" w:cs="Segoe UI Symbol"/>
                <w:lang w:eastAsia="en-GB"/>
              </w:rPr>
              <w:t>✓</w:t>
            </w:r>
          </w:p>
        </w:tc>
        <w:tc>
          <w:tcPr>
            <w:tcW w:w="885" w:type="dxa"/>
            <w:tcBorders>
              <w:top w:val="nil"/>
              <w:left w:val="nil"/>
              <w:bottom w:val="single" w:sz="4" w:space="0" w:color="auto"/>
              <w:right w:val="single" w:sz="4" w:space="0" w:color="auto"/>
            </w:tcBorders>
            <w:shd w:val="clear" w:color="auto" w:fill="auto"/>
            <w:noWrap/>
            <w:vAlign w:val="center"/>
            <w:hideMark/>
          </w:tcPr>
          <w:p w14:paraId="6394E755" w14:textId="77777777" w:rsidR="00E403D6" w:rsidRPr="00F10391" w:rsidRDefault="00E403D6">
            <w:r w:rsidRPr="00F10391">
              <w:t>Not found</w:t>
            </w:r>
          </w:p>
        </w:tc>
      </w:tr>
      <w:tr w:rsidR="00E403D6" w:rsidRPr="00F10391" w14:paraId="3AD172D3"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9E3E238" w14:textId="77777777" w:rsidR="00E403D6" w:rsidRPr="00F10391" w:rsidRDefault="00E403D6" w:rsidP="0063065F">
            <w:pPr>
              <w:jc w:val="left"/>
            </w:pPr>
            <w:r w:rsidRPr="00F10391">
              <w:t>07/10/14</w:t>
            </w:r>
          </w:p>
        </w:tc>
        <w:tc>
          <w:tcPr>
            <w:tcW w:w="2720" w:type="dxa"/>
            <w:tcBorders>
              <w:top w:val="nil"/>
              <w:left w:val="nil"/>
              <w:bottom w:val="single" w:sz="4" w:space="0" w:color="auto"/>
              <w:right w:val="single" w:sz="4" w:space="0" w:color="auto"/>
            </w:tcBorders>
            <w:shd w:val="clear" w:color="auto" w:fill="auto"/>
            <w:vAlign w:val="center"/>
            <w:hideMark/>
          </w:tcPr>
          <w:p w14:paraId="766A57E1" w14:textId="77777777" w:rsidR="00E403D6" w:rsidRPr="00F10391" w:rsidRDefault="00E403D6" w:rsidP="0063065F">
            <w:pPr>
              <w:jc w:val="left"/>
            </w:pPr>
            <w:r w:rsidRPr="00F10391">
              <w:t>Benefits And Risks Of Emerging Technologies: Integrating Life Cycle Assessment And Decision Analysis To Assess Lumber Treatment Alternatives</w:t>
            </w:r>
          </w:p>
        </w:tc>
        <w:tc>
          <w:tcPr>
            <w:tcW w:w="1985" w:type="dxa"/>
            <w:tcBorders>
              <w:top w:val="nil"/>
              <w:left w:val="nil"/>
              <w:bottom w:val="single" w:sz="4" w:space="0" w:color="auto"/>
              <w:right w:val="single" w:sz="4" w:space="0" w:color="auto"/>
            </w:tcBorders>
            <w:shd w:val="clear" w:color="auto" w:fill="auto"/>
            <w:vAlign w:val="center"/>
            <w:hideMark/>
          </w:tcPr>
          <w:p w14:paraId="68BA5543" w14:textId="77777777" w:rsidR="00E403D6" w:rsidRPr="00F10391" w:rsidRDefault="00E403D6" w:rsidP="0063065F">
            <w:pPr>
              <w:jc w:val="left"/>
            </w:pPr>
            <w:r w:rsidRPr="00F10391">
              <w:t>Tsang, Michael P.; Bates, Matthew E.; Madison, Marcus; Linkov, Igor</w:t>
            </w:r>
          </w:p>
        </w:tc>
        <w:tc>
          <w:tcPr>
            <w:tcW w:w="2078" w:type="dxa"/>
            <w:tcBorders>
              <w:top w:val="nil"/>
              <w:left w:val="nil"/>
              <w:bottom w:val="single" w:sz="4" w:space="0" w:color="auto"/>
              <w:right w:val="single" w:sz="4" w:space="0" w:color="auto"/>
            </w:tcBorders>
            <w:shd w:val="clear" w:color="auto" w:fill="auto"/>
            <w:vAlign w:val="center"/>
            <w:hideMark/>
          </w:tcPr>
          <w:p w14:paraId="4F65D55D" w14:textId="77777777" w:rsidR="00E403D6" w:rsidRPr="00F10391" w:rsidRDefault="00E403D6" w:rsidP="0063065F">
            <w:pPr>
              <w:jc w:val="left"/>
            </w:pPr>
            <w:r w:rsidRPr="00F10391">
              <w:t>Environmental Science &amp; Technology 2014. 48 19 11543-11550 10.1021/Es501996S</w:t>
            </w:r>
          </w:p>
        </w:tc>
        <w:tc>
          <w:tcPr>
            <w:tcW w:w="862" w:type="dxa"/>
            <w:tcBorders>
              <w:top w:val="nil"/>
              <w:left w:val="nil"/>
              <w:bottom w:val="single" w:sz="4" w:space="0" w:color="auto"/>
              <w:right w:val="single" w:sz="4" w:space="0" w:color="auto"/>
            </w:tcBorders>
            <w:shd w:val="clear" w:color="auto" w:fill="auto"/>
            <w:noWrap/>
            <w:vAlign w:val="center"/>
            <w:hideMark/>
          </w:tcPr>
          <w:p w14:paraId="10B72B74"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5E0AAC5F"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A83B14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93582F6"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EDBC6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F60CB1B"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0F5C739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8CA7AAF" w14:textId="77777777" w:rsidR="00E403D6" w:rsidRPr="00F10391" w:rsidRDefault="00E403D6">
            <w:r w:rsidRPr="00F10391">
              <w:t>Not found</w:t>
            </w:r>
          </w:p>
        </w:tc>
      </w:tr>
      <w:tr w:rsidR="00E403D6" w:rsidRPr="00F10391" w14:paraId="1A8DD635"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02EEE09" w14:textId="77777777" w:rsidR="00E403D6" w:rsidRPr="00F10391" w:rsidRDefault="00E403D6" w:rsidP="0063065F">
            <w:pPr>
              <w:jc w:val="left"/>
            </w:pPr>
            <w:r w:rsidRPr="00F10391">
              <w:t>09/10/14</w:t>
            </w:r>
          </w:p>
        </w:tc>
        <w:tc>
          <w:tcPr>
            <w:tcW w:w="2720" w:type="dxa"/>
            <w:tcBorders>
              <w:top w:val="nil"/>
              <w:left w:val="nil"/>
              <w:bottom w:val="single" w:sz="4" w:space="0" w:color="auto"/>
              <w:right w:val="single" w:sz="4" w:space="0" w:color="auto"/>
            </w:tcBorders>
            <w:shd w:val="clear" w:color="auto" w:fill="auto"/>
            <w:vAlign w:val="center"/>
            <w:hideMark/>
          </w:tcPr>
          <w:p w14:paraId="736E7987" w14:textId="77777777" w:rsidR="00E403D6" w:rsidRPr="00F10391" w:rsidRDefault="00E403D6" w:rsidP="0063065F">
            <w:pPr>
              <w:jc w:val="left"/>
            </w:pPr>
            <w:r w:rsidRPr="00F10391">
              <w:t>Multi Criteria Decision Making To Evaluate Control Strategies Of Contagious Animal Diseases</w:t>
            </w:r>
          </w:p>
        </w:tc>
        <w:tc>
          <w:tcPr>
            <w:tcW w:w="1985" w:type="dxa"/>
            <w:tcBorders>
              <w:top w:val="nil"/>
              <w:left w:val="nil"/>
              <w:bottom w:val="single" w:sz="4" w:space="0" w:color="auto"/>
              <w:right w:val="single" w:sz="4" w:space="0" w:color="auto"/>
            </w:tcBorders>
            <w:shd w:val="clear" w:color="auto" w:fill="auto"/>
            <w:vAlign w:val="center"/>
            <w:hideMark/>
          </w:tcPr>
          <w:p w14:paraId="70391AF7" w14:textId="77777777" w:rsidR="00E403D6" w:rsidRPr="00F10391" w:rsidRDefault="00E403D6" w:rsidP="0063065F">
            <w:pPr>
              <w:jc w:val="left"/>
            </w:pPr>
            <w:r w:rsidRPr="00F10391">
              <w:t>Mourits, M. C. M.; Van Asseldonk, M. A. P. M.; Huirne, R. B. M.</w:t>
            </w:r>
          </w:p>
        </w:tc>
        <w:tc>
          <w:tcPr>
            <w:tcW w:w="2078" w:type="dxa"/>
            <w:tcBorders>
              <w:top w:val="nil"/>
              <w:left w:val="nil"/>
              <w:bottom w:val="single" w:sz="4" w:space="0" w:color="auto"/>
              <w:right w:val="single" w:sz="4" w:space="0" w:color="auto"/>
            </w:tcBorders>
            <w:shd w:val="clear" w:color="auto" w:fill="auto"/>
            <w:vAlign w:val="center"/>
            <w:hideMark/>
          </w:tcPr>
          <w:p w14:paraId="59CC575C" w14:textId="77777777" w:rsidR="00E403D6" w:rsidRPr="00F10391" w:rsidRDefault="00E403D6" w:rsidP="0063065F">
            <w:pPr>
              <w:jc w:val="left"/>
            </w:pPr>
            <w:r w:rsidRPr="00F10391">
              <w:t>Preventive Veterinary Medicine. 2010;96(40270):201-210</w:t>
            </w:r>
          </w:p>
        </w:tc>
        <w:tc>
          <w:tcPr>
            <w:tcW w:w="862" w:type="dxa"/>
            <w:tcBorders>
              <w:top w:val="nil"/>
              <w:left w:val="nil"/>
              <w:bottom w:val="single" w:sz="4" w:space="0" w:color="auto"/>
              <w:right w:val="single" w:sz="4" w:space="0" w:color="auto"/>
            </w:tcBorders>
            <w:shd w:val="clear" w:color="auto" w:fill="auto"/>
            <w:noWrap/>
            <w:vAlign w:val="center"/>
            <w:hideMark/>
          </w:tcPr>
          <w:p w14:paraId="0F405857"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3289B502"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7F1D86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408D179"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158DCC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91BC079"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8B3C28A"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33B0724" w14:textId="77777777" w:rsidR="00E403D6" w:rsidRPr="00F10391" w:rsidRDefault="00E403D6">
            <w:r w:rsidRPr="00F10391">
              <w:t>Not found</w:t>
            </w:r>
          </w:p>
        </w:tc>
      </w:tr>
      <w:tr w:rsidR="00E403D6" w:rsidRPr="00F10391" w14:paraId="4959A618"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E5F78D5" w14:textId="77777777" w:rsidR="00E403D6" w:rsidRPr="00F10391" w:rsidRDefault="00E403D6" w:rsidP="0063065F">
            <w:pPr>
              <w:jc w:val="left"/>
            </w:pPr>
            <w:r w:rsidRPr="00F10391">
              <w:t>04/11/14</w:t>
            </w:r>
          </w:p>
        </w:tc>
        <w:tc>
          <w:tcPr>
            <w:tcW w:w="2720" w:type="dxa"/>
            <w:tcBorders>
              <w:top w:val="nil"/>
              <w:left w:val="nil"/>
              <w:bottom w:val="single" w:sz="4" w:space="0" w:color="auto"/>
              <w:right w:val="single" w:sz="4" w:space="0" w:color="auto"/>
            </w:tcBorders>
            <w:shd w:val="clear" w:color="auto" w:fill="auto"/>
            <w:vAlign w:val="center"/>
            <w:hideMark/>
          </w:tcPr>
          <w:p w14:paraId="3FAB6B74" w14:textId="77777777" w:rsidR="00E403D6" w:rsidRPr="00F10391" w:rsidRDefault="00E403D6" w:rsidP="0063065F">
            <w:pPr>
              <w:jc w:val="left"/>
            </w:pPr>
            <w:r w:rsidRPr="00F10391">
              <w:t>Characterization Of An Amylose-Graft-Poly(N-Butyl Methacrylate) Copolymer Obtained By Click Chemistry By Epr And Ss-Nmr Spectroscopies</w:t>
            </w:r>
          </w:p>
        </w:tc>
        <w:tc>
          <w:tcPr>
            <w:tcW w:w="1985" w:type="dxa"/>
            <w:tcBorders>
              <w:top w:val="nil"/>
              <w:left w:val="nil"/>
              <w:bottom w:val="single" w:sz="4" w:space="0" w:color="auto"/>
              <w:right w:val="single" w:sz="4" w:space="0" w:color="auto"/>
            </w:tcBorders>
            <w:shd w:val="clear" w:color="auto" w:fill="auto"/>
            <w:vAlign w:val="center"/>
            <w:hideMark/>
          </w:tcPr>
          <w:p w14:paraId="2E462672" w14:textId="77777777" w:rsidR="00E403D6" w:rsidRPr="005D7324" w:rsidRDefault="00E403D6" w:rsidP="0063065F">
            <w:pPr>
              <w:jc w:val="left"/>
            </w:pPr>
            <w:r w:rsidRPr="005D7324">
              <w:t>Borsacchi, Silvia; Calucci, Lucia; Geppi, Marco; La Terra, Federico; Pinzino, Calogero; Bertoldo, Monica</w:t>
            </w:r>
          </w:p>
        </w:tc>
        <w:tc>
          <w:tcPr>
            <w:tcW w:w="2078" w:type="dxa"/>
            <w:tcBorders>
              <w:top w:val="nil"/>
              <w:left w:val="nil"/>
              <w:bottom w:val="single" w:sz="4" w:space="0" w:color="auto"/>
              <w:right w:val="single" w:sz="4" w:space="0" w:color="auto"/>
            </w:tcBorders>
            <w:shd w:val="clear" w:color="auto" w:fill="auto"/>
            <w:vAlign w:val="center"/>
            <w:hideMark/>
          </w:tcPr>
          <w:p w14:paraId="543DAD11" w14:textId="77777777" w:rsidR="00E403D6" w:rsidRPr="00F10391" w:rsidRDefault="00E403D6" w:rsidP="0063065F">
            <w:pPr>
              <w:jc w:val="left"/>
            </w:pPr>
            <w:r w:rsidRPr="00F10391">
              <w:t>Carbohydrate Polymers 2014. 112  245-254 10.1016/J.Carbpol.2014.05.086</w:t>
            </w:r>
          </w:p>
        </w:tc>
        <w:tc>
          <w:tcPr>
            <w:tcW w:w="862" w:type="dxa"/>
            <w:tcBorders>
              <w:top w:val="nil"/>
              <w:left w:val="nil"/>
              <w:bottom w:val="single" w:sz="4" w:space="0" w:color="auto"/>
              <w:right w:val="single" w:sz="4" w:space="0" w:color="auto"/>
            </w:tcBorders>
            <w:shd w:val="clear" w:color="auto" w:fill="auto"/>
            <w:noWrap/>
            <w:vAlign w:val="center"/>
            <w:hideMark/>
          </w:tcPr>
          <w:p w14:paraId="5D255438"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7C1CC98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76C0A1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06CB4011"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E657277"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4E5121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2F4453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20110E2D" w14:textId="77777777" w:rsidR="00E403D6" w:rsidRPr="00F10391" w:rsidRDefault="00E403D6">
            <w:r w:rsidRPr="00F10391">
              <w:t>Not found</w:t>
            </w:r>
          </w:p>
        </w:tc>
      </w:tr>
      <w:tr w:rsidR="00E403D6" w:rsidRPr="00F10391" w14:paraId="2C77BB9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F45C714" w14:textId="77777777" w:rsidR="00E403D6" w:rsidRPr="00F10391" w:rsidRDefault="00E403D6" w:rsidP="0063065F">
            <w:pPr>
              <w:jc w:val="left"/>
            </w:pPr>
            <w:r w:rsidRPr="00F10391">
              <w:t>05/11/14</w:t>
            </w:r>
          </w:p>
        </w:tc>
        <w:tc>
          <w:tcPr>
            <w:tcW w:w="2720" w:type="dxa"/>
            <w:tcBorders>
              <w:top w:val="nil"/>
              <w:left w:val="nil"/>
              <w:bottom w:val="single" w:sz="4" w:space="0" w:color="auto"/>
              <w:right w:val="single" w:sz="4" w:space="0" w:color="auto"/>
            </w:tcBorders>
            <w:shd w:val="clear" w:color="auto" w:fill="auto"/>
            <w:vAlign w:val="center"/>
            <w:hideMark/>
          </w:tcPr>
          <w:p w14:paraId="02F31460" w14:textId="77777777" w:rsidR="00E403D6" w:rsidRPr="00F10391" w:rsidRDefault="00E403D6" w:rsidP="0063065F">
            <w:pPr>
              <w:jc w:val="left"/>
            </w:pPr>
            <w:r w:rsidRPr="00F10391">
              <w:t>Multiple-Criteria Decision Analysis Reveals High Stakeholder Preference To Remove Pharmaceuticals From Hospital Wastewater</w:t>
            </w:r>
          </w:p>
        </w:tc>
        <w:tc>
          <w:tcPr>
            <w:tcW w:w="1985" w:type="dxa"/>
            <w:tcBorders>
              <w:top w:val="nil"/>
              <w:left w:val="nil"/>
              <w:bottom w:val="single" w:sz="4" w:space="0" w:color="auto"/>
              <w:right w:val="single" w:sz="4" w:space="0" w:color="auto"/>
            </w:tcBorders>
            <w:shd w:val="clear" w:color="auto" w:fill="auto"/>
            <w:vAlign w:val="center"/>
            <w:hideMark/>
          </w:tcPr>
          <w:p w14:paraId="42614CA4" w14:textId="77777777" w:rsidR="00E403D6" w:rsidRPr="00F10391" w:rsidRDefault="00E403D6" w:rsidP="0063065F">
            <w:pPr>
              <w:jc w:val="left"/>
            </w:pPr>
            <w:r w:rsidRPr="00F10391">
              <w:t>Lienert, Judit; Koller, Mirjam; Konrad, Jonas; Mcardell, Christa S.; Schuwirth, Nele</w:t>
            </w:r>
          </w:p>
        </w:tc>
        <w:tc>
          <w:tcPr>
            <w:tcW w:w="2078" w:type="dxa"/>
            <w:tcBorders>
              <w:top w:val="nil"/>
              <w:left w:val="nil"/>
              <w:bottom w:val="single" w:sz="4" w:space="0" w:color="auto"/>
              <w:right w:val="single" w:sz="4" w:space="0" w:color="auto"/>
            </w:tcBorders>
            <w:shd w:val="clear" w:color="auto" w:fill="auto"/>
            <w:vAlign w:val="center"/>
            <w:hideMark/>
          </w:tcPr>
          <w:p w14:paraId="29C5F80A" w14:textId="77777777" w:rsidR="00E403D6" w:rsidRPr="00F10391" w:rsidRDefault="00E403D6" w:rsidP="0063065F">
            <w:pPr>
              <w:jc w:val="left"/>
            </w:pPr>
            <w:r w:rsidRPr="00F10391">
              <w:t>Environmental Science &amp; Technology. 2011;45(9):3848-3857</w:t>
            </w:r>
          </w:p>
        </w:tc>
        <w:tc>
          <w:tcPr>
            <w:tcW w:w="862" w:type="dxa"/>
            <w:tcBorders>
              <w:top w:val="nil"/>
              <w:left w:val="nil"/>
              <w:bottom w:val="single" w:sz="4" w:space="0" w:color="auto"/>
              <w:right w:val="single" w:sz="4" w:space="0" w:color="auto"/>
            </w:tcBorders>
            <w:shd w:val="clear" w:color="auto" w:fill="auto"/>
            <w:noWrap/>
            <w:vAlign w:val="center"/>
            <w:hideMark/>
          </w:tcPr>
          <w:p w14:paraId="2AC9548D"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08BD728D"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66E0501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66D0CB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08CE50D"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183BFC24"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5044B171"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76581703" w14:textId="77777777" w:rsidR="00E403D6" w:rsidRPr="00F10391" w:rsidRDefault="00E403D6">
            <w:r w:rsidRPr="00F10391">
              <w:t>Not found</w:t>
            </w:r>
          </w:p>
        </w:tc>
      </w:tr>
      <w:tr w:rsidR="00E403D6" w:rsidRPr="00F10391" w14:paraId="4358553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8634554" w14:textId="77777777" w:rsidR="00E403D6" w:rsidRPr="00F10391" w:rsidRDefault="00E403D6" w:rsidP="0063065F">
            <w:pPr>
              <w:jc w:val="left"/>
            </w:pPr>
            <w:r w:rsidRPr="00F10391">
              <w:t>09/11/14</w:t>
            </w:r>
          </w:p>
        </w:tc>
        <w:tc>
          <w:tcPr>
            <w:tcW w:w="2720" w:type="dxa"/>
            <w:tcBorders>
              <w:top w:val="nil"/>
              <w:left w:val="nil"/>
              <w:bottom w:val="single" w:sz="4" w:space="0" w:color="auto"/>
              <w:right w:val="single" w:sz="4" w:space="0" w:color="auto"/>
            </w:tcBorders>
            <w:shd w:val="clear" w:color="auto" w:fill="auto"/>
            <w:vAlign w:val="center"/>
            <w:hideMark/>
          </w:tcPr>
          <w:p w14:paraId="63675BF7" w14:textId="77777777" w:rsidR="00E403D6" w:rsidRPr="00F10391" w:rsidRDefault="00E403D6" w:rsidP="0063065F">
            <w:pPr>
              <w:jc w:val="left"/>
            </w:pPr>
            <w:r w:rsidRPr="00F10391">
              <w:t>Spatial Modelling Of Disease Using Data- And Knowledge-Driven Approaches.</w:t>
            </w:r>
          </w:p>
        </w:tc>
        <w:tc>
          <w:tcPr>
            <w:tcW w:w="1985" w:type="dxa"/>
            <w:tcBorders>
              <w:top w:val="nil"/>
              <w:left w:val="nil"/>
              <w:bottom w:val="single" w:sz="4" w:space="0" w:color="auto"/>
              <w:right w:val="single" w:sz="4" w:space="0" w:color="auto"/>
            </w:tcBorders>
            <w:shd w:val="clear" w:color="auto" w:fill="auto"/>
            <w:vAlign w:val="center"/>
            <w:hideMark/>
          </w:tcPr>
          <w:p w14:paraId="0F3FF244" w14:textId="77777777" w:rsidR="00E403D6" w:rsidRPr="005D7324" w:rsidRDefault="00E403D6" w:rsidP="0063065F">
            <w:pPr>
              <w:jc w:val="left"/>
            </w:pPr>
            <w:r w:rsidRPr="005D7324">
              <w:t>Stevens, Kim B; Pfeiffer, Dirk U</w:t>
            </w:r>
          </w:p>
        </w:tc>
        <w:tc>
          <w:tcPr>
            <w:tcW w:w="2078" w:type="dxa"/>
            <w:tcBorders>
              <w:top w:val="nil"/>
              <w:left w:val="nil"/>
              <w:bottom w:val="single" w:sz="4" w:space="0" w:color="auto"/>
              <w:right w:val="single" w:sz="4" w:space="0" w:color="auto"/>
            </w:tcBorders>
            <w:shd w:val="clear" w:color="auto" w:fill="auto"/>
            <w:vAlign w:val="center"/>
            <w:hideMark/>
          </w:tcPr>
          <w:p w14:paraId="233DE4E2" w14:textId="77777777" w:rsidR="00E403D6" w:rsidRPr="00F10391" w:rsidRDefault="00E403D6" w:rsidP="0063065F">
            <w:pPr>
              <w:jc w:val="left"/>
            </w:pPr>
            <w:r w:rsidRPr="00F10391">
              <w:t>Spatial And Spatio-Temporal Epidemiology. 2011;2(3):125-33</w:t>
            </w:r>
          </w:p>
        </w:tc>
        <w:tc>
          <w:tcPr>
            <w:tcW w:w="862" w:type="dxa"/>
            <w:tcBorders>
              <w:top w:val="nil"/>
              <w:left w:val="nil"/>
              <w:bottom w:val="single" w:sz="4" w:space="0" w:color="auto"/>
              <w:right w:val="single" w:sz="4" w:space="0" w:color="auto"/>
            </w:tcBorders>
            <w:shd w:val="clear" w:color="auto" w:fill="auto"/>
            <w:noWrap/>
            <w:vAlign w:val="center"/>
            <w:hideMark/>
          </w:tcPr>
          <w:p w14:paraId="1882853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623CB9DC"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4EB31FF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8DD0D0F"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34ACE3E"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7D6F98A"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1D2FF4E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3D23C18" w14:textId="77777777" w:rsidR="00E403D6" w:rsidRPr="00F10391" w:rsidRDefault="00E403D6">
            <w:r w:rsidRPr="00F10391">
              <w:t>Not found</w:t>
            </w:r>
          </w:p>
        </w:tc>
      </w:tr>
      <w:tr w:rsidR="00E403D6" w:rsidRPr="00F10391" w14:paraId="3A963BEA"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EC8DE91" w14:textId="77777777" w:rsidR="00E403D6" w:rsidRPr="00F10391" w:rsidRDefault="00E403D6" w:rsidP="0063065F">
            <w:pPr>
              <w:jc w:val="left"/>
            </w:pPr>
            <w:r w:rsidRPr="00F10391">
              <w:t>01/12/14</w:t>
            </w:r>
          </w:p>
        </w:tc>
        <w:tc>
          <w:tcPr>
            <w:tcW w:w="2720" w:type="dxa"/>
            <w:tcBorders>
              <w:top w:val="nil"/>
              <w:left w:val="nil"/>
              <w:bottom w:val="single" w:sz="4" w:space="0" w:color="auto"/>
              <w:right w:val="single" w:sz="4" w:space="0" w:color="auto"/>
            </w:tcBorders>
            <w:shd w:val="clear" w:color="auto" w:fill="auto"/>
            <w:vAlign w:val="center"/>
            <w:hideMark/>
          </w:tcPr>
          <w:p w14:paraId="6B0F2921" w14:textId="77777777" w:rsidR="00E403D6" w:rsidRPr="00F10391" w:rsidRDefault="00E403D6" w:rsidP="0063065F">
            <w:pPr>
              <w:jc w:val="left"/>
            </w:pPr>
            <w:r w:rsidRPr="00F10391">
              <w:t>Regional Risk Assessment For Contaminated Sites Part 3: Spatial Decision Support System</w:t>
            </w:r>
          </w:p>
        </w:tc>
        <w:tc>
          <w:tcPr>
            <w:tcW w:w="1985" w:type="dxa"/>
            <w:tcBorders>
              <w:top w:val="nil"/>
              <w:left w:val="nil"/>
              <w:bottom w:val="single" w:sz="4" w:space="0" w:color="auto"/>
              <w:right w:val="single" w:sz="4" w:space="0" w:color="auto"/>
            </w:tcBorders>
            <w:shd w:val="clear" w:color="auto" w:fill="auto"/>
            <w:vAlign w:val="center"/>
            <w:hideMark/>
          </w:tcPr>
          <w:p w14:paraId="3FA9C9A1" w14:textId="77777777" w:rsidR="00E403D6" w:rsidRPr="005D7324" w:rsidRDefault="00E403D6" w:rsidP="0063065F">
            <w:pPr>
              <w:jc w:val="left"/>
            </w:pPr>
            <w:r w:rsidRPr="005D7324">
              <w:t>Agostini, Paola; Pizzol, Lisa; Critto, Andrea; D'Alessandro, Marco; Zabeo, Alex; Marcomini, Antonio</w:t>
            </w:r>
          </w:p>
        </w:tc>
        <w:tc>
          <w:tcPr>
            <w:tcW w:w="2078" w:type="dxa"/>
            <w:tcBorders>
              <w:top w:val="nil"/>
              <w:left w:val="nil"/>
              <w:bottom w:val="single" w:sz="4" w:space="0" w:color="auto"/>
              <w:right w:val="single" w:sz="4" w:space="0" w:color="auto"/>
            </w:tcBorders>
            <w:shd w:val="clear" w:color="auto" w:fill="auto"/>
            <w:vAlign w:val="center"/>
            <w:hideMark/>
          </w:tcPr>
          <w:p w14:paraId="6FA8FC07" w14:textId="77777777" w:rsidR="00E403D6" w:rsidRPr="00F10391" w:rsidRDefault="00E403D6" w:rsidP="0063065F">
            <w:pPr>
              <w:jc w:val="left"/>
            </w:pPr>
            <w:r w:rsidRPr="00F10391">
              <w:t>Environment International. 2012;48():121-132</w:t>
            </w:r>
          </w:p>
        </w:tc>
        <w:tc>
          <w:tcPr>
            <w:tcW w:w="862" w:type="dxa"/>
            <w:tcBorders>
              <w:top w:val="nil"/>
              <w:left w:val="nil"/>
              <w:bottom w:val="single" w:sz="4" w:space="0" w:color="auto"/>
              <w:right w:val="single" w:sz="4" w:space="0" w:color="auto"/>
            </w:tcBorders>
            <w:shd w:val="clear" w:color="auto" w:fill="auto"/>
            <w:noWrap/>
            <w:vAlign w:val="center"/>
            <w:hideMark/>
          </w:tcPr>
          <w:p w14:paraId="40D990E1"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7597D6C9"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5D17CF0F"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756F5DF8"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4C74E609"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BA9B353"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785138A3"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5EF6BBFA" w14:textId="77777777" w:rsidR="00E403D6" w:rsidRPr="00F10391" w:rsidRDefault="00E403D6">
            <w:r w:rsidRPr="00F10391">
              <w:t>Not found</w:t>
            </w:r>
          </w:p>
        </w:tc>
      </w:tr>
      <w:tr w:rsidR="00E403D6" w:rsidRPr="00F10391" w14:paraId="7753A0D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0854E89" w14:textId="77777777" w:rsidR="00E403D6" w:rsidRPr="00F10391" w:rsidRDefault="00E403D6" w:rsidP="0063065F">
            <w:pPr>
              <w:jc w:val="left"/>
            </w:pPr>
            <w:r w:rsidRPr="00F10391">
              <w:t>09/12/14</w:t>
            </w:r>
          </w:p>
        </w:tc>
        <w:tc>
          <w:tcPr>
            <w:tcW w:w="2720" w:type="dxa"/>
            <w:tcBorders>
              <w:top w:val="nil"/>
              <w:left w:val="nil"/>
              <w:bottom w:val="single" w:sz="4" w:space="0" w:color="auto"/>
              <w:right w:val="single" w:sz="4" w:space="0" w:color="auto"/>
            </w:tcBorders>
            <w:shd w:val="clear" w:color="auto" w:fill="auto"/>
            <w:vAlign w:val="center"/>
            <w:hideMark/>
          </w:tcPr>
          <w:p w14:paraId="05229F09" w14:textId="77777777" w:rsidR="00E403D6" w:rsidRPr="00F10391" w:rsidRDefault="00E403D6" w:rsidP="0063065F">
            <w:pPr>
              <w:jc w:val="left"/>
            </w:pPr>
            <w:r w:rsidRPr="00F10391">
              <w:t>Multicriteria Decision Analysis For Including Health Interventions In The Universal Health Coverage Benefit Package In Thailand</w:t>
            </w:r>
          </w:p>
        </w:tc>
        <w:tc>
          <w:tcPr>
            <w:tcW w:w="1985" w:type="dxa"/>
            <w:tcBorders>
              <w:top w:val="nil"/>
              <w:left w:val="nil"/>
              <w:bottom w:val="single" w:sz="4" w:space="0" w:color="auto"/>
              <w:right w:val="single" w:sz="4" w:space="0" w:color="auto"/>
            </w:tcBorders>
            <w:shd w:val="clear" w:color="auto" w:fill="auto"/>
            <w:vAlign w:val="center"/>
            <w:hideMark/>
          </w:tcPr>
          <w:p w14:paraId="1C3BD7C4" w14:textId="77777777" w:rsidR="00E403D6" w:rsidRPr="00F10391" w:rsidRDefault="00E403D6" w:rsidP="0063065F">
            <w:pPr>
              <w:jc w:val="left"/>
            </w:pPr>
            <w:r w:rsidRPr="00F10391">
              <w:t>Youngkong, Sitaporn; Baltussen, Rob; Tantivess, Sripen; Mohara, Adun; Teerawattananon, Yot</w:t>
            </w:r>
          </w:p>
        </w:tc>
        <w:tc>
          <w:tcPr>
            <w:tcW w:w="2078" w:type="dxa"/>
            <w:tcBorders>
              <w:top w:val="nil"/>
              <w:left w:val="nil"/>
              <w:bottom w:val="single" w:sz="4" w:space="0" w:color="auto"/>
              <w:right w:val="single" w:sz="4" w:space="0" w:color="auto"/>
            </w:tcBorders>
            <w:shd w:val="clear" w:color="auto" w:fill="auto"/>
            <w:vAlign w:val="center"/>
            <w:hideMark/>
          </w:tcPr>
          <w:p w14:paraId="3ED13639" w14:textId="77777777" w:rsidR="00E403D6" w:rsidRPr="00F10391" w:rsidRDefault="00E403D6" w:rsidP="0063065F">
            <w:pPr>
              <w:jc w:val="left"/>
            </w:pPr>
            <w:r w:rsidRPr="00F10391">
              <w:t>Value In Health. 2012;15(6):961-970</w:t>
            </w:r>
          </w:p>
        </w:tc>
        <w:tc>
          <w:tcPr>
            <w:tcW w:w="862" w:type="dxa"/>
            <w:tcBorders>
              <w:top w:val="nil"/>
              <w:left w:val="nil"/>
              <w:bottom w:val="single" w:sz="4" w:space="0" w:color="auto"/>
              <w:right w:val="single" w:sz="4" w:space="0" w:color="auto"/>
            </w:tcBorders>
            <w:shd w:val="clear" w:color="auto" w:fill="auto"/>
            <w:noWrap/>
            <w:vAlign w:val="center"/>
            <w:hideMark/>
          </w:tcPr>
          <w:p w14:paraId="7B19EF23" w14:textId="77777777" w:rsidR="00E403D6" w:rsidRPr="00F10391" w:rsidRDefault="00E403D6" w:rsidP="0063065F">
            <w:pPr>
              <w:jc w:val="left"/>
            </w:pPr>
            <w:r w:rsidRPr="00F10391">
              <w:t>ISI WOK</w:t>
            </w:r>
          </w:p>
        </w:tc>
        <w:tc>
          <w:tcPr>
            <w:tcW w:w="940" w:type="dxa"/>
            <w:tcBorders>
              <w:top w:val="nil"/>
              <w:left w:val="nil"/>
              <w:bottom w:val="single" w:sz="4" w:space="0" w:color="auto"/>
              <w:right w:val="single" w:sz="4" w:space="0" w:color="auto"/>
            </w:tcBorders>
            <w:shd w:val="clear" w:color="auto" w:fill="auto"/>
            <w:noWrap/>
            <w:vAlign w:val="center"/>
            <w:hideMark/>
          </w:tcPr>
          <w:p w14:paraId="2CF80807"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4258C73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62DE63B0"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8A33C5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94DC00C"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6CD7748"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365E6CB" w14:textId="77777777" w:rsidR="00E403D6" w:rsidRPr="00F10391" w:rsidRDefault="00E403D6">
            <w:r w:rsidRPr="00F10391">
              <w:t>Not found</w:t>
            </w:r>
          </w:p>
        </w:tc>
      </w:tr>
      <w:tr w:rsidR="00E403D6" w:rsidRPr="00F10391" w14:paraId="06BEDEFC"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E4EEAB7" w14:textId="77777777" w:rsidR="00E403D6" w:rsidRPr="00F10391" w:rsidRDefault="00E403D6" w:rsidP="0063065F">
            <w:pPr>
              <w:jc w:val="left"/>
            </w:pPr>
            <w:r w:rsidRPr="00F10391">
              <w:t>15/12/14</w:t>
            </w:r>
          </w:p>
        </w:tc>
        <w:tc>
          <w:tcPr>
            <w:tcW w:w="2720" w:type="dxa"/>
            <w:tcBorders>
              <w:top w:val="nil"/>
              <w:left w:val="nil"/>
              <w:bottom w:val="single" w:sz="4" w:space="0" w:color="auto"/>
              <w:right w:val="single" w:sz="4" w:space="0" w:color="auto"/>
            </w:tcBorders>
            <w:shd w:val="clear" w:color="auto" w:fill="auto"/>
            <w:vAlign w:val="center"/>
            <w:hideMark/>
          </w:tcPr>
          <w:p w14:paraId="148F63BF" w14:textId="77777777" w:rsidR="00E403D6" w:rsidRPr="00F10391" w:rsidRDefault="00E403D6" w:rsidP="0063065F">
            <w:pPr>
              <w:jc w:val="left"/>
            </w:pPr>
            <w:r w:rsidRPr="00F10391">
              <w:t>Decision Support Systems For Environmental Management: A Case Study On Wastewater From Agriculture</w:t>
            </w:r>
          </w:p>
        </w:tc>
        <w:tc>
          <w:tcPr>
            <w:tcW w:w="1985" w:type="dxa"/>
            <w:tcBorders>
              <w:top w:val="nil"/>
              <w:left w:val="nil"/>
              <w:bottom w:val="single" w:sz="4" w:space="0" w:color="auto"/>
              <w:right w:val="single" w:sz="4" w:space="0" w:color="auto"/>
            </w:tcBorders>
            <w:shd w:val="clear" w:color="auto" w:fill="auto"/>
            <w:vAlign w:val="center"/>
            <w:hideMark/>
          </w:tcPr>
          <w:p w14:paraId="5BF25420" w14:textId="77777777" w:rsidR="00E403D6" w:rsidRPr="005D7324" w:rsidRDefault="00E403D6" w:rsidP="0063065F">
            <w:pPr>
              <w:jc w:val="left"/>
            </w:pPr>
            <w:r w:rsidRPr="005D7324">
              <w:t>Massei, Gianluca; Rocchi, Lucia; Paolotti, Luisa; Greco, Salvatore; Boggia, Antonio</w:t>
            </w:r>
          </w:p>
        </w:tc>
        <w:tc>
          <w:tcPr>
            <w:tcW w:w="2078" w:type="dxa"/>
            <w:tcBorders>
              <w:top w:val="nil"/>
              <w:left w:val="nil"/>
              <w:bottom w:val="single" w:sz="4" w:space="0" w:color="auto"/>
              <w:right w:val="single" w:sz="4" w:space="0" w:color="auto"/>
            </w:tcBorders>
            <w:shd w:val="clear" w:color="auto" w:fill="auto"/>
            <w:vAlign w:val="center"/>
            <w:hideMark/>
          </w:tcPr>
          <w:p w14:paraId="7A92433C" w14:textId="77777777" w:rsidR="00E403D6" w:rsidRPr="00F10391" w:rsidRDefault="00E403D6" w:rsidP="0063065F">
            <w:pPr>
              <w:jc w:val="left"/>
            </w:pPr>
            <w:r w:rsidRPr="00F10391">
              <w:t>Journal Of Environmental Management 2014. 146  491-504 10.1016/J.Jenvman.2014.08.012</w:t>
            </w:r>
          </w:p>
        </w:tc>
        <w:tc>
          <w:tcPr>
            <w:tcW w:w="862" w:type="dxa"/>
            <w:tcBorders>
              <w:top w:val="nil"/>
              <w:left w:val="nil"/>
              <w:bottom w:val="single" w:sz="4" w:space="0" w:color="auto"/>
              <w:right w:val="single" w:sz="4" w:space="0" w:color="auto"/>
            </w:tcBorders>
            <w:shd w:val="clear" w:color="auto" w:fill="auto"/>
            <w:noWrap/>
            <w:vAlign w:val="center"/>
            <w:hideMark/>
          </w:tcPr>
          <w:p w14:paraId="582A5F6A"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6C9B40D8"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1B13886C"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576544B7"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30A0422"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124D7C86"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41AED0EF"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A9239C3" w14:textId="77777777" w:rsidR="00E403D6" w:rsidRPr="00F10391" w:rsidRDefault="00E403D6">
            <w:r w:rsidRPr="00F10391">
              <w:t>Not found</w:t>
            </w:r>
          </w:p>
        </w:tc>
      </w:tr>
      <w:tr w:rsidR="00E403D6" w:rsidRPr="00F10391" w14:paraId="4238DF40"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37D27A9" w14:textId="77777777" w:rsidR="00E403D6" w:rsidRPr="00F10391" w:rsidRDefault="00E403D6" w:rsidP="0063065F">
            <w:pPr>
              <w:jc w:val="left"/>
            </w:pPr>
            <w:r w:rsidRPr="00F10391">
              <w:t>15/12/14</w:t>
            </w:r>
          </w:p>
        </w:tc>
        <w:tc>
          <w:tcPr>
            <w:tcW w:w="2720" w:type="dxa"/>
            <w:tcBorders>
              <w:top w:val="nil"/>
              <w:left w:val="nil"/>
              <w:bottom w:val="single" w:sz="4" w:space="0" w:color="auto"/>
              <w:right w:val="single" w:sz="4" w:space="0" w:color="auto"/>
            </w:tcBorders>
            <w:shd w:val="clear" w:color="auto" w:fill="auto"/>
            <w:vAlign w:val="center"/>
            <w:hideMark/>
          </w:tcPr>
          <w:p w14:paraId="53676E7D" w14:textId="77777777" w:rsidR="00E403D6" w:rsidRPr="00F10391" w:rsidRDefault="00E403D6" w:rsidP="0063065F">
            <w:pPr>
              <w:jc w:val="left"/>
            </w:pPr>
            <w:r w:rsidRPr="00F10391">
              <w:t>Development Of Fuzzy Multi-Criteria Approach To Prioritize Locations Of Treated Wastewater Use Considering Climate Change Scenarios</w:t>
            </w:r>
          </w:p>
        </w:tc>
        <w:tc>
          <w:tcPr>
            <w:tcW w:w="1985" w:type="dxa"/>
            <w:tcBorders>
              <w:top w:val="nil"/>
              <w:left w:val="nil"/>
              <w:bottom w:val="single" w:sz="4" w:space="0" w:color="auto"/>
              <w:right w:val="single" w:sz="4" w:space="0" w:color="auto"/>
            </w:tcBorders>
            <w:shd w:val="clear" w:color="auto" w:fill="auto"/>
            <w:vAlign w:val="center"/>
            <w:hideMark/>
          </w:tcPr>
          <w:p w14:paraId="4206810F" w14:textId="77777777" w:rsidR="00E403D6" w:rsidRPr="005D7324" w:rsidRDefault="00E403D6" w:rsidP="0063065F">
            <w:pPr>
              <w:jc w:val="left"/>
            </w:pPr>
            <w:r w:rsidRPr="005D7324">
              <w:t>Chung, Eun-Sung; Kim, Yeonjoo</w:t>
            </w:r>
          </w:p>
        </w:tc>
        <w:tc>
          <w:tcPr>
            <w:tcW w:w="2078" w:type="dxa"/>
            <w:tcBorders>
              <w:top w:val="nil"/>
              <w:left w:val="nil"/>
              <w:bottom w:val="single" w:sz="4" w:space="0" w:color="auto"/>
              <w:right w:val="single" w:sz="4" w:space="0" w:color="auto"/>
            </w:tcBorders>
            <w:shd w:val="clear" w:color="auto" w:fill="auto"/>
            <w:vAlign w:val="center"/>
            <w:hideMark/>
          </w:tcPr>
          <w:p w14:paraId="0E91F983" w14:textId="77777777" w:rsidR="00E403D6" w:rsidRPr="00F10391" w:rsidRDefault="00E403D6" w:rsidP="0063065F">
            <w:pPr>
              <w:jc w:val="left"/>
            </w:pPr>
            <w:r w:rsidRPr="00F10391">
              <w:t>Journal Of Environmental Management 2014. 146  505-516 10.1016/J.Jenvman.2014.08.013</w:t>
            </w:r>
          </w:p>
        </w:tc>
        <w:tc>
          <w:tcPr>
            <w:tcW w:w="862" w:type="dxa"/>
            <w:tcBorders>
              <w:top w:val="nil"/>
              <w:left w:val="nil"/>
              <w:bottom w:val="single" w:sz="4" w:space="0" w:color="auto"/>
              <w:right w:val="single" w:sz="4" w:space="0" w:color="auto"/>
            </w:tcBorders>
            <w:shd w:val="clear" w:color="auto" w:fill="auto"/>
            <w:noWrap/>
            <w:vAlign w:val="center"/>
            <w:hideMark/>
          </w:tcPr>
          <w:p w14:paraId="111DE0FF"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424D5846"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2C4053C4"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3ADA53FB"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4D48C7D"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491E7C1D"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318C432C"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6CF9B244" w14:textId="77777777" w:rsidR="00E403D6" w:rsidRPr="00F10391" w:rsidRDefault="00E403D6">
            <w:r w:rsidRPr="00F10391">
              <w:t>Not found</w:t>
            </w:r>
          </w:p>
        </w:tc>
      </w:tr>
      <w:tr w:rsidR="00E403D6" w:rsidRPr="00F10391" w14:paraId="2B1413EB"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AD98088" w14:textId="77777777" w:rsidR="00E403D6" w:rsidRPr="00F10391" w:rsidRDefault="00E403D6" w:rsidP="0063065F">
            <w:pPr>
              <w:jc w:val="left"/>
            </w:pPr>
            <w:r w:rsidRPr="00F10391">
              <w:t>2014</w:t>
            </w:r>
          </w:p>
        </w:tc>
        <w:tc>
          <w:tcPr>
            <w:tcW w:w="2720" w:type="dxa"/>
            <w:tcBorders>
              <w:top w:val="nil"/>
              <w:left w:val="nil"/>
              <w:bottom w:val="single" w:sz="4" w:space="0" w:color="auto"/>
              <w:right w:val="single" w:sz="4" w:space="0" w:color="auto"/>
            </w:tcBorders>
            <w:shd w:val="clear" w:color="auto" w:fill="auto"/>
            <w:vAlign w:val="center"/>
            <w:hideMark/>
          </w:tcPr>
          <w:p w14:paraId="25249290" w14:textId="77777777" w:rsidR="00E403D6" w:rsidRPr="00F10391" w:rsidRDefault="00E403D6" w:rsidP="0063065F">
            <w:pPr>
              <w:jc w:val="left"/>
            </w:pPr>
            <w:r w:rsidRPr="00F10391">
              <w:t>Prioritising Public Health Guidance Topics In The National Institute For Health And Care Excellence Using The Analytic Hierarchy Process.</w:t>
            </w:r>
          </w:p>
        </w:tc>
        <w:tc>
          <w:tcPr>
            <w:tcW w:w="1985" w:type="dxa"/>
            <w:tcBorders>
              <w:top w:val="nil"/>
              <w:left w:val="nil"/>
              <w:bottom w:val="single" w:sz="4" w:space="0" w:color="auto"/>
              <w:right w:val="single" w:sz="4" w:space="0" w:color="auto"/>
            </w:tcBorders>
            <w:shd w:val="clear" w:color="auto" w:fill="auto"/>
            <w:vAlign w:val="center"/>
            <w:hideMark/>
          </w:tcPr>
          <w:p w14:paraId="071757C9" w14:textId="77777777" w:rsidR="00E403D6" w:rsidRPr="00F10391" w:rsidRDefault="00E403D6" w:rsidP="0063065F">
            <w:pPr>
              <w:jc w:val="left"/>
            </w:pPr>
            <w:r w:rsidRPr="00F10391">
              <w:t>Reddy, B P; Kelly, M P; Thokala, P; Walters, S J; Duenas, A</w:t>
            </w:r>
          </w:p>
        </w:tc>
        <w:tc>
          <w:tcPr>
            <w:tcW w:w="2078" w:type="dxa"/>
            <w:tcBorders>
              <w:top w:val="nil"/>
              <w:left w:val="nil"/>
              <w:bottom w:val="single" w:sz="4" w:space="0" w:color="auto"/>
              <w:right w:val="single" w:sz="4" w:space="0" w:color="auto"/>
            </w:tcBorders>
            <w:shd w:val="clear" w:color="auto" w:fill="auto"/>
            <w:vAlign w:val="center"/>
            <w:hideMark/>
          </w:tcPr>
          <w:p w14:paraId="258F79B6" w14:textId="77777777" w:rsidR="00E403D6" w:rsidRPr="00F10391" w:rsidRDefault="00E403D6" w:rsidP="0063065F">
            <w:pPr>
              <w:jc w:val="left"/>
            </w:pPr>
            <w:r w:rsidRPr="00F10391">
              <w:t>Public Health 2014. 128 10 896-903 10.1016/J.Puhe.2014.07.003</w:t>
            </w:r>
          </w:p>
        </w:tc>
        <w:tc>
          <w:tcPr>
            <w:tcW w:w="862" w:type="dxa"/>
            <w:tcBorders>
              <w:top w:val="nil"/>
              <w:left w:val="nil"/>
              <w:bottom w:val="single" w:sz="4" w:space="0" w:color="auto"/>
              <w:right w:val="single" w:sz="4" w:space="0" w:color="auto"/>
            </w:tcBorders>
            <w:shd w:val="clear" w:color="auto" w:fill="auto"/>
            <w:noWrap/>
            <w:vAlign w:val="center"/>
            <w:hideMark/>
          </w:tcPr>
          <w:p w14:paraId="0C3CFDBB"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1ADEB4C5" w14:textId="77777777" w:rsidR="00E403D6" w:rsidRPr="00F10391" w:rsidRDefault="00E403D6">
            <w:r w:rsidRPr="00F10391">
              <w:rPr>
                <w:rFonts w:ascii="Segoe UI Symbol" w:hAnsi="Segoe UI Symbol" w:cs="Segoe UI Symbol"/>
                <w:lang w:eastAsia="en-GB"/>
              </w:rPr>
              <w:t>✖</w:t>
            </w:r>
          </w:p>
        </w:tc>
        <w:tc>
          <w:tcPr>
            <w:tcW w:w="848" w:type="dxa"/>
            <w:tcBorders>
              <w:top w:val="nil"/>
              <w:left w:val="nil"/>
              <w:bottom w:val="single" w:sz="4" w:space="0" w:color="auto"/>
              <w:right w:val="single" w:sz="4" w:space="0" w:color="auto"/>
            </w:tcBorders>
            <w:shd w:val="clear" w:color="auto" w:fill="auto"/>
            <w:noWrap/>
            <w:vAlign w:val="center"/>
            <w:hideMark/>
          </w:tcPr>
          <w:p w14:paraId="6CC9A821"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0F43ED8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3BFC317B"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55030291"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F864812"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0D87BAC0" w14:textId="77777777" w:rsidR="00E403D6" w:rsidRPr="00F10391" w:rsidRDefault="00E403D6">
            <w:r w:rsidRPr="00F10391">
              <w:t>Not found</w:t>
            </w:r>
          </w:p>
        </w:tc>
      </w:tr>
      <w:tr w:rsidR="00E403D6" w:rsidRPr="00F10391" w14:paraId="44618EC1" w14:textId="77777777" w:rsidTr="00D4610F">
        <w:trPr>
          <w:tblHead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C4CF2BE" w14:textId="77777777" w:rsidR="00E403D6" w:rsidRPr="00F10391" w:rsidRDefault="00E403D6" w:rsidP="0063065F">
            <w:pPr>
              <w:jc w:val="left"/>
            </w:pPr>
            <w:r w:rsidRPr="00F10391">
              <w:t>2014</w:t>
            </w:r>
          </w:p>
        </w:tc>
        <w:tc>
          <w:tcPr>
            <w:tcW w:w="2720" w:type="dxa"/>
            <w:tcBorders>
              <w:top w:val="nil"/>
              <w:left w:val="nil"/>
              <w:bottom w:val="single" w:sz="4" w:space="0" w:color="auto"/>
              <w:right w:val="single" w:sz="4" w:space="0" w:color="auto"/>
            </w:tcBorders>
            <w:shd w:val="clear" w:color="auto" w:fill="auto"/>
            <w:vAlign w:val="center"/>
            <w:hideMark/>
          </w:tcPr>
          <w:p w14:paraId="6F092ABA" w14:textId="77777777" w:rsidR="00E403D6" w:rsidRPr="00F10391" w:rsidRDefault="00E403D6" w:rsidP="0063065F">
            <w:pPr>
              <w:jc w:val="left"/>
            </w:pPr>
            <w:r w:rsidRPr="00F10391">
              <w:t>Application Of Decision Support Systems In Water Management</w:t>
            </w:r>
          </w:p>
        </w:tc>
        <w:tc>
          <w:tcPr>
            <w:tcW w:w="1985" w:type="dxa"/>
            <w:tcBorders>
              <w:top w:val="nil"/>
              <w:left w:val="nil"/>
              <w:bottom w:val="single" w:sz="4" w:space="0" w:color="auto"/>
              <w:right w:val="single" w:sz="4" w:space="0" w:color="auto"/>
            </w:tcBorders>
            <w:shd w:val="clear" w:color="auto" w:fill="auto"/>
            <w:vAlign w:val="center"/>
            <w:hideMark/>
          </w:tcPr>
          <w:p w14:paraId="4DB91B41" w14:textId="77777777" w:rsidR="00E403D6" w:rsidRPr="00F10391" w:rsidRDefault="00E403D6" w:rsidP="0063065F">
            <w:pPr>
              <w:jc w:val="left"/>
            </w:pPr>
            <w:r w:rsidRPr="00F10391">
              <w:t>Zhang, Kejiang; Zargar, Amin; Achari, Gopal; Islam, M. Shafiqul; Sadiq, Rehan</w:t>
            </w:r>
          </w:p>
        </w:tc>
        <w:tc>
          <w:tcPr>
            <w:tcW w:w="2078" w:type="dxa"/>
            <w:tcBorders>
              <w:top w:val="nil"/>
              <w:left w:val="nil"/>
              <w:bottom w:val="single" w:sz="4" w:space="0" w:color="auto"/>
              <w:right w:val="single" w:sz="4" w:space="0" w:color="auto"/>
            </w:tcBorders>
            <w:shd w:val="clear" w:color="auto" w:fill="auto"/>
            <w:vAlign w:val="center"/>
            <w:hideMark/>
          </w:tcPr>
          <w:p w14:paraId="515765DA" w14:textId="77777777" w:rsidR="00E403D6" w:rsidRPr="00F10391" w:rsidRDefault="00E403D6" w:rsidP="0063065F">
            <w:pPr>
              <w:jc w:val="left"/>
            </w:pPr>
            <w:r w:rsidRPr="00F10391">
              <w:t>Environmental Reviews 2014. 22 3 189-205 10.1139/Er-2013-0034</w:t>
            </w:r>
          </w:p>
        </w:tc>
        <w:tc>
          <w:tcPr>
            <w:tcW w:w="862" w:type="dxa"/>
            <w:tcBorders>
              <w:top w:val="nil"/>
              <w:left w:val="nil"/>
              <w:bottom w:val="single" w:sz="4" w:space="0" w:color="auto"/>
              <w:right w:val="single" w:sz="4" w:space="0" w:color="auto"/>
            </w:tcBorders>
            <w:shd w:val="clear" w:color="auto" w:fill="auto"/>
            <w:noWrap/>
            <w:vAlign w:val="center"/>
            <w:hideMark/>
          </w:tcPr>
          <w:p w14:paraId="20EB42D9" w14:textId="77777777" w:rsidR="00E403D6" w:rsidRPr="00F10391" w:rsidRDefault="00E403D6" w:rsidP="0063065F">
            <w:pPr>
              <w:jc w:val="left"/>
            </w:pPr>
            <w:r w:rsidRPr="00F10391">
              <w:t>ISI WOS</w:t>
            </w:r>
          </w:p>
        </w:tc>
        <w:tc>
          <w:tcPr>
            <w:tcW w:w="940" w:type="dxa"/>
            <w:tcBorders>
              <w:top w:val="nil"/>
              <w:left w:val="nil"/>
              <w:bottom w:val="single" w:sz="4" w:space="0" w:color="auto"/>
              <w:right w:val="single" w:sz="4" w:space="0" w:color="auto"/>
            </w:tcBorders>
            <w:shd w:val="clear" w:color="auto" w:fill="auto"/>
            <w:noWrap/>
            <w:vAlign w:val="center"/>
            <w:hideMark/>
          </w:tcPr>
          <w:p w14:paraId="7C7052D3" w14:textId="77777777" w:rsidR="00E403D6" w:rsidRPr="00F10391" w:rsidRDefault="00E403D6">
            <w:r w:rsidRPr="00F10391">
              <w:t> </w:t>
            </w:r>
          </w:p>
        </w:tc>
        <w:tc>
          <w:tcPr>
            <w:tcW w:w="848" w:type="dxa"/>
            <w:tcBorders>
              <w:top w:val="nil"/>
              <w:left w:val="nil"/>
              <w:bottom w:val="single" w:sz="4" w:space="0" w:color="auto"/>
              <w:right w:val="single" w:sz="4" w:space="0" w:color="auto"/>
            </w:tcBorders>
            <w:shd w:val="clear" w:color="auto" w:fill="auto"/>
            <w:noWrap/>
            <w:vAlign w:val="center"/>
            <w:hideMark/>
          </w:tcPr>
          <w:p w14:paraId="7C265A3E"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6660E472" w14:textId="77777777" w:rsidR="00E403D6" w:rsidRPr="00F10391" w:rsidRDefault="00E403D6">
            <w:r w:rsidRPr="00F10391">
              <w:rPr>
                <w:rFonts w:ascii="Segoe UI Symbol" w:hAnsi="Segoe UI Symbol" w:cs="Segoe UI Symbol"/>
                <w:lang w:eastAsia="en-GB"/>
              </w:rPr>
              <w:t>✖</w:t>
            </w:r>
          </w:p>
        </w:tc>
        <w:tc>
          <w:tcPr>
            <w:tcW w:w="840" w:type="dxa"/>
            <w:tcBorders>
              <w:top w:val="nil"/>
              <w:left w:val="nil"/>
              <w:bottom w:val="single" w:sz="4" w:space="0" w:color="auto"/>
              <w:right w:val="single" w:sz="4" w:space="0" w:color="auto"/>
            </w:tcBorders>
            <w:shd w:val="clear" w:color="auto" w:fill="auto"/>
            <w:noWrap/>
            <w:vAlign w:val="center"/>
            <w:hideMark/>
          </w:tcPr>
          <w:p w14:paraId="2E28E738" w14:textId="77777777" w:rsidR="00E403D6" w:rsidRPr="00F10391" w:rsidRDefault="00E403D6">
            <w:r w:rsidRPr="00F10391">
              <w:t> </w:t>
            </w:r>
          </w:p>
        </w:tc>
        <w:tc>
          <w:tcPr>
            <w:tcW w:w="840" w:type="dxa"/>
            <w:tcBorders>
              <w:top w:val="nil"/>
              <w:left w:val="nil"/>
              <w:bottom w:val="single" w:sz="4" w:space="0" w:color="auto"/>
              <w:right w:val="single" w:sz="4" w:space="0" w:color="auto"/>
            </w:tcBorders>
            <w:shd w:val="clear" w:color="auto" w:fill="auto"/>
            <w:noWrap/>
            <w:vAlign w:val="center"/>
            <w:hideMark/>
          </w:tcPr>
          <w:p w14:paraId="723B2835" w14:textId="77777777" w:rsidR="00E403D6" w:rsidRPr="00F10391" w:rsidRDefault="00E403D6">
            <w:r w:rsidRPr="00F10391">
              <w:rPr>
                <w:rFonts w:ascii="Segoe UI Symbol" w:hAnsi="Segoe UI Symbol" w:cs="Segoe UI Symbol"/>
                <w:lang w:eastAsia="en-GB"/>
              </w:rPr>
              <w:t>✖</w:t>
            </w:r>
          </w:p>
        </w:tc>
        <w:tc>
          <w:tcPr>
            <w:tcW w:w="972" w:type="dxa"/>
            <w:tcBorders>
              <w:top w:val="nil"/>
              <w:left w:val="nil"/>
              <w:bottom w:val="single" w:sz="4" w:space="0" w:color="auto"/>
              <w:right w:val="single" w:sz="4" w:space="0" w:color="auto"/>
            </w:tcBorders>
            <w:shd w:val="clear" w:color="auto" w:fill="auto"/>
            <w:noWrap/>
            <w:vAlign w:val="center"/>
            <w:hideMark/>
          </w:tcPr>
          <w:p w14:paraId="6282636D" w14:textId="77777777" w:rsidR="00E403D6" w:rsidRPr="00F10391" w:rsidRDefault="00E403D6">
            <w:r w:rsidRPr="00F10391">
              <w:t> </w:t>
            </w:r>
          </w:p>
        </w:tc>
        <w:tc>
          <w:tcPr>
            <w:tcW w:w="885" w:type="dxa"/>
            <w:tcBorders>
              <w:top w:val="nil"/>
              <w:left w:val="nil"/>
              <w:bottom w:val="single" w:sz="4" w:space="0" w:color="auto"/>
              <w:right w:val="single" w:sz="4" w:space="0" w:color="auto"/>
            </w:tcBorders>
            <w:shd w:val="clear" w:color="auto" w:fill="auto"/>
            <w:noWrap/>
            <w:vAlign w:val="center"/>
            <w:hideMark/>
          </w:tcPr>
          <w:p w14:paraId="3F2D3546" w14:textId="77777777" w:rsidR="00E403D6" w:rsidRPr="00F10391" w:rsidRDefault="00E403D6">
            <w:r w:rsidRPr="00F10391">
              <w:t>Not found</w:t>
            </w:r>
          </w:p>
        </w:tc>
      </w:tr>
    </w:tbl>
    <w:p w14:paraId="6DAE5129" w14:textId="77777777" w:rsidR="00E403D6" w:rsidRPr="00F10391" w:rsidRDefault="00E403D6" w:rsidP="00494A9A">
      <w:pPr>
        <w:sectPr w:rsidR="00E403D6" w:rsidRPr="00F10391" w:rsidSect="00C333BF">
          <w:type w:val="continuous"/>
          <w:pgSz w:w="16838" w:h="11906" w:orient="landscape" w:code="9"/>
          <w:pgMar w:top="1440" w:right="1440" w:bottom="1440" w:left="1440" w:header="708" w:footer="708" w:gutter="0"/>
          <w:cols w:space="708"/>
          <w:docGrid w:linePitch="360"/>
        </w:sectPr>
      </w:pPr>
    </w:p>
    <w:p w14:paraId="536C83EF" w14:textId="77777777" w:rsidR="00E403D6" w:rsidRPr="00F10391" w:rsidRDefault="00E403D6" w:rsidP="00494A9A">
      <w:pPr>
        <w:pStyle w:val="Heading2"/>
      </w:pPr>
      <w:bookmarkStart w:id="897" w:name="_Toc313187912"/>
      <w:bookmarkStart w:id="898" w:name="_Toc313619483"/>
      <w:bookmarkStart w:id="899" w:name="_Toc453595572"/>
      <w:bookmarkStart w:id="900" w:name="_Toc476241671"/>
      <w:r w:rsidRPr="00F10391">
        <w:t xml:space="preserve">Appendix </w:t>
      </w:r>
      <w:r w:rsidR="00D22CE3" w:rsidRPr="00F10391">
        <w:t>D</w:t>
      </w:r>
      <w:r w:rsidRPr="00F10391">
        <w:t xml:space="preserve">: Further background information on </w:t>
      </w:r>
      <w:r w:rsidR="00682243" w:rsidRPr="00F10391">
        <w:t xml:space="preserve">included </w:t>
      </w:r>
      <w:r w:rsidRPr="00F10391">
        <w:t xml:space="preserve">papers </w:t>
      </w:r>
      <w:r w:rsidR="00682243" w:rsidRPr="00F10391">
        <w:t>published since</w:t>
      </w:r>
      <w:r w:rsidR="006C623B" w:rsidRPr="00F10391">
        <w:t xml:space="preserve"> the original</w:t>
      </w:r>
      <w:r w:rsidR="00682243" w:rsidRPr="00F10391">
        <w:t xml:space="preserve"> 2011 search</w:t>
      </w:r>
      <w:bookmarkEnd w:id="897"/>
      <w:bookmarkEnd w:id="898"/>
      <w:bookmarkEnd w:id="899"/>
      <w:bookmarkEnd w:id="900"/>
    </w:p>
    <w:tbl>
      <w:tblPr>
        <w:tblW w:w="9039" w:type="dxa"/>
        <w:tblLayout w:type="fixed"/>
        <w:tblLook w:val="04A0" w:firstRow="1" w:lastRow="0" w:firstColumn="1" w:lastColumn="0" w:noHBand="0" w:noVBand="1"/>
      </w:tblPr>
      <w:tblGrid>
        <w:gridCol w:w="1636"/>
        <w:gridCol w:w="1636"/>
        <w:gridCol w:w="1246"/>
        <w:gridCol w:w="1260"/>
        <w:gridCol w:w="1134"/>
        <w:gridCol w:w="993"/>
        <w:gridCol w:w="1134"/>
      </w:tblGrid>
      <w:tr w:rsidR="00E403D6" w:rsidRPr="00F10391" w14:paraId="6BD27034" w14:textId="77777777" w:rsidTr="0063065F">
        <w:trPr>
          <w:trHeight w:val="300"/>
          <w:tblHeader/>
        </w:trPr>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E535A" w14:textId="77777777" w:rsidR="00E403D6" w:rsidRPr="00F10391" w:rsidRDefault="00E403D6" w:rsidP="00494A9A">
            <w:r w:rsidRPr="00F10391">
              <w:t>Title</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14:paraId="11A049E9" w14:textId="77777777" w:rsidR="00E403D6" w:rsidRPr="00F10391" w:rsidRDefault="00E403D6" w:rsidP="00F51F18">
            <w:r w:rsidRPr="00F10391">
              <w:t>Authors</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4D403B8C" w14:textId="77777777" w:rsidR="00E403D6" w:rsidRPr="00F10391" w:rsidRDefault="00E403D6">
            <w:r w:rsidRPr="00F10391">
              <w:t>ShortDetails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43943C6" w14:textId="77777777" w:rsidR="00E403D6" w:rsidRPr="00F10391" w:rsidRDefault="00E403D6">
            <w:r w:rsidRPr="00F10391">
              <w:t>Area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E9DB93" w14:textId="77777777" w:rsidR="00E403D6" w:rsidRPr="00F10391" w:rsidRDefault="00E403D6">
            <w:r w:rsidRPr="00F10391">
              <w:t>PH topic</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D994550" w14:textId="77777777" w:rsidR="00E403D6" w:rsidRPr="00F10391" w:rsidRDefault="00E403D6">
            <w:r w:rsidRPr="00F10391">
              <w:t>MCDA technique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04B64C" w14:textId="77777777" w:rsidR="00E403D6" w:rsidRPr="00F10391" w:rsidRDefault="00E403D6">
            <w:r w:rsidRPr="00F10391">
              <w:t>Country</w:t>
            </w:r>
          </w:p>
        </w:tc>
      </w:tr>
      <w:tr w:rsidR="00E403D6" w:rsidRPr="00F10391" w14:paraId="3CF5FC2F"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32758A1" w14:textId="77777777" w:rsidR="00E403D6" w:rsidRPr="00F10391" w:rsidRDefault="00E403D6" w:rsidP="00494A9A">
            <w:r w:rsidRPr="00F10391">
              <w:t>Evaluating 'success' in programme budgeting and marginal analysis: a literature review</w:t>
            </w:r>
          </w:p>
        </w:tc>
        <w:tc>
          <w:tcPr>
            <w:tcW w:w="1636" w:type="dxa"/>
            <w:tcBorders>
              <w:top w:val="nil"/>
              <w:left w:val="nil"/>
              <w:bottom w:val="single" w:sz="4" w:space="0" w:color="auto"/>
              <w:right w:val="single" w:sz="4" w:space="0" w:color="auto"/>
            </w:tcBorders>
            <w:shd w:val="clear" w:color="auto" w:fill="auto"/>
            <w:noWrap/>
            <w:vAlign w:val="center"/>
            <w:hideMark/>
          </w:tcPr>
          <w:p w14:paraId="177FD4F5" w14:textId="77777777" w:rsidR="00E403D6" w:rsidRPr="00F10391" w:rsidRDefault="00E403D6" w:rsidP="00F51F18">
            <w:r w:rsidRPr="00F10391">
              <w:t>Tsourapas, Angelos; Frew, Emma</w:t>
            </w:r>
          </w:p>
        </w:tc>
        <w:tc>
          <w:tcPr>
            <w:tcW w:w="1246" w:type="dxa"/>
            <w:tcBorders>
              <w:top w:val="nil"/>
              <w:left w:val="nil"/>
              <w:bottom w:val="single" w:sz="4" w:space="0" w:color="auto"/>
              <w:right w:val="single" w:sz="4" w:space="0" w:color="auto"/>
            </w:tcBorders>
            <w:shd w:val="clear" w:color="auto" w:fill="auto"/>
            <w:noWrap/>
            <w:vAlign w:val="center"/>
            <w:hideMark/>
          </w:tcPr>
          <w:p w14:paraId="1E1984E3" w14:textId="77777777" w:rsidR="00E403D6" w:rsidRPr="00F10391" w:rsidRDefault="00E403D6">
            <w:r w:rsidRPr="00F10391">
              <w:t>Journal Of Health Services Research &amp; Policy 2011</w:t>
            </w:r>
          </w:p>
        </w:tc>
        <w:tc>
          <w:tcPr>
            <w:tcW w:w="1260" w:type="dxa"/>
            <w:tcBorders>
              <w:top w:val="nil"/>
              <w:left w:val="nil"/>
              <w:bottom w:val="single" w:sz="4" w:space="0" w:color="auto"/>
              <w:right w:val="single" w:sz="4" w:space="0" w:color="auto"/>
            </w:tcBorders>
            <w:shd w:val="clear" w:color="auto" w:fill="auto"/>
            <w:noWrap/>
            <w:vAlign w:val="center"/>
            <w:hideMark/>
          </w:tcPr>
          <w:p w14:paraId="540BC6B0" w14:textId="77777777" w:rsidR="00E403D6" w:rsidRPr="00F10391" w:rsidRDefault="00E403D6">
            <w:r w:rsidRPr="00F10391">
              <w:t>Review</w:t>
            </w:r>
          </w:p>
        </w:tc>
        <w:tc>
          <w:tcPr>
            <w:tcW w:w="1134" w:type="dxa"/>
            <w:tcBorders>
              <w:top w:val="nil"/>
              <w:left w:val="nil"/>
              <w:bottom w:val="single" w:sz="4" w:space="0" w:color="auto"/>
              <w:right w:val="single" w:sz="4" w:space="0" w:color="auto"/>
            </w:tcBorders>
            <w:shd w:val="clear" w:color="auto" w:fill="auto"/>
            <w:noWrap/>
            <w:vAlign w:val="center"/>
            <w:hideMark/>
          </w:tcPr>
          <w:p w14:paraId="62D2400D" w14:textId="77777777" w:rsidR="00E403D6" w:rsidRPr="00F10391" w:rsidRDefault="00E403D6">
            <w:r w:rsidRPr="00F10391">
              <w:t>PBMA</w:t>
            </w:r>
          </w:p>
        </w:tc>
        <w:tc>
          <w:tcPr>
            <w:tcW w:w="993" w:type="dxa"/>
            <w:tcBorders>
              <w:top w:val="nil"/>
              <w:left w:val="nil"/>
              <w:bottom w:val="single" w:sz="4" w:space="0" w:color="auto"/>
              <w:right w:val="single" w:sz="4" w:space="0" w:color="auto"/>
            </w:tcBorders>
            <w:shd w:val="clear" w:color="auto" w:fill="auto"/>
            <w:noWrap/>
            <w:vAlign w:val="center"/>
            <w:hideMark/>
          </w:tcPr>
          <w:p w14:paraId="36F02510"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35CAB7B2" w14:textId="77777777" w:rsidR="00E403D6" w:rsidRPr="00F10391" w:rsidRDefault="00E403D6">
            <w:r w:rsidRPr="00F10391">
              <w:t>NA</w:t>
            </w:r>
          </w:p>
        </w:tc>
      </w:tr>
      <w:tr w:rsidR="00E403D6" w:rsidRPr="00F10391" w14:paraId="391BD2FC"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3D86CB8" w14:textId="77777777" w:rsidR="00E403D6" w:rsidRPr="00F10391" w:rsidRDefault="00E403D6" w:rsidP="00494A9A">
            <w:r w:rsidRPr="00F10391">
              <w:t>Spatially explicit multi-criteria decision analysis for managing vector-borne diseases</w:t>
            </w:r>
          </w:p>
        </w:tc>
        <w:tc>
          <w:tcPr>
            <w:tcW w:w="1636" w:type="dxa"/>
            <w:tcBorders>
              <w:top w:val="nil"/>
              <w:left w:val="nil"/>
              <w:bottom w:val="single" w:sz="4" w:space="0" w:color="auto"/>
              <w:right w:val="single" w:sz="4" w:space="0" w:color="auto"/>
            </w:tcBorders>
            <w:shd w:val="clear" w:color="auto" w:fill="auto"/>
            <w:noWrap/>
            <w:vAlign w:val="center"/>
            <w:hideMark/>
          </w:tcPr>
          <w:p w14:paraId="60CF99EC" w14:textId="77777777" w:rsidR="00E403D6" w:rsidRPr="00F10391" w:rsidRDefault="00E403D6" w:rsidP="00F51F18">
            <w:r w:rsidRPr="00F10391">
              <w:t>Hongoh, Valerie; Hoen, Anne Gatewood; Aenishaenslin, Cecile; Waaub, Jean-Philippe; Belanger, Denise; Michel, Pascal</w:t>
            </w:r>
          </w:p>
        </w:tc>
        <w:tc>
          <w:tcPr>
            <w:tcW w:w="1246" w:type="dxa"/>
            <w:tcBorders>
              <w:top w:val="nil"/>
              <w:left w:val="nil"/>
              <w:bottom w:val="single" w:sz="4" w:space="0" w:color="auto"/>
              <w:right w:val="single" w:sz="4" w:space="0" w:color="auto"/>
            </w:tcBorders>
            <w:shd w:val="clear" w:color="auto" w:fill="auto"/>
            <w:noWrap/>
            <w:vAlign w:val="center"/>
            <w:hideMark/>
          </w:tcPr>
          <w:p w14:paraId="1750CCBA" w14:textId="77777777" w:rsidR="00E403D6" w:rsidRPr="00F10391" w:rsidRDefault="00E403D6">
            <w:r w:rsidRPr="00F10391">
              <w:t>International Journal Of Health Geographics 2011</w:t>
            </w:r>
          </w:p>
        </w:tc>
        <w:tc>
          <w:tcPr>
            <w:tcW w:w="1260" w:type="dxa"/>
            <w:tcBorders>
              <w:top w:val="nil"/>
              <w:left w:val="nil"/>
              <w:bottom w:val="single" w:sz="4" w:space="0" w:color="auto"/>
              <w:right w:val="single" w:sz="4" w:space="0" w:color="auto"/>
            </w:tcBorders>
            <w:shd w:val="clear" w:color="auto" w:fill="auto"/>
            <w:noWrap/>
            <w:vAlign w:val="center"/>
            <w:hideMark/>
          </w:tcPr>
          <w:p w14:paraId="11CAB4D2" w14:textId="77777777" w:rsidR="00E403D6" w:rsidRPr="00F10391" w:rsidRDefault="00E403D6">
            <w:r w:rsidRPr="00F10391">
              <w:t>Risk monitoring</w:t>
            </w:r>
          </w:p>
        </w:tc>
        <w:tc>
          <w:tcPr>
            <w:tcW w:w="1134" w:type="dxa"/>
            <w:tcBorders>
              <w:top w:val="nil"/>
              <w:left w:val="nil"/>
              <w:bottom w:val="single" w:sz="4" w:space="0" w:color="auto"/>
              <w:right w:val="single" w:sz="4" w:space="0" w:color="auto"/>
            </w:tcBorders>
            <w:shd w:val="clear" w:color="auto" w:fill="auto"/>
            <w:noWrap/>
            <w:vAlign w:val="center"/>
            <w:hideMark/>
          </w:tcPr>
          <w:p w14:paraId="28878713" w14:textId="77777777" w:rsidR="00E403D6" w:rsidRPr="00F10391" w:rsidRDefault="00E403D6">
            <w:r w:rsidRPr="00F10391">
              <w:t>Vector borne disease</w:t>
            </w:r>
          </w:p>
        </w:tc>
        <w:tc>
          <w:tcPr>
            <w:tcW w:w="993" w:type="dxa"/>
            <w:tcBorders>
              <w:top w:val="nil"/>
              <w:left w:val="nil"/>
              <w:bottom w:val="single" w:sz="4" w:space="0" w:color="auto"/>
              <w:right w:val="single" w:sz="4" w:space="0" w:color="auto"/>
            </w:tcBorders>
            <w:shd w:val="clear" w:color="auto" w:fill="auto"/>
            <w:noWrap/>
            <w:vAlign w:val="center"/>
            <w:hideMark/>
          </w:tcPr>
          <w:p w14:paraId="7255B2E0" w14:textId="77777777" w:rsidR="00E403D6" w:rsidRPr="00F10391" w:rsidRDefault="00E403D6">
            <w:r w:rsidRPr="00F10391">
              <w:t>Generic</w:t>
            </w:r>
          </w:p>
        </w:tc>
        <w:tc>
          <w:tcPr>
            <w:tcW w:w="1134" w:type="dxa"/>
            <w:tcBorders>
              <w:top w:val="nil"/>
              <w:left w:val="nil"/>
              <w:bottom w:val="single" w:sz="4" w:space="0" w:color="auto"/>
              <w:right w:val="single" w:sz="4" w:space="0" w:color="auto"/>
            </w:tcBorders>
            <w:shd w:val="clear" w:color="auto" w:fill="auto"/>
            <w:noWrap/>
            <w:vAlign w:val="center"/>
            <w:hideMark/>
          </w:tcPr>
          <w:p w14:paraId="5CBC2672" w14:textId="77777777" w:rsidR="00E403D6" w:rsidRPr="00F10391" w:rsidRDefault="00E403D6">
            <w:r w:rsidRPr="00F10391">
              <w:t>NA</w:t>
            </w:r>
          </w:p>
        </w:tc>
      </w:tr>
      <w:tr w:rsidR="00E403D6" w:rsidRPr="00F10391" w14:paraId="4C673694"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B79D2C7" w14:textId="77777777" w:rsidR="00E403D6" w:rsidRPr="00F10391" w:rsidRDefault="00E403D6" w:rsidP="00494A9A">
            <w:r w:rsidRPr="00F10391">
              <w:t>Multi-criteria decision analysis for setting priorities on HIV/AIDS interventions in Thailand</w:t>
            </w:r>
          </w:p>
        </w:tc>
        <w:tc>
          <w:tcPr>
            <w:tcW w:w="1636" w:type="dxa"/>
            <w:tcBorders>
              <w:top w:val="nil"/>
              <w:left w:val="nil"/>
              <w:bottom w:val="single" w:sz="4" w:space="0" w:color="auto"/>
              <w:right w:val="single" w:sz="4" w:space="0" w:color="auto"/>
            </w:tcBorders>
            <w:shd w:val="clear" w:color="auto" w:fill="auto"/>
            <w:noWrap/>
            <w:vAlign w:val="center"/>
            <w:hideMark/>
          </w:tcPr>
          <w:p w14:paraId="0B981634" w14:textId="77777777" w:rsidR="00E403D6" w:rsidRPr="00F10391" w:rsidRDefault="00E403D6" w:rsidP="00F51F18">
            <w:r w:rsidRPr="00F10391">
              <w:t>Youngkong, Sitaporn; Teerawattananon, Yot; Tantivess, Sripen; Baltussen, Rob</w:t>
            </w:r>
          </w:p>
        </w:tc>
        <w:tc>
          <w:tcPr>
            <w:tcW w:w="1246" w:type="dxa"/>
            <w:tcBorders>
              <w:top w:val="nil"/>
              <w:left w:val="nil"/>
              <w:bottom w:val="single" w:sz="4" w:space="0" w:color="auto"/>
              <w:right w:val="single" w:sz="4" w:space="0" w:color="auto"/>
            </w:tcBorders>
            <w:shd w:val="clear" w:color="auto" w:fill="auto"/>
            <w:noWrap/>
            <w:vAlign w:val="center"/>
            <w:hideMark/>
          </w:tcPr>
          <w:p w14:paraId="649890BF" w14:textId="77777777" w:rsidR="00E403D6" w:rsidRPr="00F10391" w:rsidRDefault="00E403D6">
            <w:r w:rsidRPr="00F10391">
              <w:t>Health Research Policy And Systems 2012</w:t>
            </w:r>
          </w:p>
        </w:tc>
        <w:tc>
          <w:tcPr>
            <w:tcW w:w="1260" w:type="dxa"/>
            <w:tcBorders>
              <w:top w:val="nil"/>
              <w:left w:val="nil"/>
              <w:bottom w:val="single" w:sz="4" w:space="0" w:color="auto"/>
              <w:right w:val="single" w:sz="4" w:space="0" w:color="auto"/>
            </w:tcBorders>
            <w:shd w:val="clear" w:color="auto" w:fill="auto"/>
            <w:noWrap/>
            <w:vAlign w:val="center"/>
            <w:hideMark/>
          </w:tcPr>
          <w:p w14:paraId="4BF5D0A5"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30521AF1" w14:textId="77777777" w:rsidR="00E403D6" w:rsidRPr="00F10391" w:rsidRDefault="00E403D6">
            <w:r w:rsidRPr="00F10391">
              <w:t>HIV/AIDS</w:t>
            </w:r>
          </w:p>
        </w:tc>
        <w:tc>
          <w:tcPr>
            <w:tcW w:w="993" w:type="dxa"/>
            <w:tcBorders>
              <w:top w:val="nil"/>
              <w:left w:val="nil"/>
              <w:bottom w:val="single" w:sz="4" w:space="0" w:color="auto"/>
              <w:right w:val="single" w:sz="4" w:space="0" w:color="auto"/>
            </w:tcBorders>
            <w:shd w:val="clear" w:color="auto" w:fill="auto"/>
            <w:noWrap/>
            <w:vAlign w:val="center"/>
            <w:hideMark/>
          </w:tcPr>
          <w:p w14:paraId="58E05096" w14:textId="77777777" w:rsidR="00E403D6" w:rsidRPr="00F10391" w:rsidRDefault="00E403D6">
            <w:r w:rsidRPr="00F10391">
              <w:t>DCE</w:t>
            </w:r>
          </w:p>
        </w:tc>
        <w:tc>
          <w:tcPr>
            <w:tcW w:w="1134" w:type="dxa"/>
            <w:tcBorders>
              <w:top w:val="nil"/>
              <w:left w:val="nil"/>
              <w:bottom w:val="single" w:sz="4" w:space="0" w:color="auto"/>
              <w:right w:val="single" w:sz="4" w:space="0" w:color="auto"/>
            </w:tcBorders>
            <w:shd w:val="clear" w:color="auto" w:fill="auto"/>
            <w:noWrap/>
            <w:vAlign w:val="center"/>
            <w:hideMark/>
          </w:tcPr>
          <w:p w14:paraId="30807DCF" w14:textId="77777777" w:rsidR="00E403D6" w:rsidRPr="00F10391" w:rsidRDefault="00E403D6">
            <w:r w:rsidRPr="00F10391">
              <w:t>Thailand</w:t>
            </w:r>
          </w:p>
        </w:tc>
      </w:tr>
      <w:tr w:rsidR="00E403D6" w:rsidRPr="00F10391" w14:paraId="22FAC5B6"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EA5B770" w14:textId="77777777" w:rsidR="00E403D6" w:rsidRPr="00F10391" w:rsidRDefault="00E403D6" w:rsidP="00494A9A">
            <w:r w:rsidRPr="00F10391">
              <w:t>Health care priority setting in Norway a multicriteria decision analysis.</w:t>
            </w:r>
          </w:p>
        </w:tc>
        <w:tc>
          <w:tcPr>
            <w:tcW w:w="1636" w:type="dxa"/>
            <w:tcBorders>
              <w:top w:val="nil"/>
              <w:left w:val="nil"/>
              <w:bottom w:val="single" w:sz="4" w:space="0" w:color="auto"/>
              <w:right w:val="single" w:sz="4" w:space="0" w:color="auto"/>
            </w:tcBorders>
            <w:shd w:val="clear" w:color="auto" w:fill="auto"/>
            <w:noWrap/>
            <w:vAlign w:val="center"/>
            <w:hideMark/>
          </w:tcPr>
          <w:p w14:paraId="267B1E34" w14:textId="77777777" w:rsidR="00E403D6" w:rsidRPr="00F10391" w:rsidRDefault="00E403D6" w:rsidP="00F51F18">
            <w:r w:rsidRPr="00F10391">
              <w:t>Defechereux T, Paolucci F, Mirelman A, Youngkong S, Botten G, Hagen TP, Niessen LW.</w:t>
            </w:r>
          </w:p>
        </w:tc>
        <w:tc>
          <w:tcPr>
            <w:tcW w:w="1246" w:type="dxa"/>
            <w:tcBorders>
              <w:top w:val="nil"/>
              <w:left w:val="nil"/>
              <w:bottom w:val="single" w:sz="4" w:space="0" w:color="auto"/>
              <w:right w:val="single" w:sz="4" w:space="0" w:color="auto"/>
            </w:tcBorders>
            <w:shd w:val="clear" w:color="auto" w:fill="auto"/>
            <w:noWrap/>
            <w:vAlign w:val="center"/>
            <w:hideMark/>
          </w:tcPr>
          <w:p w14:paraId="5C42748D" w14:textId="77777777" w:rsidR="00E403D6" w:rsidRPr="00F10391" w:rsidRDefault="00E403D6">
            <w:r w:rsidRPr="00F10391">
              <w:t>Bmc Health Serv Res.  2012</w:t>
            </w:r>
          </w:p>
        </w:tc>
        <w:tc>
          <w:tcPr>
            <w:tcW w:w="1260" w:type="dxa"/>
            <w:tcBorders>
              <w:top w:val="nil"/>
              <w:left w:val="nil"/>
              <w:bottom w:val="single" w:sz="4" w:space="0" w:color="auto"/>
              <w:right w:val="single" w:sz="4" w:space="0" w:color="auto"/>
            </w:tcBorders>
            <w:shd w:val="clear" w:color="auto" w:fill="auto"/>
            <w:noWrap/>
            <w:vAlign w:val="center"/>
            <w:hideMark/>
          </w:tcPr>
          <w:p w14:paraId="7C7E1FE2"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0D9A1911"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6BC04D4E" w14:textId="77777777" w:rsidR="00E403D6" w:rsidRPr="00F10391" w:rsidRDefault="00E403D6">
            <w:r w:rsidRPr="00F10391">
              <w:t>DCE</w:t>
            </w:r>
          </w:p>
        </w:tc>
        <w:tc>
          <w:tcPr>
            <w:tcW w:w="1134" w:type="dxa"/>
            <w:tcBorders>
              <w:top w:val="nil"/>
              <w:left w:val="nil"/>
              <w:bottom w:val="single" w:sz="4" w:space="0" w:color="auto"/>
              <w:right w:val="single" w:sz="4" w:space="0" w:color="auto"/>
            </w:tcBorders>
            <w:shd w:val="clear" w:color="auto" w:fill="auto"/>
            <w:noWrap/>
            <w:vAlign w:val="center"/>
            <w:hideMark/>
          </w:tcPr>
          <w:p w14:paraId="4B62A903" w14:textId="77777777" w:rsidR="00E403D6" w:rsidRPr="00F10391" w:rsidRDefault="00E403D6">
            <w:r w:rsidRPr="00F10391">
              <w:t>Norway</w:t>
            </w:r>
          </w:p>
        </w:tc>
      </w:tr>
      <w:tr w:rsidR="00E403D6" w:rsidRPr="00F10391" w14:paraId="447F57E9"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97FA6FF" w14:textId="77777777" w:rsidR="00E403D6" w:rsidRPr="00F10391" w:rsidRDefault="00E403D6" w:rsidP="00494A9A">
            <w:r w:rsidRPr="00F10391">
              <w:t>System tools for system change</w:t>
            </w:r>
          </w:p>
        </w:tc>
        <w:tc>
          <w:tcPr>
            <w:tcW w:w="1636" w:type="dxa"/>
            <w:tcBorders>
              <w:top w:val="nil"/>
              <w:left w:val="nil"/>
              <w:bottom w:val="single" w:sz="4" w:space="0" w:color="auto"/>
              <w:right w:val="single" w:sz="4" w:space="0" w:color="auto"/>
            </w:tcBorders>
            <w:shd w:val="clear" w:color="auto" w:fill="auto"/>
            <w:noWrap/>
            <w:vAlign w:val="center"/>
            <w:hideMark/>
          </w:tcPr>
          <w:p w14:paraId="013629E1" w14:textId="77777777" w:rsidR="00E403D6" w:rsidRPr="00F10391" w:rsidRDefault="00E403D6" w:rsidP="00F51F18">
            <w:r w:rsidRPr="00F10391">
              <w:t>Willis, Cameron D.; Mitton, Craig; Gordon, Jason; Best, Allan</w:t>
            </w:r>
          </w:p>
        </w:tc>
        <w:tc>
          <w:tcPr>
            <w:tcW w:w="1246" w:type="dxa"/>
            <w:tcBorders>
              <w:top w:val="nil"/>
              <w:left w:val="nil"/>
              <w:bottom w:val="single" w:sz="4" w:space="0" w:color="auto"/>
              <w:right w:val="single" w:sz="4" w:space="0" w:color="auto"/>
            </w:tcBorders>
            <w:shd w:val="clear" w:color="auto" w:fill="auto"/>
            <w:noWrap/>
            <w:vAlign w:val="center"/>
            <w:hideMark/>
          </w:tcPr>
          <w:p w14:paraId="15F15AC8" w14:textId="77777777" w:rsidR="00E403D6" w:rsidRPr="00F10391" w:rsidRDefault="00E403D6">
            <w:r w:rsidRPr="00F10391">
              <w:t>Bmj Quality &amp; Safety 2012</w:t>
            </w:r>
          </w:p>
        </w:tc>
        <w:tc>
          <w:tcPr>
            <w:tcW w:w="1260" w:type="dxa"/>
            <w:tcBorders>
              <w:top w:val="nil"/>
              <w:left w:val="nil"/>
              <w:bottom w:val="single" w:sz="4" w:space="0" w:color="auto"/>
              <w:right w:val="single" w:sz="4" w:space="0" w:color="auto"/>
            </w:tcBorders>
            <w:shd w:val="clear" w:color="auto" w:fill="auto"/>
            <w:noWrap/>
            <w:vAlign w:val="center"/>
            <w:hideMark/>
          </w:tcPr>
          <w:p w14:paraId="67346D6B" w14:textId="77777777" w:rsidR="00E403D6" w:rsidRPr="00F10391" w:rsidRDefault="00E403D6">
            <w:r w:rsidRPr="00F10391">
              <w:t>Overview</w:t>
            </w:r>
          </w:p>
        </w:tc>
        <w:tc>
          <w:tcPr>
            <w:tcW w:w="1134" w:type="dxa"/>
            <w:tcBorders>
              <w:top w:val="nil"/>
              <w:left w:val="nil"/>
              <w:bottom w:val="single" w:sz="4" w:space="0" w:color="auto"/>
              <w:right w:val="single" w:sz="4" w:space="0" w:color="auto"/>
            </w:tcBorders>
            <w:shd w:val="clear" w:color="auto" w:fill="auto"/>
            <w:noWrap/>
            <w:vAlign w:val="center"/>
            <w:hideMark/>
          </w:tcPr>
          <w:p w14:paraId="61568124" w14:textId="77777777" w:rsidR="00E403D6" w:rsidRPr="00F10391" w:rsidRDefault="00E403D6">
            <w:r w:rsidRPr="00F10391">
              <w:t>Systems Change techniques</w:t>
            </w:r>
          </w:p>
        </w:tc>
        <w:tc>
          <w:tcPr>
            <w:tcW w:w="993" w:type="dxa"/>
            <w:tcBorders>
              <w:top w:val="nil"/>
              <w:left w:val="nil"/>
              <w:bottom w:val="single" w:sz="4" w:space="0" w:color="auto"/>
              <w:right w:val="single" w:sz="4" w:space="0" w:color="auto"/>
            </w:tcBorders>
            <w:shd w:val="clear" w:color="auto" w:fill="auto"/>
            <w:noWrap/>
            <w:vAlign w:val="center"/>
            <w:hideMark/>
          </w:tcPr>
          <w:p w14:paraId="4EA52D60"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31CA99E9" w14:textId="77777777" w:rsidR="00E403D6" w:rsidRPr="00F10391" w:rsidRDefault="00E403D6">
            <w:r w:rsidRPr="00F10391">
              <w:t>NA</w:t>
            </w:r>
          </w:p>
        </w:tc>
      </w:tr>
      <w:tr w:rsidR="00E403D6" w:rsidRPr="00F10391" w14:paraId="1CB87210"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45C5E6F" w14:textId="77777777" w:rsidR="00E403D6" w:rsidRPr="00F10391" w:rsidRDefault="00E403D6" w:rsidP="00494A9A">
            <w:r w:rsidRPr="00F10391">
              <w:t>Field testing of a multicriteria decision analysis (MCDA) framework for coverage of a screening test for cervical cancer in South Africa.</w:t>
            </w:r>
          </w:p>
        </w:tc>
        <w:tc>
          <w:tcPr>
            <w:tcW w:w="1636" w:type="dxa"/>
            <w:tcBorders>
              <w:top w:val="nil"/>
              <w:left w:val="nil"/>
              <w:bottom w:val="single" w:sz="4" w:space="0" w:color="auto"/>
              <w:right w:val="single" w:sz="4" w:space="0" w:color="auto"/>
            </w:tcBorders>
            <w:shd w:val="clear" w:color="auto" w:fill="auto"/>
            <w:noWrap/>
            <w:vAlign w:val="center"/>
            <w:hideMark/>
          </w:tcPr>
          <w:p w14:paraId="469FAB87" w14:textId="77777777" w:rsidR="00E403D6" w:rsidRPr="00F10391" w:rsidRDefault="00E403D6" w:rsidP="00F51F18">
            <w:r w:rsidRPr="00F10391">
              <w:t>Miot J, Wagner M, Khoury H, Rindress D, Goetghebeur MM.</w:t>
            </w:r>
          </w:p>
        </w:tc>
        <w:tc>
          <w:tcPr>
            <w:tcW w:w="1246" w:type="dxa"/>
            <w:tcBorders>
              <w:top w:val="nil"/>
              <w:left w:val="nil"/>
              <w:bottom w:val="single" w:sz="4" w:space="0" w:color="auto"/>
              <w:right w:val="single" w:sz="4" w:space="0" w:color="auto"/>
            </w:tcBorders>
            <w:shd w:val="clear" w:color="auto" w:fill="auto"/>
            <w:noWrap/>
            <w:vAlign w:val="center"/>
            <w:hideMark/>
          </w:tcPr>
          <w:p w14:paraId="768446C3" w14:textId="77777777" w:rsidR="00E403D6" w:rsidRPr="00F10391" w:rsidRDefault="00E403D6">
            <w:r w:rsidRPr="00F10391">
              <w:t>Cost Eff Resour Alloc.  2012</w:t>
            </w:r>
          </w:p>
        </w:tc>
        <w:tc>
          <w:tcPr>
            <w:tcW w:w="1260" w:type="dxa"/>
            <w:tcBorders>
              <w:top w:val="nil"/>
              <w:left w:val="nil"/>
              <w:bottom w:val="single" w:sz="4" w:space="0" w:color="auto"/>
              <w:right w:val="single" w:sz="4" w:space="0" w:color="auto"/>
            </w:tcBorders>
            <w:shd w:val="clear" w:color="auto" w:fill="auto"/>
            <w:noWrap/>
            <w:vAlign w:val="center"/>
            <w:hideMark/>
          </w:tcPr>
          <w:p w14:paraId="4B9B962F"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2ADD5FEB" w14:textId="77777777" w:rsidR="00E403D6" w:rsidRPr="00F10391" w:rsidRDefault="00E403D6">
            <w:r w:rsidRPr="00F10391">
              <w:t>Cervical cancer screening</w:t>
            </w:r>
          </w:p>
        </w:tc>
        <w:tc>
          <w:tcPr>
            <w:tcW w:w="993" w:type="dxa"/>
            <w:tcBorders>
              <w:top w:val="nil"/>
              <w:left w:val="nil"/>
              <w:bottom w:val="single" w:sz="4" w:space="0" w:color="auto"/>
              <w:right w:val="single" w:sz="4" w:space="0" w:color="auto"/>
            </w:tcBorders>
            <w:shd w:val="clear" w:color="auto" w:fill="auto"/>
            <w:noWrap/>
            <w:vAlign w:val="center"/>
            <w:hideMark/>
          </w:tcPr>
          <w:p w14:paraId="09B581DB" w14:textId="77777777" w:rsidR="00E403D6" w:rsidRPr="00F10391" w:rsidRDefault="00E403D6">
            <w:r w:rsidRPr="00F10391">
              <w:t>Evidem</w:t>
            </w:r>
          </w:p>
        </w:tc>
        <w:tc>
          <w:tcPr>
            <w:tcW w:w="1134" w:type="dxa"/>
            <w:tcBorders>
              <w:top w:val="nil"/>
              <w:left w:val="nil"/>
              <w:bottom w:val="single" w:sz="4" w:space="0" w:color="auto"/>
              <w:right w:val="single" w:sz="4" w:space="0" w:color="auto"/>
            </w:tcBorders>
            <w:shd w:val="clear" w:color="auto" w:fill="auto"/>
            <w:noWrap/>
            <w:vAlign w:val="center"/>
            <w:hideMark/>
          </w:tcPr>
          <w:p w14:paraId="13436CFA" w14:textId="77777777" w:rsidR="00E403D6" w:rsidRPr="00F10391" w:rsidRDefault="00E403D6">
            <w:r w:rsidRPr="00F10391">
              <w:t>South Africa</w:t>
            </w:r>
          </w:p>
        </w:tc>
      </w:tr>
      <w:tr w:rsidR="00E403D6" w:rsidRPr="00F10391" w14:paraId="6128659B"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AFC8EFA" w14:textId="77777777" w:rsidR="00E403D6" w:rsidRPr="00F10391" w:rsidRDefault="00E403D6" w:rsidP="00494A9A">
            <w:r w:rsidRPr="00F10391">
              <w:t>Decision-making criteria among national policymakers in five countries: a discrete choice experiment eliciting relative preferences for equity and efficiency.</w:t>
            </w:r>
          </w:p>
        </w:tc>
        <w:tc>
          <w:tcPr>
            <w:tcW w:w="1636" w:type="dxa"/>
            <w:tcBorders>
              <w:top w:val="nil"/>
              <w:left w:val="nil"/>
              <w:bottom w:val="single" w:sz="4" w:space="0" w:color="auto"/>
              <w:right w:val="single" w:sz="4" w:space="0" w:color="auto"/>
            </w:tcBorders>
            <w:shd w:val="clear" w:color="auto" w:fill="auto"/>
            <w:noWrap/>
            <w:vAlign w:val="center"/>
            <w:hideMark/>
          </w:tcPr>
          <w:p w14:paraId="7605EB60" w14:textId="77777777" w:rsidR="00E403D6" w:rsidRPr="00F10391" w:rsidRDefault="00E403D6" w:rsidP="00F51F18">
            <w:r w:rsidRPr="00F10391">
              <w:t>Mirelman A, Mentzakis E, Kinter E, Paolucci F, Fordham R, Ozawa S, Ferraz M, Baltussen R, Niessen LW.</w:t>
            </w:r>
          </w:p>
        </w:tc>
        <w:tc>
          <w:tcPr>
            <w:tcW w:w="1246" w:type="dxa"/>
            <w:tcBorders>
              <w:top w:val="nil"/>
              <w:left w:val="nil"/>
              <w:bottom w:val="single" w:sz="4" w:space="0" w:color="auto"/>
              <w:right w:val="single" w:sz="4" w:space="0" w:color="auto"/>
            </w:tcBorders>
            <w:shd w:val="clear" w:color="auto" w:fill="auto"/>
            <w:noWrap/>
            <w:vAlign w:val="center"/>
            <w:hideMark/>
          </w:tcPr>
          <w:p w14:paraId="5C23CB11" w14:textId="77777777" w:rsidR="00E403D6" w:rsidRPr="00F10391" w:rsidRDefault="00E403D6">
            <w:r w:rsidRPr="00F10391">
              <w:t>Value Health.  2012</w:t>
            </w:r>
          </w:p>
        </w:tc>
        <w:tc>
          <w:tcPr>
            <w:tcW w:w="1260" w:type="dxa"/>
            <w:tcBorders>
              <w:top w:val="nil"/>
              <w:left w:val="nil"/>
              <w:bottom w:val="single" w:sz="4" w:space="0" w:color="auto"/>
              <w:right w:val="single" w:sz="4" w:space="0" w:color="auto"/>
            </w:tcBorders>
            <w:shd w:val="clear" w:color="auto" w:fill="auto"/>
            <w:noWrap/>
            <w:vAlign w:val="center"/>
            <w:hideMark/>
          </w:tcPr>
          <w:p w14:paraId="64323B7E"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76213553" w14:textId="77777777" w:rsidR="00E403D6" w:rsidRPr="00F10391" w:rsidRDefault="00E403D6">
            <w:r w:rsidRPr="00F10391">
              <w:t>Comparison of national preferences</w:t>
            </w:r>
          </w:p>
        </w:tc>
        <w:tc>
          <w:tcPr>
            <w:tcW w:w="993" w:type="dxa"/>
            <w:tcBorders>
              <w:top w:val="nil"/>
              <w:left w:val="nil"/>
              <w:bottom w:val="single" w:sz="4" w:space="0" w:color="auto"/>
              <w:right w:val="single" w:sz="4" w:space="0" w:color="auto"/>
            </w:tcBorders>
            <w:shd w:val="clear" w:color="auto" w:fill="auto"/>
            <w:noWrap/>
            <w:vAlign w:val="center"/>
            <w:hideMark/>
          </w:tcPr>
          <w:p w14:paraId="7307A836" w14:textId="77777777" w:rsidR="00E403D6" w:rsidRPr="00F10391" w:rsidRDefault="00E403D6">
            <w:r w:rsidRPr="00F10391">
              <w:t>DCE</w:t>
            </w:r>
          </w:p>
        </w:tc>
        <w:tc>
          <w:tcPr>
            <w:tcW w:w="1134" w:type="dxa"/>
            <w:tcBorders>
              <w:top w:val="nil"/>
              <w:left w:val="nil"/>
              <w:bottom w:val="single" w:sz="4" w:space="0" w:color="auto"/>
              <w:right w:val="single" w:sz="4" w:space="0" w:color="auto"/>
            </w:tcBorders>
            <w:shd w:val="clear" w:color="auto" w:fill="auto"/>
            <w:noWrap/>
            <w:vAlign w:val="center"/>
            <w:hideMark/>
          </w:tcPr>
          <w:p w14:paraId="07CD1196" w14:textId="77777777" w:rsidR="00E403D6" w:rsidRPr="00F10391" w:rsidRDefault="00E403D6">
            <w:r w:rsidRPr="00F10391">
              <w:t>NA</w:t>
            </w:r>
          </w:p>
        </w:tc>
      </w:tr>
      <w:tr w:rsidR="00E403D6" w:rsidRPr="00F10391" w14:paraId="40ECB1AF"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5CEDB66" w14:textId="77777777" w:rsidR="00E403D6" w:rsidRPr="00F10391" w:rsidRDefault="00E403D6" w:rsidP="00494A9A">
            <w:r w:rsidRPr="00F10391">
              <w:t>Spatial modelling of disease using data- and knowledge-driven approaches.</w:t>
            </w:r>
          </w:p>
        </w:tc>
        <w:tc>
          <w:tcPr>
            <w:tcW w:w="1636" w:type="dxa"/>
            <w:tcBorders>
              <w:top w:val="nil"/>
              <w:left w:val="nil"/>
              <w:bottom w:val="single" w:sz="4" w:space="0" w:color="auto"/>
              <w:right w:val="single" w:sz="4" w:space="0" w:color="auto"/>
            </w:tcBorders>
            <w:shd w:val="clear" w:color="auto" w:fill="auto"/>
            <w:noWrap/>
            <w:vAlign w:val="center"/>
            <w:hideMark/>
          </w:tcPr>
          <w:p w14:paraId="4BC3CE11" w14:textId="77777777" w:rsidR="00E403D6" w:rsidRPr="00F10391" w:rsidRDefault="00E403D6" w:rsidP="00F51F18">
            <w:r w:rsidRPr="00F10391">
              <w:t>Stevens KB, Pfeiffer DU.</w:t>
            </w:r>
          </w:p>
        </w:tc>
        <w:tc>
          <w:tcPr>
            <w:tcW w:w="1246" w:type="dxa"/>
            <w:tcBorders>
              <w:top w:val="nil"/>
              <w:left w:val="nil"/>
              <w:bottom w:val="single" w:sz="4" w:space="0" w:color="auto"/>
              <w:right w:val="single" w:sz="4" w:space="0" w:color="auto"/>
            </w:tcBorders>
            <w:shd w:val="clear" w:color="auto" w:fill="auto"/>
            <w:noWrap/>
            <w:vAlign w:val="center"/>
            <w:hideMark/>
          </w:tcPr>
          <w:p w14:paraId="31C53F3D" w14:textId="77777777" w:rsidR="00E403D6" w:rsidRPr="00F10391" w:rsidRDefault="00E403D6">
            <w:r w:rsidRPr="00F10391">
              <w:t>Spat Spatiotemporal Epidemiol.  2011</w:t>
            </w:r>
          </w:p>
        </w:tc>
        <w:tc>
          <w:tcPr>
            <w:tcW w:w="1260" w:type="dxa"/>
            <w:tcBorders>
              <w:top w:val="nil"/>
              <w:left w:val="nil"/>
              <w:bottom w:val="single" w:sz="4" w:space="0" w:color="auto"/>
              <w:right w:val="single" w:sz="4" w:space="0" w:color="auto"/>
            </w:tcBorders>
            <w:shd w:val="clear" w:color="auto" w:fill="auto"/>
            <w:noWrap/>
            <w:vAlign w:val="center"/>
            <w:hideMark/>
          </w:tcPr>
          <w:p w14:paraId="7717D190" w14:textId="77777777" w:rsidR="00E403D6" w:rsidRPr="00F10391" w:rsidRDefault="00E403D6">
            <w:r w:rsidRPr="00F10391">
              <w:t>Overview</w:t>
            </w:r>
          </w:p>
        </w:tc>
        <w:tc>
          <w:tcPr>
            <w:tcW w:w="1134" w:type="dxa"/>
            <w:tcBorders>
              <w:top w:val="nil"/>
              <w:left w:val="nil"/>
              <w:bottom w:val="single" w:sz="4" w:space="0" w:color="auto"/>
              <w:right w:val="single" w:sz="4" w:space="0" w:color="auto"/>
            </w:tcBorders>
            <w:shd w:val="clear" w:color="auto" w:fill="auto"/>
            <w:noWrap/>
            <w:vAlign w:val="center"/>
            <w:hideMark/>
          </w:tcPr>
          <w:p w14:paraId="67CF6950" w14:textId="77777777" w:rsidR="00E403D6" w:rsidRPr="00F10391" w:rsidRDefault="00E403D6">
            <w:r w:rsidRPr="00F10391">
              <w:t>Spatial modelling?GIS</w:t>
            </w:r>
          </w:p>
        </w:tc>
        <w:tc>
          <w:tcPr>
            <w:tcW w:w="993" w:type="dxa"/>
            <w:tcBorders>
              <w:top w:val="nil"/>
              <w:left w:val="nil"/>
              <w:bottom w:val="single" w:sz="4" w:space="0" w:color="auto"/>
              <w:right w:val="single" w:sz="4" w:space="0" w:color="auto"/>
            </w:tcBorders>
            <w:shd w:val="clear" w:color="auto" w:fill="auto"/>
            <w:noWrap/>
            <w:vAlign w:val="center"/>
            <w:hideMark/>
          </w:tcPr>
          <w:p w14:paraId="1B080066" w14:textId="77777777" w:rsidR="00E403D6" w:rsidRPr="00F10391" w:rsidRDefault="00E403D6">
            <w:r w:rsidRPr="00F10391">
              <w:t>Generic</w:t>
            </w:r>
          </w:p>
        </w:tc>
        <w:tc>
          <w:tcPr>
            <w:tcW w:w="1134" w:type="dxa"/>
            <w:tcBorders>
              <w:top w:val="nil"/>
              <w:left w:val="nil"/>
              <w:bottom w:val="single" w:sz="4" w:space="0" w:color="auto"/>
              <w:right w:val="single" w:sz="4" w:space="0" w:color="auto"/>
            </w:tcBorders>
            <w:shd w:val="clear" w:color="auto" w:fill="auto"/>
            <w:noWrap/>
            <w:vAlign w:val="center"/>
            <w:hideMark/>
          </w:tcPr>
          <w:p w14:paraId="1D0416D5" w14:textId="77777777" w:rsidR="00E403D6" w:rsidRPr="00F10391" w:rsidRDefault="00E403D6">
            <w:r w:rsidRPr="00F10391">
              <w:t>NA</w:t>
            </w:r>
          </w:p>
        </w:tc>
      </w:tr>
      <w:tr w:rsidR="00E403D6" w:rsidRPr="00F10391" w14:paraId="6936BE19"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3696B47" w14:textId="77777777" w:rsidR="00E403D6" w:rsidRPr="00F10391" w:rsidRDefault="00E403D6" w:rsidP="00494A9A">
            <w:r w:rsidRPr="00F10391">
              <w:t>Multicriteria decision analysis for including health interventions in the universal health coverage benefit package in Thailand.</w:t>
            </w:r>
          </w:p>
        </w:tc>
        <w:tc>
          <w:tcPr>
            <w:tcW w:w="1636" w:type="dxa"/>
            <w:tcBorders>
              <w:top w:val="nil"/>
              <w:left w:val="nil"/>
              <w:bottom w:val="single" w:sz="4" w:space="0" w:color="auto"/>
              <w:right w:val="single" w:sz="4" w:space="0" w:color="auto"/>
            </w:tcBorders>
            <w:shd w:val="clear" w:color="auto" w:fill="auto"/>
            <w:noWrap/>
            <w:vAlign w:val="center"/>
            <w:hideMark/>
          </w:tcPr>
          <w:p w14:paraId="0E45616E" w14:textId="77777777" w:rsidR="00E403D6" w:rsidRPr="00F10391" w:rsidRDefault="00E403D6" w:rsidP="00F51F18">
            <w:r w:rsidRPr="00F10391">
              <w:t>Youngkong S, Baltussen R, Tantivess S, Mohara A, Teerawattananon Y.</w:t>
            </w:r>
          </w:p>
        </w:tc>
        <w:tc>
          <w:tcPr>
            <w:tcW w:w="1246" w:type="dxa"/>
            <w:tcBorders>
              <w:top w:val="nil"/>
              <w:left w:val="nil"/>
              <w:bottom w:val="single" w:sz="4" w:space="0" w:color="auto"/>
              <w:right w:val="single" w:sz="4" w:space="0" w:color="auto"/>
            </w:tcBorders>
            <w:shd w:val="clear" w:color="auto" w:fill="auto"/>
            <w:noWrap/>
            <w:vAlign w:val="center"/>
            <w:hideMark/>
          </w:tcPr>
          <w:p w14:paraId="16B77C40" w14:textId="77777777" w:rsidR="00E403D6" w:rsidRPr="00F10391" w:rsidRDefault="00E403D6">
            <w:r w:rsidRPr="00F10391">
              <w:t>Value Health.  2012</w:t>
            </w:r>
          </w:p>
        </w:tc>
        <w:tc>
          <w:tcPr>
            <w:tcW w:w="1260" w:type="dxa"/>
            <w:tcBorders>
              <w:top w:val="nil"/>
              <w:left w:val="nil"/>
              <w:bottom w:val="single" w:sz="4" w:space="0" w:color="auto"/>
              <w:right w:val="single" w:sz="4" w:space="0" w:color="auto"/>
            </w:tcBorders>
            <w:shd w:val="clear" w:color="auto" w:fill="auto"/>
            <w:noWrap/>
            <w:vAlign w:val="center"/>
            <w:hideMark/>
          </w:tcPr>
          <w:p w14:paraId="18265B13"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1280A7BF" w14:textId="77777777" w:rsidR="00E403D6" w:rsidRPr="00F10391" w:rsidRDefault="00E403D6">
            <w:r w:rsidRPr="00F10391">
              <w:t>Inclusion in universal health care basket</w:t>
            </w:r>
          </w:p>
        </w:tc>
        <w:tc>
          <w:tcPr>
            <w:tcW w:w="993" w:type="dxa"/>
            <w:tcBorders>
              <w:top w:val="nil"/>
              <w:left w:val="nil"/>
              <w:bottom w:val="single" w:sz="4" w:space="0" w:color="auto"/>
              <w:right w:val="single" w:sz="4" w:space="0" w:color="auto"/>
            </w:tcBorders>
            <w:shd w:val="clear" w:color="auto" w:fill="auto"/>
            <w:noWrap/>
            <w:vAlign w:val="center"/>
            <w:hideMark/>
          </w:tcPr>
          <w:p w14:paraId="6CAFF492" w14:textId="77777777" w:rsidR="00E403D6" w:rsidRPr="00F10391" w:rsidRDefault="00E403D6">
            <w:r w:rsidRPr="00F10391">
              <w:t>Lin Add</w:t>
            </w:r>
          </w:p>
        </w:tc>
        <w:tc>
          <w:tcPr>
            <w:tcW w:w="1134" w:type="dxa"/>
            <w:tcBorders>
              <w:top w:val="nil"/>
              <w:left w:val="nil"/>
              <w:bottom w:val="single" w:sz="4" w:space="0" w:color="auto"/>
              <w:right w:val="single" w:sz="4" w:space="0" w:color="auto"/>
            </w:tcBorders>
            <w:shd w:val="clear" w:color="auto" w:fill="auto"/>
            <w:noWrap/>
            <w:vAlign w:val="center"/>
            <w:hideMark/>
          </w:tcPr>
          <w:p w14:paraId="354668FF" w14:textId="77777777" w:rsidR="00E403D6" w:rsidRPr="00F10391" w:rsidRDefault="00E403D6">
            <w:r w:rsidRPr="00F10391">
              <w:t>Thailand</w:t>
            </w:r>
          </w:p>
        </w:tc>
      </w:tr>
      <w:tr w:rsidR="00E403D6" w:rsidRPr="00F10391" w14:paraId="3144234C"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427BF83" w14:textId="77777777" w:rsidR="00E403D6" w:rsidRPr="00F10391" w:rsidRDefault="00E403D6" w:rsidP="00494A9A">
            <w:r w:rsidRPr="00F10391">
              <w:t>Prioritizing investments in public health: a multi-criteria decision analysis.</w:t>
            </w:r>
          </w:p>
        </w:tc>
        <w:tc>
          <w:tcPr>
            <w:tcW w:w="1636" w:type="dxa"/>
            <w:tcBorders>
              <w:top w:val="nil"/>
              <w:left w:val="nil"/>
              <w:bottom w:val="single" w:sz="4" w:space="0" w:color="auto"/>
              <w:right w:val="single" w:sz="4" w:space="0" w:color="auto"/>
            </w:tcBorders>
            <w:shd w:val="clear" w:color="auto" w:fill="auto"/>
            <w:noWrap/>
            <w:vAlign w:val="center"/>
            <w:hideMark/>
          </w:tcPr>
          <w:p w14:paraId="33EAFD27" w14:textId="77777777" w:rsidR="00E403D6" w:rsidRPr="00F10391" w:rsidRDefault="00E403D6" w:rsidP="00F51F18">
            <w:r w:rsidRPr="00F10391">
              <w:t>Marsh K, Dolan P, Kempster J, Lugon M.</w:t>
            </w:r>
          </w:p>
        </w:tc>
        <w:tc>
          <w:tcPr>
            <w:tcW w:w="1246" w:type="dxa"/>
            <w:tcBorders>
              <w:top w:val="nil"/>
              <w:left w:val="nil"/>
              <w:bottom w:val="single" w:sz="4" w:space="0" w:color="auto"/>
              <w:right w:val="single" w:sz="4" w:space="0" w:color="auto"/>
            </w:tcBorders>
            <w:shd w:val="clear" w:color="auto" w:fill="auto"/>
            <w:noWrap/>
            <w:vAlign w:val="center"/>
            <w:hideMark/>
          </w:tcPr>
          <w:p w14:paraId="58FE7EAF" w14:textId="77777777" w:rsidR="00E403D6" w:rsidRPr="00F10391" w:rsidRDefault="00E403D6">
            <w:r w:rsidRPr="00F10391">
              <w:t>J Public Health (Oxf).  2013</w:t>
            </w:r>
          </w:p>
        </w:tc>
        <w:tc>
          <w:tcPr>
            <w:tcW w:w="1260" w:type="dxa"/>
            <w:tcBorders>
              <w:top w:val="nil"/>
              <w:left w:val="nil"/>
              <w:bottom w:val="single" w:sz="4" w:space="0" w:color="auto"/>
              <w:right w:val="single" w:sz="4" w:space="0" w:color="auto"/>
            </w:tcBorders>
            <w:shd w:val="clear" w:color="auto" w:fill="auto"/>
            <w:noWrap/>
            <w:vAlign w:val="center"/>
            <w:hideMark/>
          </w:tcPr>
          <w:p w14:paraId="364EDE49"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0AB260C7"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783765FE" w14:textId="77777777" w:rsidR="00E403D6" w:rsidRPr="00F10391" w:rsidRDefault="00E403D6">
            <w:r w:rsidRPr="00F10391">
              <w:t>DCE</w:t>
            </w:r>
          </w:p>
        </w:tc>
        <w:tc>
          <w:tcPr>
            <w:tcW w:w="1134" w:type="dxa"/>
            <w:tcBorders>
              <w:top w:val="nil"/>
              <w:left w:val="nil"/>
              <w:bottom w:val="single" w:sz="4" w:space="0" w:color="auto"/>
              <w:right w:val="single" w:sz="4" w:space="0" w:color="auto"/>
            </w:tcBorders>
            <w:shd w:val="clear" w:color="auto" w:fill="auto"/>
            <w:noWrap/>
            <w:vAlign w:val="center"/>
            <w:hideMark/>
          </w:tcPr>
          <w:p w14:paraId="0050A7DB" w14:textId="77777777" w:rsidR="00E403D6" w:rsidRPr="00F10391" w:rsidRDefault="00E403D6">
            <w:r w:rsidRPr="00F10391">
              <w:t>UK</w:t>
            </w:r>
          </w:p>
        </w:tc>
      </w:tr>
      <w:tr w:rsidR="00E403D6" w:rsidRPr="00F10391" w14:paraId="5E75161C"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E0AF0EE" w14:textId="77777777" w:rsidR="00E403D6" w:rsidRPr="00F10391" w:rsidRDefault="00E403D6" w:rsidP="00494A9A">
            <w:r w:rsidRPr="00F10391">
              <w:t>Assessing the walkability of pedestrian environment under the transit-oriented development</w:t>
            </w:r>
          </w:p>
        </w:tc>
        <w:tc>
          <w:tcPr>
            <w:tcW w:w="1636" w:type="dxa"/>
            <w:tcBorders>
              <w:top w:val="nil"/>
              <w:left w:val="nil"/>
              <w:bottom w:val="single" w:sz="4" w:space="0" w:color="auto"/>
              <w:right w:val="single" w:sz="4" w:space="0" w:color="auto"/>
            </w:tcBorders>
            <w:shd w:val="clear" w:color="auto" w:fill="auto"/>
            <w:noWrap/>
            <w:vAlign w:val="center"/>
            <w:hideMark/>
          </w:tcPr>
          <w:p w14:paraId="24C9A5EA" w14:textId="77777777" w:rsidR="00E403D6" w:rsidRPr="00F10391" w:rsidRDefault="00E403D6" w:rsidP="00F51F18">
            <w:r w:rsidRPr="00F10391">
              <w:t>Wey, Wann-Ming; Chiu, Yin-Hao</w:t>
            </w:r>
          </w:p>
        </w:tc>
        <w:tc>
          <w:tcPr>
            <w:tcW w:w="1246" w:type="dxa"/>
            <w:tcBorders>
              <w:top w:val="nil"/>
              <w:left w:val="nil"/>
              <w:bottom w:val="single" w:sz="4" w:space="0" w:color="auto"/>
              <w:right w:val="single" w:sz="4" w:space="0" w:color="auto"/>
            </w:tcBorders>
            <w:shd w:val="clear" w:color="auto" w:fill="auto"/>
            <w:noWrap/>
            <w:vAlign w:val="center"/>
            <w:hideMark/>
          </w:tcPr>
          <w:p w14:paraId="66EED879" w14:textId="77777777" w:rsidR="00E403D6" w:rsidRPr="00F10391" w:rsidRDefault="00E403D6">
            <w:r w:rsidRPr="00F10391">
              <w:t>Habitat International 2013</w:t>
            </w:r>
          </w:p>
        </w:tc>
        <w:tc>
          <w:tcPr>
            <w:tcW w:w="1260" w:type="dxa"/>
            <w:tcBorders>
              <w:top w:val="nil"/>
              <w:left w:val="nil"/>
              <w:bottom w:val="single" w:sz="4" w:space="0" w:color="auto"/>
              <w:right w:val="single" w:sz="4" w:space="0" w:color="auto"/>
            </w:tcBorders>
            <w:shd w:val="clear" w:color="auto" w:fill="auto"/>
            <w:noWrap/>
            <w:vAlign w:val="center"/>
            <w:hideMark/>
          </w:tcPr>
          <w:p w14:paraId="73F38B52"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6134C22C" w14:textId="77777777" w:rsidR="00E403D6" w:rsidRPr="00F10391" w:rsidRDefault="00E403D6">
            <w:r w:rsidRPr="00F10391">
              <w:t>City design/walkability</w:t>
            </w:r>
          </w:p>
        </w:tc>
        <w:tc>
          <w:tcPr>
            <w:tcW w:w="993" w:type="dxa"/>
            <w:tcBorders>
              <w:top w:val="nil"/>
              <w:left w:val="nil"/>
              <w:bottom w:val="single" w:sz="4" w:space="0" w:color="auto"/>
              <w:right w:val="single" w:sz="4" w:space="0" w:color="auto"/>
            </w:tcBorders>
            <w:shd w:val="clear" w:color="auto" w:fill="auto"/>
            <w:noWrap/>
            <w:vAlign w:val="center"/>
            <w:hideMark/>
          </w:tcPr>
          <w:p w14:paraId="4009F5B7" w14:textId="77777777" w:rsidR="00E403D6" w:rsidRPr="00F10391" w:rsidRDefault="00E403D6">
            <w:r w:rsidRPr="00F10391">
              <w:t>AHP</w:t>
            </w:r>
          </w:p>
        </w:tc>
        <w:tc>
          <w:tcPr>
            <w:tcW w:w="1134" w:type="dxa"/>
            <w:tcBorders>
              <w:top w:val="nil"/>
              <w:left w:val="nil"/>
              <w:bottom w:val="single" w:sz="4" w:space="0" w:color="auto"/>
              <w:right w:val="single" w:sz="4" w:space="0" w:color="auto"/>
            </w:tcBorders>
            <w:shd w:val="clear" w:color="auto" w:fill="auto"/>
            <w:noWrap/>
            <w:vAlign w:val="center"/>
            <w:hideMark/>
          </w:tcPr>
          <w:p w14:paraId="59243E41" w14:textId="77777777" w:rsidR="00E403D6" w:rsidRPr="00F10391" w:rsidRDefault="00E403D6">
            <w:r w:rsidRPr="00F10391">
              <w:t>China</w:t>
            </w:r>
          </w:p>
        </w:tc>
      </w:tr>
      <w:tr w:rsidR="00E403D6" w:rsidRPr="00F10391" w14:paraId="2991E0EE"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CDE097C" w14:textId="77777777" w:rsidR="00E403D6" w:rsidRPr="00F10391" w:rsidRDefault="00E403D6" w:rsidP="00494A9A">
            <w:r w:rsidRPr="00F10391">
              <w:t>The challenge of obtaining information necessary for multi-criteria decision analysis implementation: the case of physiotherapy services in Canada.</w:t>
            </w:r>
          </w:p>
        </w:tc>
        <w:tc>
          <w:tcPr>
            <w:tcW w:w="1636" w:type="dxa"/>
            <w:tcBorders>
              <w:top w:val="nil"/>
              <w:left w:val="nil"/>
              <w:bottom w:val="single" w:sz="4" w:space="0" w:color="auto"/>
              <w:right w:val="single" w:sz="4" w:space="0" w:color="auto"/>
            </w:tcBorders>
            <w:shd w:val="clear" w:color="auto" w:fill="auto"/>
            <w:noWrap/>
            <w:vAlign w:val="center"/>
            <w:hideMark/>
          </w:tcPr>
          <w:p w14:paraId="7D1EC7AA" w14:textId="77777777" w:rsidR="00E403D6" w:rsidRPr="005D7324" w:rsidRDefault="00E403D6" w:rsidP="00F51F18">
            <w:r w:rsidRPr="005D7324">
              <w:t>Dionne F, Mitton C, Macdonald T, Miller C, Brennan M.</w:t>
            </w:r>
          </w:p>
        </w:tc>
        <w:tc>
          <w:tcPr>
            <w:tcW w:w="1246" w:type="dxa"/>
            <w:tcBorders>
              <w:top w:val="nil"/>
              <w:left w:val="nil"/>
              <w:bottom w:val="single" w:sz="4" w:space="0" w:color="auto"/>
              <w:right w:val="single" w:sz="4" w:space="0" w:color="auto"/>
            </w:tcBorders>
            <w:shd w:val="clear" w:color="auto" w:fill="auto"/>
            <w:noWrap/>
            <w:vAlign w:val="center"/>
            <w:hideMark/>
          </w:tcPr>
          <w:p w14:paraId="20DEBAFF" w14:textId="77777777" w:rsidR="00E403D6" w:rsidRPr="00F10391" w:rsidRDefault="00E403D6">
            <w:r w:rsidRPr="00F10391">
              <w:t>Cost Eff Resour Alloc.  2013</w:t>
            </w:r>
          </w:p>
        </w:tc>
        <w:tc>
          <w:tcPr>
            <w:tcW w:w="1260" w:type="dxa"/>
            <w:tcBorders>
              <w:top w:val="nil"/>
              <w:left w:val="nil"/>
              <w:bottom w:val="single" w:sz="4" w:space="0" w:color="auto"/>
              <w:right w:val="single" w:sz="4" w:space="0" w:color="auto"/>
            </w:tcBorders>
            <w:shd w:val="clear" w:color="auto" w:fill="auto"/>
            <w:noWrap/>
            <w:vAlign w:val="center"/>
            <w:hideMark/>
          </w:tcPr>
          <w:p w14:paraId="1BB89464" w14:textId="77777777" w:rsidR="00E403D6" w:rsidRPr="00F10391" w:rsidRDefault="00E403D6">
            <w:r w:rsidRPr="00F10391">
              <w:t>Exploratory/Proof of concept</w:t>
            </w:r>
          </w:p>
        </w:tc>
        <w:tc>
          <w:tcPr>
            <w:tcW w:w="1134" w:type="dxa"/>
            <w:tcBorders>
              <w:top w:val="nil"/>
              <w:left w:val="nil"/>
              <w:bottom w:val="single" w:sz="4" w:space="0" w:color="auto"/>
              <w:right w:val="single" w:sz="4" w:space="0" w:color="auto"/>
            </w:tcBorders>
            <w:shd w:val="clear" w:color="auto" w:fill="auto"/>
            <w:noWrap/>
            <w:vAlign w:val="center"/>
            <w:hideMark/>
          </w:tcPr>
          <w:p w14:paraId="13218C4F" w14:textId="77777777" w:rsidR="00E403D6" w:rsidRPr="00F10391" w:rsidRDefault="00E403D6">
            <w:r w:rsidRPr="00F10391">
              <w:t>Physiotherapy</w:t>
            </w:r>
          </w:p>
        </w:tc>
        <w:tc>
          <w:tcPr>
            <w:tcW w:w="993" w:type="dxa"/>
            <w:tcBorders>
              <w:top w:val="nil"/>
              <w:left w:val="nil"/>
              <w:bottom w:val="single" w:sz="4" w:space="0" w:color="auto"/>
              <w:right w:val="single" w:sz="4" w:space="0" w:color="auto"/>
            </w:tcBorders>
            <w:shd w:val="clear" w:color="auto" w:fill="auto"/>
            <w:noWrap/>
            <w:vAlign w:val="center"/>
            <w:hideMark/>
          </w:tcPr>
          <w:p w14:paraId="09106D39" w14:textId="77777777" w:rsidR="00E403D6" w:rsidRPr="00F10391" w:rsidRDefault="00E403D6">
            <w:r w:rsidRPr="00F10391">
              <w:t>Generic</w:t>
            </w:r>
          </w:p>
        </w:tc>
        <w:tc>
          <w:tcPr>
            <w:tcW w:w="1134" w:type="dxa"/>
            <w:tcBorders>
              <w:top w:val="nil"/>
              <w:left w:val="nil"/>
              <w:bottom w:val="single" w:sz="4" w:space="0" w:color="auto"/>
              <w:right w:val="single" w:sz="4" w:space="0" w:color="auto"/>
            </w:tcBorders>
            <w:shd w:val="clear" w:color="auto" w:fill="auto"/>
            <w:noWrap/>
            <w:vAlign w:val="center"/>
            <w:hideMark/>
          </w:tcPr>
          <w:p w14:paraId="563AD1DD" w14:textId="77777777" w:rsidR="00E403D6" w:rsidRPr="00F10391" w:rsidRDefault="00E403D6">
            <w:r w:rsidRPr="00F10391">
              <w:t>Canada</w:t>
            </w:r>
          </w:p>
        </w:tc>
      </w:tr>
      <w:tr w:rsidR="00E403D6" w:rsidRPr="00F10391" w14:paraId="5FECAFDF"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C6ED58A" w14:textId="77777777" w:rsidR="00E403D6" w:rsidRPr="00F10391" w:rsidRDefault="00E403D6" w:rsidP="00494A9A">
            <w:r w:rsidRPr="00F10391">
              <w:t>Multi-criteria decision analysis as an innovative approach to managing zoonoses: results from a study on Lyme disease in Canada</w:t>
            </w:r>
          </w:p>
        </w:tc>
        <w:tc>
          <w:tcPr>
            <w:tcW w:w="1636" w:type="dxa"/>
            <w:tcBorders>
              <w:top w:val="nil"/>
              <w:left w:val="nil"/>
              <w:bottom w:val="single" w:sz="4" w:space="0" w:color="auto"/>
              <w:right w:val="single" w:sz="4" w:space="0" w:color="auto"/>
            </w:tcBorders>
            <w:shd w:val="clear" w:color="auto" w:fill="auto"/>
            <w:noWrap/>
            <w:vAlign w:val="center"/>
            <w:hideMark/>
          </w:tcPr>
          <w:p w14:paraId="2302E920" w14:textId="77777777" w:rsidR="00E403D6" w:rsidRPr="00F10391" w:rsidRDefault="00E403D6" w:rsidP="00F51F18">
            <w:r w:rsidRPr="00F10391">
              <w:t>Aenishaenslin, Cecile; Hongoh, Valerie; Cisse, Hassane Djibrilla; Hoen, Anne Gatewood; Samoura, Karim; Michel, Pascal; Waaub, Jean-Philippe; Belanger, Denise</w:t>
            </w:r>
          </w:p>
        </w:tc>
        <w:tc>
          <w:tcPr>
            <w:tcW w:w="1246" w:type="dxa"/>
            <w:tcBorders>
              <w:top w:val="nil"/>
              <w:left w:val="nil"/>
              <w:bottom w:val="single" w:sz="4" w:space="0" w:color="auto"/>
              <w:right w:val="single" w:sz="4" w:space="0" w:color="auto"/>
            </w:tcBorders>
            <w:shd w:val="clear" w:color="auto" w:fill="auto"/>
            <w:noWrap/>
            <w:vAlign w:val="center"/>
            <w:hideMark/>
          </w:tcPr>
          <w:p w14:paraId="41B629DF" w14:textId="77777777" w:rsidR="00E403D6" w:rsidRPr="00F10391" w:rsidRDefault="00E403D6">
            <w:r w:rsidRPr="00F10391">
              <w:t>Bmc Public Health 2013</w:t>
            </w:r>
          </w:p>
        </w:tc>
        <w:tc>
          <w:tcPr>
            <w:tcW w:w="1260" w:type="dxa"/>
            <w:tcBorders>
              <w:top w:val="nil"/>
              <w:left w:val="nil"/>
              <w:bottom w:val="single" w:sz="4" w:space="0" w:color="auto"/>
              <w:right w:val="single" w:sz="4" w:space="0" w:color="auto"/>
            </w:tcBorders>
            <w:shd w:val="clear" w:color="auto" w:fill="auto"/>
            <w:noWrap/>
            <w:vAlign w:val="center"/>
            <w:hideMark/>
          </w:tcPr>
          <w:p w14:paraId="0471212A"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0311F0DF" w14:textId="77777777" w:rsidR="00E403D6" w:rsidRPr="00F10391" w:rsidRDefault="00E403D6">
            <w:r w:rsidRPr="00F10391">
              <w:t xml:space="preserve">Lyme disease </w:t>
            </w:r>
          </w:p>
        </w:tc>
        <w:tc>
          <w:tcPr>
            <w:tcW w:w="993" w:type="dxa"/>
            <w:tcBorders>
              <w:top w:val="nil"/>
              <w:left w:val="nil"/>
              <w:bottom w:val="single" w:sz="4" w:space="0" w:color="auto"/>
              <w:right w:val="single" w:sz="4" w:space="0" w:color="auto"/>
            </w:tcBorders>
            <w:shd w:val="clear" w:color="auto" w:fill="auto"/>
            <w:noWrap/>
            <w:vAlign w:val="center"/>
            <w:hideMark/>
          </w:tcPr>
          <w:p w14:paraId="62525FB8" w14:textId="77777777" w:rsidR="00E403D6" w:rsidRPr="00F10391" w:rsidRDefault="00E403D6">
            <w:r w:rsidRPr="00F10391">
              <w:t>Promethee</w:t>
            </w:r>
          </w:p>
        </w:tc>
        <w:tc>
          <w:tcPr>
            <w:tcW w:w="1134" w:type="dxa"/>
            <w:tcBorders>
              <w:top w:val="nil"/>
              <w:left w:val="nil"/>
              <w:bottom w:val="single" w:sz="4" w:space="0" w:color="auto"/>
              <w:right w:val="single" w:sz="4" w:space="0" w:color="auto"/>
            </w:tcBorders>
            <w:shd w:val="clear" w:color="auto" w:fill="auto"/>
            <w:noWrap/>
            <w:vAlign w:val="center"/>
            <w:hideMark/>
          </w:tcPr>
          <w:p w14:paraId="0D2F0558" w14:textId="77777777" w:rsidR="00E403D6" w:rsidRPr="00F10391" w:rsidRDefault="00E403D6">
            <w:r w:rsidRPr="00F10391">
              <w:t>Canada</w:t>
            </w:r>
          </w:p>
        </w:tc>
      </w:tr>
      <w:tr w:rsidR="00E403D6" w:rsidRPr="00F10391" w14:paraId="3F94D606"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623F2FA" w14:textId="77777777" w:rsidR="00E403D6" w:rsidRPr="00F10391" w:rsidRDefault="00E403D6" w:rsidP="00494A9A">
            <w:r w:rsidRPr="00F10391">
              <w:t>The development of a multi-criteria decision analysis aid to help with contraceptive choices: My Contraception Tool.</w:t>
            </w:r>
          </w:p>
        </w:tc>
        <w:tc>
          <w:tcPr>
            <w:tcW w:w="1636" w:type="dxa"/>
            <w:tcBorders>
              <w:top w:val="nil"/>
              <w:left w:val="nil"/>
              <w:bottom w:val="single" w:sz="4" w:space="0" w:color="auto"/>
              <w:right w:val="single" w:sz="4" w:space="0" w:color="auto"/>
            </w:tcBorders>
            <w:shd w:val="clear" w:color="auto" w:fill="auto"/>
            <w:noWrap/>
            <w:vAlign w:val="center"/>
            <w:hideMark/>
          </w:tcPr>
          <w:p w14:paraId="7C2D290C" w14:textId="77777777" w:rsidR="00E403D6" w:rsidRPr="00F10391" w:rsidRDefault="00E403D6" w:rsidP="00F51F18">
            <w:r w:rsidRPr="00F10391">
              <w:t>French RS, Cowan FM, Wellings K, Dowie J.</w:t>
            </w:r>
          </w:p>
        </w:tc>
        <w:tc>
          <w:tcPr>
            <w:tcW w:w="1246" w:type="dxa"/>
            <w:tcBorders>
              <w:top w:val="nil"/>
              <w:left w:val="nil"/>
              <w:bottom w:val="single" w:sz="4" w:space="0" w:color="auto"/>
              <w:right w:val="single" w:sz="4" w:space="0" w:color="auto"/>
            </w:tcBorders>
            <w:shd w:val="clear" w:color="auto" w:fill="auto"/>
            <w:noWrap/>
            <w:vAlign w:val="center"/>
            <w:hideMark/>
          </w:tcPr>
          <w:p w14:paraId="6B8CB575" w14:textId="77777777" w:rsidR="00E403D6" w:rsidRPr="00F10391" w:rsidRDefault="00E403D6">
            <w:r w:rsidRPr="00F10391">
              <w:t>J Fam Plann Reprod Health Care.  2014</w:t>
            </w:r>
          </w:p>
        </w:tc>
        <w:tc>
          <w:tcPr>
            <w:tcW w:w="1260" w:type="dxa"/>
            <w:tcBorders>
              <w:top w:val="nil"/>
              <w:left w:val="nil"/>
              <w:bottom w:val="single" w:sz="4" w:space="0" w:color="auto"/>
              <w:right w:val="single" w:sz="4" w:space="0" w:color="auto"/>
            </w:tcBorders>
            <w:shd w:val="clear" w:color="auto" w:fill="auto"/>
            <w:noWrap/>
            <w:vAlign w:val="center"/>
            <w:hideMark/>
          </w:tcPr>
          <w:p w14:paraId="101A2C56"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5723A932" w14:textId="77777777" w:rsidR="00E403D6" w:rsidRPr="00F10391" w:rsidRDefault="00E403D6">
            <w:r w:rsidRPr="00F10391">
              <w:t>Contraceptive method</w:t>
            </w:r>
          </w:p>
        </w:tc>
        <w:tc>
          <w:tcPr>
            <w:tcW w:w="993" w:type="dxa"/>
            <w:tcBorders>
              <w:top w:val="nil"/>
              <w:left w:val="nil"/>
              <w:bottom w:val="single" w:sz="4" w:space="0" w:color="auto"/>
              <w:right w:val="single" w:sz="4" w:space="0" w:color="auto"/>
            </w:tcBorders>
            <w:shd w:val="clear" w:color="auto" w:fill="auto"/>
            <w:noWrap/>
            <w:vAlign w:val="center"/>
            <w:hideMark/>
          </w:tcPr>
          <w:p w14:paraId="0E1EC7B9" w14:textId="77777777" w:rsidR="00E403D6" w:rsidRPr="00F10391" w:rsidRDefault="00E403D6">
            <w:r w:rsidRPr="00F10391">
              <w:t>Lin Add</w:t>
            </w:r>
          </w:p>
        </w:tc>
        <w:tc>
          <w:tcPr>
            <w:tcW w:w="1134" w:type="dxa"/>
            <w:tcBorders>
              <w:top w:val="nil"/>
              <w:left w:val="nil"/>
              <w:bottom w:val="single" w:sz="4" w:space="0" w:color="auto"/>
              <w:right w:val="single" w:sz="4" w:space="0" w:color="auto"/>
            </w:tcBorders>
            <w:shd w:val="clear" w:color="auto" w:fill="auto"/>
            <w:noWrap/>
            <w:vAlign w:val="center"/>
            <w:hideMark/>
          </w:tcPr>
          <w:p w14:paraId="4DE0AE8A" w14:textId="77777777" w:rsidR="00E403D6" w:rsidRPr="00F10391" w:rsidRDefault="00E403D6">
            <w:r w:rsidRPr="00F10391">
              <w:t>NA</w:t>
            </w:r>
          </w:p>
        </w:tc>
      </w:tr>
      <w:tr w:rsidR="00E403D6" w:rsidRPr="00F10391" w14:paraId="308E527F"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BE3819D" w14:textId="77777777" w:rsidR="00E403D6" w:rsidRPr="00F10391" w:rsidRDefault="00E403D6" w:rsidP="00494A9A">
            <w:r w:rsidRPr="00F10391">
              <w:t>Can Streamlined Multicriteria Decision Analysis Be Used to Implement Shared Decision Making for Colorectal Cancer Screening?</w:t>
            </w:r>
          </w:p>
        </w:tc>
        <w:tc>
          <w:tcPr>
            <w:tcW w:w="1636" w:type="dxa"/>
            <w:tcBorders>
              <w:top w:val="nil"/>
              <w:left w:val="nil"/>
              <w:bottom w:val="single" w:sz="4" w:space="0" w:color="auto"/>
              <w:right w:val="single" w:sz="4" w:space="0" w:color="auto"/>
            </w:tcBorders>
            <w:shd w:val="clear" w:color="auto" w:fill="auto"/>
            <w:noWrap/>
            <w:vAlign w:val="center"/>
            <w:hideMark/>
          </w:tcPr>
          <w:p w14:paraId="71F05147" w14:textId="77777777" w:rsidR="00E403D6" w:rsidRPr="00F10391" w:rsidRDefault="00E403D6" w:rsidP="00F51F18">
            <w:r w:rsidRPr="00F10391">
              <w:t>Dolan JG, Boohaker E, Allison J, Imperiale TF.</w:t>
            </w:r>
          </w:p>
        </w:tc>
        <w:tc>
          <w:tcPr>
            <w:tcW w:w="1246" w:type="dxa"/>
            <w:tcBorders>
              <w:top w:val="nil"/>
              <w:left w:val="nil"/>
              <w:bottom w:val="single" w:sz="4" w:space="0" w:color="auto"/>
              <w:right w:val="single" w:sz="4" w:space="0" w:color="auto"/>
            </w:tcBorders>
            <w:shd w:val="clear" w:color="auto" w:fill="auto"/>
            <w:noWrap/>
            <w:vAlign w:val="center"/>
            <w:hideMark/>
          </w:tcPr>
          <w:p w14:paraId="2B6B0A8E" w14:textId="77777777" w:rsidR="00E403D6" w:rsidRPr="00F10391" w:rsidRDefault="00E403D6">
            <w:r w:rsidRPr="00F10391">
              <w:t>Med Decis Making.  2013</w:t>
            </w:r>
          </w:p>
        </w:tc>
        <w:tc>
          <w:tcPr>
            <w:tcW w:w="1260" w:type="dxa"/>
            <w:tcBorders>
              <w:top w:val="nil"/>
              <w:left w:val="nil"/>
              <w:bottom w:val="single" w:sz="4" w:space="0" w:color="auto"/>
              <w:right w:val="single" w:sz="4" w:space="0" w:color="auto"/>
            </w:tcBorders>
            <w:shd w:val="clear" w:color="auto" w:fill="auto"/>
            <w:noWrap/>
            <w:vAlign w:val="center"/>
            <w:hideMark/>
          </w:tcPr>
          <w:p w14:paraId="4480A381"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160D755D" w14:textId="77777777" w:rsidR="00E403D6" w:rsidRPr="00F10391" w:rsidRDefault="00E403D6">
            <w:r w:rsidRPr="00F10391">
              <w:t>Colorectal cancer screening</w:t>
            </w:r>
          </w:p>
        </w:tc>
        <w:tc>
          <w:tcPr>
            <w:tcW w:w="993" w:type="dxa"/>
            <w:tcBorders>
              <w:top w:val="nil"/>
              <w:left w:val="nil"/>
              <w:bottom w:val="single" w:sz="4" w:space="0" w:color="auto"/>
              <w:right w:val="single" w:sz="4" w:space="0" w:color="auto"/>
            </w:tcBorders>
            <w:shd w:val="clear" w:color="auto" w:fill="auto"/>
            <w:noWrap/>
            <w:vAlign w:val="center"/>
            <w:hideMark/>
          </w:tcPr>
          <w:p w14:paraId="1D5C4109" w14:textId="77777777" w:rsidR="00E403D6" w:rsidRPr="00F10391" w:rsidRDefault="00E403D6">
            <w:r w:rsidRPr="00F10391">
              <w:t>AHP</w:t>
            </w:r>
          </w:p>
        </w:tc>
        <w:tc>
          <w:tcPr>
            <w:tcW w:w="1134" w:type="dxa"/>
            <w:tcBorders>
              <w:top w:val="nil"/>
              <w:left w:val="nil"/>
              <w:bottom w:val="single" w:sz="4" w:space="0" w:color="auto"/>
              <w:right w:val="single" w:sz="4" w:space="0" w:color="auto"/>
            </w:tcBorders>
            <w:shd w:val="clear" w:color="auto" w:fill="auto"/>
            <w:noWrap/>
            <w:vAlign w:val="center"/>
            <w:hideMark/>
          </w:tcPr>
          <w:p w14:paraId="7737BE59" w14:textId="77777777" w:rsidR="00E403D6" w:rsidRPr="00F10391" w:rsidRDefault="00E403D6">
            <w:r w:rsidRPr="00F10391">
              <w:t>USA</w:t>
            </w:r>
          </w:p>
        </w:tc>
      </w:tr>
      <w:tr w:rsidR="00E403D6" w:rsidRPr="00F10391" w14:paraId="62B6F299"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EFF96D8" w14:textId="77777777" w:rsidR="00E403D6" w:rsidRPr="00F10391" w:rsidRDefault="00E403D6" w:rsidP="00494A9A">
            <w:r w:rsidRPr="00F10391">
              <w:t>Assessing decision quality in patient-centred care requires a preference-sensitive measure.</w:t>
            </w:r>
          </w:p>
        </w:tc>
        <w:tc>
          <w:tcPr>
            <w:tcW w:w="1636" w:type="dxa"/>
            <w:tcBorders>
              <w:top w:val="nil"/>
              <w:left w:val="nil"/>
              <w:bottom w:val="single" w:sz="4" w:space="0" w:color="auto"/>
              <w:right w:val="single" w:sz="4" w:space="0" w:color="auto"/>
            </w:tcBorders>
            <w:shd w:val="clear" w:color="auto" w:fill="auto"/>
            <w:noWrap/>
            <w:vAlign w:val="center"/>
            <w:hideMark/>
          </w:tcPr>
          <w:p w14:paraId="0E4ACBF7" w14:textId="77777777" w:rsidR="00E403D6" w:rsidRPr="005D7324" w:rsidRDefault="00E403D6" w:rsidP="00F51F18">
            <w:r w:rsidRPr="005D7324">
              <w:t>Kaltoft M, Cunich M, Salkeld G, Dowie J.</w:t>
            </w:r>
          </w:p>
        </w:tc>
        <w:tc>
          <w:tcPr>
            <w:tcW w:w="1246" w:type="dxa"/>
            <w:tcBorders>
              <w:top w:val="nil"/>
              <w:left w:val="nil"/>
              <w:bottom w:val="single" w:sz="4" w:space="0" w:color="auto"/>
              <w:right w:val="single" w:sz="4" w:space="0" w:color="auto"/>
            </w:tcBorders>
            <w:shd w:val="clear" w:color="auto" w:fill="auto"/>
            <w:noWrap/>
            <w:vAlign w:val="center"/>
            <w:hideMark/>
          </w:tcPr>
          <w:p w14:paraId="667F80FE" w14:textId="77777777" w:rsidR="00E403D6" w:rsidRPr="00F10391" w:rsidRDefault="00E403D6">
            <w:r w:rsidRPr="00F10391">
              <w:t>J Health Serv Res Policy.  2014</w:t>
            </w:r>
          </w:p>
        </w:tc>
        <w:tc>
          <w:tcPr>
            <w:tcW w:w="1260" w:type="dxa"/>
            <w:tcBorders>
              <w:top w:val="nil"/>
              <w:left w:val="nil"/>
              <w:bottom w:val="single" w:sz="4" w:space="0" w:color="auto"/>
              <w:right w:val="single" w:sz="4" w:space="0" w:color="auto"/>
            </w:tcBorders>
            <w:shd w:val="clear" w:color="auto" w:fill="auto"/>
            <w:noWrap/>
            <w:vAlign w:val="center"/>
            <w:hideMark/>
          </w:tcPr>
          <w:p w14:paraId="44848E4E"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2C540DBE" w14:textId="77777777" w:rsidR="00E403D6" w:rsidRPr="00F10391" w:rsidRDefault="00E403D6">
            <w:r w:rsidRPr="00F10391">
              <w:t>Measuring decision quality</w:t>
            </w:r>
          </w:p>
        </w:tc>
        <w:tc>
          <w:tcPr>
            <w:tcW w:w="993" w:type="dxa"/>
            <w:tcBorders>
              <w:top w:val="nil"/>
              <w:left w:val="nil"/>
              <w:bottom w:val="single" w:sz="4" w:space="0" w:color="auto"/>
              <w:right w:val="single" w:sz="4" w:space="0" w:color="auto"/>
            </w:tcBorders>
            <w:shd w:val="clear" w:color="auto" w:fill="auto"/>
            <w:noWrap/>
            <w:vAlign w:val="center"/>
            <w:hideMark/>
          </w:tcPr>
          <w:p w14:paraId="2FA00FD6" w14:textId="77777777" w:rsidR="00E403D6" w:rsidRPr="00F10391" w:rsidRDefault="00E403D6">
            <w:r w:rsidRPr="00F10391">
              <w:t>Lin Add</w:t>
            </w:r>
          </w:p>
        </w:tc>
        <w:tc>
          <w:tcPr>
            <w:tcW w:w="1134" w:type="dxa"/>
            <w:tcBorders>
              <w:top w:val="nil"/>
              <w:left w:val="nil"/>
              <w:bottom w:val="single" w:sz="4" w:space="0" w:color="auto"/>
              <w:right w:val="single" w:sz="4" w:space="0" w:color="auto"/>
            </w:tcBorders>
            <w:shd w:val="clear" w:color="auto" w:fill="auto"/>
            <w:noWrap/>
            <w:vAlign w:val="center"/>
            <w:hideMark/>
          </w:tcPr>
          <w:p w14:paraId="2A8C481B" w14:textId="77777777" w:rsidR="00E403D6" w:rsidRPr="00F10391" w:rsidRDefault="00E403D6">
            <w:r w:rsidRPr="00F10391">
              <w:t>NA</w:t>
            </w:r>
          </w:p>
        </w:tc>
      </w:tr>
      <w:tr w:rsidR="00E403D6" w:rsidRPr="00F10391" w14:paraId="74645CCE"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F85B9AA" w14:textId="77777777" w:rsidR="00E403D6" w:rsidRPr="00F10391" w:rsidRDefault="00E403D6" w:rsidP="00494A9A">
            <w:r w:rsidRPr="00F10391">
              <w:t>Using programme budgeting and marginal analysis (PBMA) to set priorities: reflections from a qualitative assessment in an English Primary Care Trust.</w:t>
            </w:r>
          </w:p>
        </w:tc>
        <w:tc>
          <w:tcPr>
            <w:tcW w:w="1636" w:type="dxa"/>
            <w:tcBorders>
              <w:top w:val="nil"/>
              <w:left w:val="nil"/>
              <w:bottom w:val="single" w:sz="4" w:space="0" w:color="auto"/>
              <w:right w:val="single" w:sz="4" w:space="0" w:color="auto"/>
            </w:tcBorders>
            <w:shd w:val="clear" w:color="auto" w:fill="auto"/>
            <w:noWrap/>
            <w:vAlign w:val="center"/>
            <w:hideMark/>
          </w:tcPr>
          <w:p w14:paraId="68307FAE" w14:textId="77777777" w:rsidR="00E403D6" w:rsidRPr="00F10391" w:rsidRDefault="00E403D6" w:rsidP="00F51F18">
            <w:r w:rsidRPr="00F10391">
              <w:t>Goodwin E, Frew EJ.</w:t>
            </w:r>
          </w:p>
        </w:tc>
        <w:tc>
          <w:tcPr>
            <w:tcW w:w="1246" w:type="dxa"/>
            <w:tcBorders>
              <w:top w:val="nil"/>
              <w:left w:val="nil"/>
              <w:bottom w:val="single" w:sz="4" w:space="0" w:color="auto"/>
              <w:right w:val="single" w:sz="4" w:space="0" w:color="auto"/>
            </w:tcBorders>
            <w:shd w:val="clear" w:color="auto" w:fill="auto"/>
            <w:noWrap/>
            <w:vAlign w:val="center"/>
            <w:hideMark/>
          </w:tcPr>
          <w:p w14:paraId="279F16A5" w14:textId="77777777" w:rsidR="00E403D6" w:rsidRPr="00F10391" w:rsidRDefault="00E403D6">
            <w:r w:rsidRPr="00F10391">
              <w:t>Soc Sci Med.  2013</w:t>
            </w:r>
          </w:p>
        </w:tc>
        <w:tc>
          <w:tcPr>
            <w:tcW w:w="1260" w:type="dxa"/>
            <w:tcBorders>
              <w:top w:val="nil"/>
              <w:left w:val="nil"/>
              <w:bottom w:val="single" w:sz="4" w:space="0" w:color="auto"/>
              <w:right w:val="single" w:sz="4" w:space="0" w:color="auto"/>
            </w:tcBorders>
            <w:shd w:val="clear" w:color="auto" w:fill="auto"/>
            <w:noWrap/>
            <w:vAlign w:val="center"/>
            <w:hideMark/>
          </w:tcPr>
          <w:p w14:paraId="1D348904"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03792677"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59C545B2"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000FACC9" w14:textId="77777777" w:rsidR="00E403D6" w:rsidRPr="00F10391" w:rsidRDefault="00E403D6">
            <w:r w:rsidRPr="00F10391">
              <w:t>UK</w:t>
            </w:r>
          </w:p>
        </w:tc>
      </w:tr>
      <w:tr w:rsidR="00E403D6" w:rsidRPr="00F10391" w14:paraId="17A719F3"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949371C" w14:textId="77777777" w:rsidR="00E403D6" w:rsidRPr="00F10391" w:rsidRDefault="00E403D6" w:rsidP="00494A9A">
            <w:r w:rsidRPr="00F10391">
              <w:t>Assessing the Value of Healthcare Interventions Using Multi-Criteria Decision Analysis: A Review of the Literature</w:t>
            </w:r>
          </w:p>
        </w:tc>
        <w:tc>
          <w:tcPr>
            <w:tcW w:w="1636" w:type="dxa"/>
            <w:tcBorders>
              <w:top w:val="nil"/>
              <w:left w:val="nil"/>
              <w:bottom w:val="single" w:sz="4" w:space="0" w:color="auto"/>
              <w:right w:val="single" w:sz="4" w:space="0" w:color="auto"/>
            </w:tcBorders>
            <w:shd w:val="clear" w:color="auto" w:fill="auto"/>
            <w:noWrap/>
            <w:vAlign w:val="center"/>
            <w:hideMark/>
          </w:tcPr>
          <w:p w14:paraId="18D4006C" w14:textId="77777777" w:rsidR="00E403D6" w:rsidRPr="00F10391" w:rsidRDefault="00E403D6" w:rsidP="00F51F18">
            <w:r w:rsidRPr="00F10391">
              <w:t>Marsh, Kevin; Lanitis, Tereza; Neasham, David; Orfanos, Panagiotis; Caro, Jaime</w:t>
            </w:r>
          </w:p>
        </w:tc>
        <w:tc>
          <w:tcPr>
            <w:tcW w:w="1246" w:type="dxa"/>
            <w:tcBorders>
              <w:top w:val="nil"/>
              <w:left w:val="nil"/>
              <w:bottom w:val="single" w:sz="4" w:space="0" w:color="auto"/>
              <w:right w:val="single" w:sz="4" w:space="0" w:color="auto"/>
            </w:tcBorders>
            <w:shd w:val="clear" w:color="auto" w:fill="auto"/>
            <w:noWrap/>
            <w:vAlign w:val="center"/>
            <w:hideMark/>
          </w:tcPr>
          <w:p w14:paraId="1820DB25" w14:textId="77777777" w:rsidR="00E403D6" w:rsidRPr="00F10391" w:rsidRDefault="00E403D6">
            <w:r w:rsidRPr="00F10391">
              <w:t>Pharmacoeconomics 2014</w:t>
            </w:r>
          </w:p>
        </w:tc>
        <w:tc>
          <w:tcPr>
            <w:tcW w:w="1260" w:type="dxa"/>
            <w:tcBorders>
              <w:top w:val="nil"/>
              <w:left w:val="nil"/>
              <w:bottom w:val="single" w:sz="4" w:space="0" w:color="auto"/>
              <w:right w:val="single" w:sz="4" w:space="0" w:color="auto"/>
            </w:tcBorders>
            <w:shd w:val="clear" w:color="auto" w:fill="auto"/>
            <w:noWrap/>
            <w:vAlign w:val="center"/>
            <w:hideMark/>
          </w:tcPr>
          <w:p w14:paraId="3F83DEDA" w14:textId="77777777" w:rsidR="00E403D6" w:rsidRPr="00F10391" w:rsidRDefault="00E403D6">
            <w:r w:rsidRPr="00F10391">
              <w:t>Review</w:t>
            </w:r>
          </w:p>
        </w:tc>
        <w:tc>
          <w:tcPr>
            <w:tcW w:w="1134" w:type="dxa"/>
            <w:tcBorders>
              <w:top w:val="nil"/>
              <w:left w:val="nil"/>
              <w:bottom w:val="single" w:sz="4" w:space="0" w:color="auto"/>
              <w:right w:val="single" w:sz="4" w:space="0" w:color="auto"/>
            </w:tcBorders>
            <w:shd w:val="clear" w:color="auto" w:fill="auto"/>
            <w:noWrap/>
            <w:vAlign w:val="center"/>
            <w:hideMark/>
          </w:tcPr>
          <w:p w14:paraId="410924D1"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16D634AE" w14:textId="77777777" w:rsidR="00E403D6" w:rsidRPr="00F10391" w:rsidRDefault="00E403D6">
            <w:r w:rsidRPr="00F10391">
              <w:t>Generic</w:t>
            </w:r>
          </w:p>
        </w:tc>
        <w:tc>
          <w:tcPr>
            <w:tcW w:w="1134" w:type="dxa"/>
            <w:tcBorders>
              <w:top w:val="nil"/>
              <w:left w:val="nil"/>
              <w:bottom w:val="single" w:sz="4" w:space="0" w:color="auto"/>
              <w:right w:val="single" w:sz="4" w:space="0" w:color="auto"/>
            </w:tcBorders>
            <w:shd w:val="clear" w:color="auto" w:fill="auto"/>
            <w:noWrap/>
            <w:vAlign w:val="center"/>
            <w:hideMark/>
          </w:tcPr>
          <w:p w14:paraId="32AFA704" w14:textId="77777777" w:rsidR="00E403D6" w:rsidRPr="00F10391" w:rsidRDefault="00E403D6">
            <w:r w:rsidRPr="00F10391">
              <w:t>NA</w:t>
            </w:r>
          </w:p>
        </w:tc>
      </w:tr>
      <w:tr w:rsidR="00E403D6" w:rsidRPr="00F10391" w14:paraId="5DDBC0C6"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09B3C6C" w14:textId="77777777" w:rsidR="00E403D6" w:rsidRPr="00F10391" w:rsidRDefault="00E403D6" w:rsidP="00494A9A">
            <w:r w:rsidRPr="00F10391">
              <w:t>Changing priority setting practice: The role of implementation in practice change.</w:t>
            </w:r>
          </w:p>
        </w:tc>
        <w:tc>
          <w:tcPr>
            <w:tcW w:w="1636" w:type="dxa"/>
            <w:tcBorders>
              <w:top w:val="nil"/>
              <w:left w:val="nil"/>
              <w:bottom w:val="single" w:sz="4" w:space="0" w:color="auto"/>
              <w:right w:val="single" w:sz="4" w:space="0" w:color="auto"/>
            </w:tcBorders>
            <w:shd w:val="clear" w:color="auto" w:fill="auto"/>
            <w:noWrap/>
            <w:vAlign w:val="center"/>
            <w:hideMark/>
          </w:tcPr>
          <w:p w14:paraId="5E69B71A" w14:textId="77777777" w:rsidR="00E403D6" w:rsidRPr="00F10391" w:rsidRDefault="00E403D6" w:rsidP="00F51F18">
            <w:r w:rsidRPr="00F10391">
              <w:t>Cornelissen E, Mitton C, Davidson A, Reid RC, Hole R, Visockas AM, Smith N.</w:t>
            </w:r>
          </w:p>
        </w:tc>
        <w:tc>
          <w:tcPr>
            <w:tcW w:w="1246" w:type="dxa"/>
            <w:tcBorders>
              <w:top w:val="nil"/>
              <w:left w:val="nil"/>
              <w:bottom w:val="single" w:sz="4" w:space="0" w:color="auto"/>
              <w:right w:val="single" w:sz="4" w:space="0" w:color="auto"/>
            </w:tcBorders>
            <w:shd w:val="clear" w:color="auto" w:fill="auto"/>
            <w:noWrap/>
            <w:vAlign w:val="center"/>
            <w:hideMark/>
          </w:tcPr>
          <w:p w14:paraId="18A23F4F" w14:textId="77777777" w:rsidR="00E403D6" w:rsidRPr="00F10391" w:rsidRDefault="00E403D6">
            <w:r w:rsidRPr="00F10391">
              <w:t>Health Policy.  2014</w:t>
            </w:r>
          </w:p>
        </w:tc>
        <w:tc>
          <w:tcPr>
            <w:tcW w:w="1260" w:type="dxa"/>
            <w:tcBorders>
              <w:top w:val="nil"/>
              <w:left w:val="nil"/>
              <w:bottom w:val="single" w:sz="4" w:space="0" w:color="auto"/>
              <w:right w:val="single" w:sz="4" w:space="0" w:color="auto"/>
            </w:tcBorders>
            <w:shd w:val="clear" w:color="auto" w:fill="auto"/>
            <w:noWrap/>
            <w:vAlign w:val="center"/>
            <w:hideMark/>
          </w:tcPr>
          <w:p w14:paraId="236376FE"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39D8B814"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4A1AADE2"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7C8D900A" w14:textId="77777777" w:rsidR="00E403D6" w:rsidRPr="00F10391" w:rsidRDefault="00E403D6">
            <w:r w:rsidRPr="00F10391">
              <w:t>Canada</w:t>
            </w:r>
          </w:p>
        </w:tc>
      </w:tr>
      <w:tr w:rsidR="00E403D6" w:rsidRPr="00F10391" w14:paraId="6A3960E4"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27F508F" w14:textId="77777777" w:rsidR="00E403D6" w:rsidRPr="00F10391" w:rsidRDefault="00E403D6" w:rsidP="00494A9A">
            <w:r w:rsidRPr="00F10391">
              <w:t>Priority setting for the prevention and control of cardiovascular diseases: multi-criteria decision analysis in four eastern Mediterranean countries.</w:t>
            </w:r>
          </w:p>
        </w:tc>
        <w:tc>
          <w:tcPr>
            <w:tcW w:w="1636" w:type="dxa"/>
            <w:tcBorders>
              <w:top w:val="nil"/>
              <w:left w:val="nil"/>
              <w:bottom w:val="single" w:sz="4" w:space="0" w:color="auto"/>
              <w:right w:val="single" w:sz="4" w:space="0" w:color="auto"/>
            </w:tcBorders>
            <w:shd w:val="clear" w:color="auto" w:fill="auto"/>
            <w:noWrap/>
            <w:vAlign w:val="center"/>
            <w:hideMark/>
          </w:tcPr>
          <w:p w14:paraId="7942559D" w14:textId="77777777" w:rsidR="00E403D6" w:rsidRPr="00F10391" w:rsidRDefault="00E403D6" w:rsidP="00F51F18">
            <w:r w:rsidRPr="00F10391">
              <w:t>Ghandour R, Shoaibi A, Khatib R, Abu Rmeileh N, Unal B, SÍ_zmen K, KÑ±lÑ±Í_ B, Fouad F, Al Ali R, Ben Romdhane H, Aissi W, Ahmad B, Capewell S, Critchley J, Husseini A.</w:t>
            </w:r>
          </w:p>
        </w:tc>
        <w:tc>
          <w:tcPr>
            <w:tcW w:w="1246" w:type="dxa"/>
            <w:tcBorders>
              <w:top w:val="nil"/>
              <w:left w:val="nil"/>
              <w:bottom w:val="single" w:sz="4" w:space="0" w:color="auto"/>
              <w:right w:val="single" w:sz="4" w:space="0" w:color="auto"/>
            </w:tcBorders>
            <w:shd w:val="clear" w:color="auto" w:fill="auto"/>
            <w:noWrap/>
            <w:vAlign w:val="center"/>
            <w:hideMark/>
          </w:tcPr>
          <w:p w14:paraId="00DB55CF" w14:textId="77777777" w:rsidR="00E403D6" w:rsidRPr="00F10391" w:rsidRDefault="00E403D6">
            <w:r w:rsidRPr="00F10391">
              <w:t>Int J Public Health.  2014</w:t>
            </w:r>
          </w:p>
        </w:tc>
        <w:tc>
          <w:tcPr>
            <w:tcW w:w="1260" w:type="dxa"/>
            <w:tcBorders>
              <w:top w:val="nil"/>
              <w:left w:val="nil"/>
              <w:bottom w:val="single" w:sz="4" w:space="0" w:color="auto"/>
              <w:right w:val="single" w:sz="4" w:space="0" w:color="auto"/>
            </w:tcBorders>
            <w:shd w:val="clear" w:color="auto" w:fill="auto"/>
            <w:noWrap/>
            <w:vAlign w:val="center"/>
            <w:hideMark/>
          </w:tcPr>
          <w:p w14:paraId="79779DB8"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7CEA8C89" w14:textId="77777777" w:rsidR="00E403D6" w:rsidRPr="00F10391" w:rsidRDefault="00E403D6">
            <w:r w:rsidRPr="00F10391">
              <w:t>Cardiovascular disease</w:t>
            </w:r>
          </w:p>
        </w:tc>
        <w:tc>
          <w:tcPr>
            <w:tcW w:w="993" w:type="dxa"/>
            <w:tcBorders>
              <w:top w:val="nil"/>
              <w:left w:val="nil"/>
              <w:bottom w:val="single" w:sz="4" w:space="0" w:color="auto"/>
              <w:right w:val="single" w:sz="4" w:space="0" w:color="auto"/>
            </w:tcBorders>
            <w:shd w:val="clear" w:color="auto" w:fill="auto"/>
            <w:noWrap/>
            <w:vAlign w:val="center"/>
            <w:hideMark/>
          </w:tcPr>
          <w:p w14:paraId="4D1E5057" w14:textId="77777777" w:rsidR="00E403D6" w:rsidRPr="00F10391" w:rsidRDefault="00E403D6">
            <w:r w:rsidRPr="00F10391">
              <w:t>Lin Add</w:t>
            </w:r>
          </w:p>
        </w:tc>
        <w:tc>
          <w:tcPr>
            <w:tcW w:w="1134" w:type="dxa"/>
            <w:tcBorders>
              <w:top w:val="nil"/>
              <w:left w:val="nil"/>
              <w:bottom w:val="single" w:sz="4" w:space="0" w:color="auto"/>
              <w:right w:val="single" w:sz="4" w:space="0" w:color="auto"/>
            </w:tcBorders>
            <w:shd w:val="clear" w:color="auto" w:fill="auto"/>
            <w:noWrap/>
            <w:vAlign w:val="center"/>
            <w:hideMark/>
          </w:tcPr>
          <w:p w14:paraId="1EFCFB17" w14:textId="77777777" w:rsidR="00E403D6" w:rsidRPr="00F10391" w:rsidRDefault="00E403D6">
            <w:r w:rsidRPr="00F10391">
              <w:t>Regional</w:t>
            </w:r>
          </w:p>
        </w:tc>
      </w:tr>
      <w:tr w:rsidR="00E403D6" w:rsidRPr="00F10391" w14:paraId="37265BD5"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6470C3B" w14:textId="77777777" w:rsidR="00E403D6" w:rsidRPr="00F10391" w:rsidRDefault="00E403D6" w:rsidP="00494A9A">
            <w:r w:rsidRPr="00F10391">
              <w:t>Determining and broadening the definition of impact from implementing a rational priority setting approach in a healthcare organization.</w:t>
            </w:r>
          </w:p>
        </w:tc>
        <w:tc>
          <w:tcPr>
            <w:tcW w:w="1636" w:type="dxa"/>
            <w:tcBorders>
              <w:top w:val="nil"/>
              <w:left w:val="nil"/>
              <w:bottom w:val="single" w:sz="4" w:space="0" w:color="auto"/>
              <w:right w:val="single" w:sz="4" w:space="0" w:color="auto"/>
            </w:tcBorders>
            <w:shd w:val="clear" w:color="auto" w:fill="auto"/>
            <w:noWrap/>
            <w:vAlign w:val="center"/>
            <w:hideMark/>
          </w:tcPr>
          <w:p w14:paraId="5EAD0182" w14:textId="77777777" w:rsidR="00E403D6" w:rsidRPr="00F10391" w:rsidRDefault="00E403D6" w:rsidP="00F51F18">
            <w:r w:rsidRPr="00F10391">
              <w:t>Cornelissen E, Mitton C, Davidson A, Reid C, Hole R, Visockas AM, Smith N.</w:t>
            </w:r>
          </w:p>
        </w:tc>
        <w:tc>
          <w:tcPr>
            <w:tcW w:w="1246" w:type="dxa"/>
            <w:tcBorders>
              <w:top w:val="nil"/>
              <w:left w:val="nil"/>
              <w:bottom w:val="single" w:sz="4" w:space="0" w:color="auto"/>
              <w:right w:val="single" w:sz="4" w:space="0" w:color="auto"/>
            </w:tcBorders>
            <w:shd w:val="clear" w:color="auto" w:fill="auto"/>
            <w:noWrap/>
            <w:vAlign w:val="center"/>
            <w:hideMark/>
          </w:tcPr>
          <w:p w14:paraId="2E1FBC68" w14:textId="77777777" w:rsidR="00E403D6" w:rsidRPr="00F10391" w:rsidRDefault="00E403D6">
            <w:r w:rsidRPr="00F10391">
              <w:t>Soc Sci Med.  2014</w:t>
            </w:r>
          </w:p>
        </w:tc>
        <w:tc>
          <w:tcPr>
            <w:tcW w:w="1260" w:type="dxa"/>
            <w:tcBorders>
              <w:top w:val="nil"/>
              <w:left w:val="nil"/>
              <w:bottom w:val="single" w:sz="4" w:space="0" w:color="auto"/>
              <w:right w:val="single" w:sz="4" w:space="0" w:color="auto"/>
            </w:tcBorders>
            <w:shd w:val="clear" w:color="auto" w:fill="auto"/>
            <w:noWrap/>
            <w:vAlign w:val="center"/>
            <w:hideMark/>
          </w:tcPr>
          <w:p w14:paraId="128BB601"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14D1FE23"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570F39EA"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7E2D9E7F" w14:textId="77777777" w:rsidR="00E403D6" w:rsidRPr="00F10391" w:rsidRDefault="00E403D6">
            <w:r w:rsidRPr="00F10391">
              <w:t>Canada</w:t>
            </w:r>
          </w:p>
        </w:tc>
      </w:tr>
      <w:tr w:rsidR="00E403D6" w:rsidRPr="00F10391" w14:paraId="6DECD913"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59DD138" w14:textId="77777777" w:rsidR="00E403D6" w:rsidRPr="00F10391" w:rsidRDefault="00E403D6" w:rsidP="00494A9A">
            <w:r w:rsidRPr="00F10391">
              <w:t>Participatory Risk Mapping of Malaria Vector Exposure in Northern South America using Environmental and Population Data.</w:t>
            </w:r>
          </w:p>
        </w:tc>
        <w:tc>
          <w:tcPr>
            <w:tcW w:w="1636" w:type="dxa"/>
            <w:tcBorders>
              <w:top w:val="nil"/>
              <w:left w:val="nil"/>
              <w:bottom w:val="single" w:sz="4" w:space="0" w:color="auto"/>
              <w:right w:val="single" w:sz="4" w:space="0" w:color="auto"/>
            </w:tcBorders>
            <w:shd w:val="clear" w:color="auto" w:fill="auto"/>
            <w:noWrap/>
            <w:vAlign w:val="center"/>
            <w:hideMark/>
          </w:tcPr>
          <w:p w14:paraId="22703F31" w14:textId="77777777" w:rsidR="00E403D6" w:rsidRPr="00F10391" w:rsidRDefault="00E403D6" w:rsidP="00F51F18">
            <w:r w:rsidRPr="00F10391">
              <w:t>Fuller DO, Troyo A, Alimi TO, Beier JC.</w:t>
            </w:r>
          </w:p>
        </w:tc>
        <w:tc>
          <w:tcPr>
            <w:tcW w:w="1246" w:type="dxa"/>
            <w:tcBorders>
              <w:top w:val="nil"/>
              <w:left w:val="nil"/>
              <w:bottom w:val="single" w:sz="4" w:space="0" w:color="auto"/>
              <w:right w:val="single" w:sz="4" w:space="0" w:color="auto"/>
            </w:tcBorders>
            <w:shd w:val="clear" w:color="auto" w:fill="auto"/>
            <w:noWrap/>
            <w:vAlign w:val="center"/>
            <w:hideMark/>
          </w:tcPr>
          <w:p w14:paraId="4734F937" w14:textId="77777777" w:rsidR="00E403D6" w:rsidRPr="00F10391" w:rsidRDefault="00E403D6">
            <w:r w:rsidRPr="00F10391">
              <w:t>Appl Geogr.  2014</w:t>
            </w:r>
          </w:p>
        </w:tc>
        <w:tc>
          <w:tcPr>
            <w:tcW w:w="1260" w:type="dxa"/>
            <w:tcBorders>
              <w:top w:val="nil"/>
              <w:left w:val="nil"/>
              <w:bottom w:val="single" w:sz="4" w:space="0" w:color="auto"/>
              <w:right w:val="single" w:sz="4" w:space="0" w:color="auto"/>
            </w:tcBorders>
            <w:shd w:val="clear" w:color="auto" w:fill="auto"/>
            <w:noWrap/>
            <w:vAlign w:val="center"/>
            <w:hideMark/>
          </w:tcPr>
          <w:p w14:paraId="56499895" w14:textId="77777777" w:rsidR="00E403D6" w:rsidRPr="00F10391" w:rsidRDefault="00E403D6">
            <w:r w:rsidRPr="00F10391">
              <w:t>Risk monitoring</w:t>
            </w:r>
          </w:p>
        </w:tc>
        <w:tc>
          <w:tcPr>
            <w:tcW w:w="1134" w:type="dxa"/>
            <w:tcBorders>
              <w:top w:val="nil"/>
              <w:left w:val="nil"/>
              <w:bottom w:val="single" w:sz="4" w:space="0" w:color="auto"/>
              <w:right w:val="single" w:sz="4" w:space="0" w:color="auto"/>
            </w:tcBorders>
            <w:shd w:val="clear" w:color="auto" w:fill="auto"/>
            <w:noWrap/>
            <w:vAlign w:val="center"/>
            <w:hideMark/>
          </w:tcPr>
          <w:p w14:paraId="606F71A8" w14:textId="77777777" w:rsidR="00E403D6" w:rsidRPr="00F10391" w:rsidRDefault="00E403D6">
            <w:r w:rsidRPr="00F10391">
              <w:t>Malaria (GIS)</w:t>
            </w:r>
          </w:p>
        </w:tc>
        <w:tc>
          <w:tcPr>
            <w:tcW w:w="993" w:type="dxa"/>
            <w:tcBorders>
              <w:top w:val="nil"/>
              <w:left w:val="nil"/>
              <w:bottom w:val="single" w:sz="4" w:space="0" w:color="auto"/>
              <w:right w:val="single" w:sz="4" w:space="0" w:color="auto"/>
            </w:tcBorders>
            <w:shd w:val="clear" w:color="auto" w:fill="auto"/>
            <w:noWrap/>
            <w:vAlign w:val="center"/>
            <w:hideMark/>
          </w:tcPr>
          <w:p w14:paraId="2E681898" w14:textId="77777777" w:rsidR="00E403D6" w:rsidRPr="00F10391" w:rsidRDefault="00E403D6">
            <w:r w:rsidRPr="00F10391">
              <w:t>AHP</w:t>
            </w:r>
          </w:p>
        </w:tc>
        <w:tc>
          <w:tcPr>
            <w:tcW w:w="1134" w:type="dxa"/>
            <w:tcBorders>
              <w:top w:val="nil"/>
              <w:left w:val="nil"/>
              <w:bottom w:val="single" w:sz="4" w:space="0" w:color="auto"/>
              <w:right w:val="single" w:sz="4" w:space="0" w:color="auto"/>
            </w:tcBorders>
            <w:shd w:val="clear" w:color="auto" w:fill="auto"/>
            <w:noWrap/>
            <w:vAlign w:val="center"/>
            <w:hideMark/>
          </w:tcPr>
          <w:p w14:paraId="6A843B89" w14:textId="77777777" w:rsidR="00E403D6" w:rsidRPr="00F10391" w:rsidRDefault="00E403D6">
            <w:r w:rsidRPr="00F10391">
              <w:t>Regional</w:t>
            </w:r>
          </w:p>
        </w:tc>
      </w:tr>
      <w:tr w:rsidR="00E403D6" w:rsidRPr="00F10391" w14:paraId="064FC5D9"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25093BB" w14:textId="77777777" w:rsidR="00E403D6" w:rsidRPr="00F10391" w:rsidRDefault="00E403D6" w:rsidP="00494A9A">
            <w:r w:rsidRPr="00F10391">
              <w:t>Applying quantitative benefit-risk analysis to aid regulatory decision making in diagnostic imaging: methods, challenges, and opportunities.</w:t>
            </w:r>
          </w:p>
        </w:tc>
        <w:tc>
          <w:tcPr>
            <w:tcW w:w="1636" w:type="dxa"/>
            <w:tcBorders>
              <w:top w:val="nil"/>
              <w:left w:val="nil"/>
              <w:bottom w:val="single" w:sz="4" w:space="0" w:color="auto"/>
              <w:right w:val="single" w:sz="4" w:space="0" w:color="auto"/>
            </w:tcBorders>
            <w:shd w:val="clear" w:color="auto" w:fill="auto"/>
            <w:noWrap/>
            <w:vAlign w:val="center"/>
            <w:hideMark/>
          </w:tcPr>
          <w:p w14:paraId="58404114" w14:textId="77777777" w:rsidR="00E403D6" w:rsidRPr="00F10391" w:rsidRDefault="00E403D6" w:rsidP="00F51F18">
            <w:r w:rsidRPr="00F10391">
              <w:t>Agapova M, Devine EB, Bresnahan BW, Higashi MK, Garrison LP Jr.</w:t>
            </w:r>
          </w:p>
        </w:tc>
        <w:tc>
          <w:tcPr>
            <w:tcW w:w="1246" w:type="dxa"/>
            <w:tcBorders>
              <w:top w:val="nil"/>
              <w:left w:val="nil"/>
              <w:bottom w:val="single" w:sz="4" w:space="0" w:color="auto"/>
              <w:right w:val="single" w:sz="4" w:space="0" w:color="auto"/>
            </w:tcBorders>
            <w:shd w:val="clear" w:color="auto" w:fill="auto"/>
            <w:noWrap/>
            <w:vAlign w:val="center"/>
            <w:hideMark/>
          </w:tcPr>
          <w:p w14:paraId="340D756E" w14:textId="77777777" w:rsidR="00E403D6" w:rsidRPr="00F10391" w:rsidRDefault="00E403D6">
            <w:r w:rsidRPr="00F10391">
              <w:t>Acad Radiol.  2014</w:t>
            </w:r>
          </w:p>
        </w:tc>
        <w:tc>
          <w:tcPr>
            <w:tcW w:w="1260" w:type="dxa"/>
            <w:tcBorders>
              <w:top w:val="nil"/>
              <w:left w:val="nil"/>
              <w:bottom w:val="single" w:sz="4" w:space="0" w:color="auto"/>
              <w:right w:val="single" w:sz="4" w:space="0" w:color="auto"/>
            </w:tcBorders>
            <w:shd w:val="clear" w:color="auto" w:fill="auto"/>
            <w:noWrap/>
            <w:vAlign w:val="center"/>
            <w:hideMark/>
          </w:tcPr>
          <w:p w14:paraId="035EDCA6" w14:textId="77777777" w:rsidR="00E403D6" w:rsidRPr="00F10391" w:rsidRDefault="00E403D6">
            <w:r w:rsidRPr="00F10391">
              <w:t>Overview</w:t>
            </w:r>
          </w:p>
        </w:tc>
        <w:tc>
          <w:tcPr>
            <w:tcW w:w="1134" w:type="dxa"/>
            <w:tcBorders>
              <w:top w:val="nil"/>
              <w:left w:val="nil"/>
              <w:bottom w:val="single" w:sz="4" w:space="0" w:color="auto"/>
              <w:right w:val="single" w:sz="4" w:space="0" w:color="auto"/>
            </w:tcBorders>
            <w:shd w:val="clear" w:color="auto" w:fill="auto"/>
            <w:noWrap/>
            <w:vAlign w:val="center"/>
            <w:hideMark/>
          </w:tcPr>
          <w:p w14:paraId="69437E0E" w14:textId="77777777" w:rsidR="00E403D6" w:rsidRPr="00F10391" w:rsidRDefault="00E403D6">
            <w:r w:rsidRPr="00F10391">
              <w:t>Diagnostic imaging</w:t>
            </w:r>
          </w:p>
        </w:tc>
        <w:tc>
          <w:tcPr>
            <w:tcW w:w="993" w:type="dxa"/>
            <w:tcBorders>
              <w:top w:val="nil"/>
              <w:left w:val="nil"/>
              <w:bottom w:val="single" w:sz="4" w:space="0" w:color="auto"/>
              <w:right w:val="single" w:sz="4" w:space="0" w:color="auto"/>
            </w:tcBorders>
            <w:shd w:val="clear" w:color="auto" w:fill="auto"/>
            <w:noWrap/>
            <w:vAlign w:val="center"/>
            <w:hideMark/>
          </w:tcPr>
          <w:p w14:paraId="5D47D04D" w14:textId="77777777" w:rsidR="00E403D6" w:rsidRPr="00F10391" w:rsidRDefault="00E403D6">
            <w:r w:rsidRPr="00F10391">
              <w:t>Generic</w:t>
            </w:r>
          </w:p>
        </w:tc>
        <w:tc>
          <w:tcPr>
            <w:tcW w:w="1134" w:type="dxa"/>
            <w:tcBorders>
              <w:top w:val="nil"/>
              <w:left w:val="nil"/>
              <w:bottom w:val="single" w:sz="4" w:space="0" w:color="auto"/>
              <w:right w:val="single" w:sz="4" w:space="0" w:color="auto"/>
            </w:tcBorders>
            <w:shd w:val="clear" w:color="auto" w:fill="auto"/>
            <w:noWrap/>
            <w:vAlign w:val="center"/>
            <w:hideMark/>
          </w:tcPr>
          <w:p w14:paraId="270F056C" w14:textId="77777777" w:rsidR="00E403D6" w:rsidRPr="00F10391" w:rsidRDefault="00E403D6">
            <w:r w:rsidRPr="00F10391">
              <w:t>NA</w:t>
            </w:r>
          </w:p>
        </w:tc>
      </w:tr>
      <w:tr w:rsidR="00E403D6" w:rsidRPr="00F10391" w14:paraId="23764F0E"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D65BF7E" w14:textId="77777777" w:rsidR="00E403D6" w:rsidRPr="00F10391" w:rsidRDefault="00E403D6" w:rsidP="00494A9A">
            <w:r w:rsidRPr="00F10391">
              <w:t>A national Programme Budgeting and Marginal Analysis (PBMA) of health improvement spending across Wales: disinvestment and reinvestment across the life course.</w:t>
            </w:r>
          </w:p>
        </w:tc>
        <w:tc>
          <w:tcPr>
            <w:tcW w:w="1636" w:type="dxa"/>
            <w:tcBorders>
              <w:top w:val="nil"/>
              <w:left w:val="nil"/>
              <w:bottom w:val="single" w:sz="4" w:space="0" w:color="auto"/>
              <w:right w:val="single" w:sz="4" w:space="0" w:color="auto"/>
            </w:tcBorders>
            <w:shd w:val="clear" w:color="auto" w:fill="auto"/>
            <w:noWrap/>
            <w:vAlign w:val="center"/>
            <w:hideMark/>
          </w:tcPr>
          <w:p w14:paraId="03701E51" w14:textId="77777777" w:rsidR="00E403D6" w:rsidRPr="00F10391" w:rsidRDefault="00E403D6" w:rsidP="00F51F18">
            <w:r w:rsidRPr="00F10391">
              <w:t>Edwards RT, Charles JM, Thomas S, Bishop J, Cohen D, Groves S, Humphreys C, Howson H, Bradley P.</w:t>
            </w:r>
          </w:p>
        </w:tc>
        <w:tc>
          <w:tcPr>
            <w:tcW w:w="1246" w:type="dxa"/>
            <w:tcBorders>
              <w:top w:val="nil"/>
              <w:left w:val="nil"/>
              <w:bottom w:val="single" w:sz="4" w:space="0" w:color="auto"/>
              <w:right w:val="single" w:sz="4" w:space="0" w:color="auto"/>
            </w:tcBorders>
            <w:shd w:val="clear" w:color="auto" w:fill="auto"/>
            <w:noWrap/>
            <w:vAlign w:val="center"/>
            <w:hideMark/>
          </w:tcPr>
          <w:p w14:paraId="7F47BF39" w14:textId="77777777" w:rsidR="00E403D6" w:rsidRPr="00F10391" w:rsidRDefault="00E403D6">
            <w:r w:rsidRPr="00F10391">
              <w:t>Bmc Public Health.  2014</w:t>
            </w:r>
          </w:p>
        </w:tc>
        <w:tc>
          <w:tcPr>
            <w:tcW w:w="1260" w:type="dxa"/>
            <w:tcBorders>
              <w:top w:val="nil"/>
              <w:left w:val="nil"/>
              <w:bottom w:val="single" w:sz="4" w:space="0" w:color="auto"/>
              <w:right w:val="single" w:sz="4" w:space="0" w:color="auto"/>
            </w:tcBorders>
            <w:shd w:val="clear" w:color="auto" w:fill="auto"/>
            <w:noWrap/>
            <w:vAlign w:val="center"/>
            <w:hideMark/>
          </w:tcPr>
          <w:p w14:paraId="7E7FD794"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097E3BEF" w14:textId="77777777" w:rsidR="00E403D6" w:rsidRPr="00F10391" w:rsidRDefault="00E403D6">
            <w:r w:rsidRPr="00F10391">
              <w:t>Generic</w:t>
            </w:r>
          </w:p>
        </w:tc>
        <w:tc>
          <w:tcPr>
            <w:tcW w:w="993" w:type="dxa"/>
            <w:tcBorders>
              <w:top w:val="nil"/>
              <w:left w:val="nil"/>
              <w:bottom w:val="single" w:sz="4" w:space="0" w:color="auto"/>
              <w:right w:val="single" w:sz="4" w:space="0" w:color="auto"/>
            </w:tcBorders>
            <w:shd w:val="clear" w:color="auto" w:fill="auto"/>
            <w:noWrap/>
            <w:vAlign w:val="center"/>
            <w:hideMark/>
          </w:tcPr>
          <w:p w14:paraId="4ACDFA58" w14:textId="77777777" w:rsidR="00E403D6" w:rsidRPr="00F10391" w:rsidRDefault="00E403D6">
            <w:r w:rsidRPr="00F10391">
              <w:t>PBMA</w:t>
            </w:r>
          </w:p>
        </w:tc>
        <w:tc>
          <w:tcPr>
            <w:tcW w:w="1134" w:type="dxa"/>
            <w:tcBorders>
              <w:top w:val="nil"/>
              <w:left w:val="nil"/>
              <w:bottom w:val="single" w:sz="4" w:space="0" w:color="auto"/>
              <w:right w:val="single" w:sz="4" w:space="0" w:color="auto"/>
            </w:tcBorders>
            <w:shd w:val="clear" w:color="auto" w:fill="auto"/>
            <w:noWrap/>
            <w:vAlign w:val="center"/>
            <w:hideMark/>
          </w:tcPr>
          <w:p w14:paraId="5B09D67D" w14:textId="77777777" w:rsidR="00E403D6" w:rsidRPr="00F10391" w:rsidRDefault="00E403D6">
            <w:r w:rsidRPr="00F10391">
              <w:t>UK</w:t>
            </w:r>
          </w:p>
        </w:tc>
      </w:tr>
      <w:tr w:rsidR="00E403D6" w:rsidRPr="00F10391" w14:paraId="6EA0DAFE"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CC3972B" w14:textId="77777777" w:rsidR="00E403D6" w:rsidRPr="00F10391" w:rsidRDefault="00E403D6" w:rsidP="00494A9A">
            <w:r w:rsidRPr="00F10391">
              <w:t>Assessing the vulnerability of Brazilian municipalities to the vectorial transmission of Trypanosoma cruzi using multi-criteria decision analysis</w:t>
            </w:r>
          </w:p>
        </w:tc>
        <w:tc>
          <w:tcPr>
            <w:tcW w:w="1636" w:type="dxa"/>
            <w:tcBorders>
              <w:top w:val="nil"/>
              <w:left w:val="nil"/>
              <w:bottom w:val="single" w:sz="4" w:space="0" w:color="auto"/>
              <w:right w:val="single" w:sz="4" w:space="0" w:color="auto"/>
            </w:tcBorders>
            <w:shd w:val="clear" w:color="auto" w:fill="auto"/>
            <w:noWrap/>
            <w:vAlign w:val="center"/>
            <w:hideMark/>
          </w:tcPr>
          <w:p w14:paraId="468B003F" w14:textId="77777777" w:rsidR="00E403D6" w:rsidRPr="00F10391" w:rsidRDefault="00E403D6" w:rsidP="00F51F18">
            <w:r w:rsidRPr="00F10391">
              <w:t>Vinhaes, Marcio Costa; de Oliveira, Stefan Vilges; Reis, Priscilleyne Ouverney; de Lacerda Sousa, Ana Carolina; Albuquerque e Silva, Rafaella; Obara, Marcos Takashi; Bezerra, Claudia Mendonca; da Costa, Veruska Maia; Alves, Renato Vieira; Gurgel-Goncalves, Rodrigo</w:t>
            </w:r>
          </w:p>
        </w:tc>
        <w:tc>
          <w:tcPr>
            <w:tcW w:w="1246" w:type="dxa"/>
            <w:tcBorders>
              <w:top w:val="nil"/>
              <w:left w:val="nil"/>
              <w:bottom w:val="single" w:sz="4" w:space="0" w:color="auto"/>
              <w:right w:val="single" w:sz="4" w:space="0" w:color="auto"/>
            </w:tcBorders>
            <w:shd w:val="clear" w:color="auto" w:fill="auto"/>
            <w:noWrap/>
            <w:vAlign w:val="center"/>
            <w:hideMark/>
          </w:tcPr>
          <w:p w14:paraId="5D95507E" w14:textId="77777777" w:rsidR="00E403D6" w:rsidRPr="00F10391" w:rsidRDefault="00E403D6">
            <w:r w:rsidRPr="00F10391">
              <w:t>Acta Tropica 2014</w:t>
            </w:r>
          </w:p>
        </w:tc>
        <w:tc>
          <w:tcPr>
            <w:tcW w:w="1260" w:type="dxa"/>
            <w:tcBorders>
              <w:top w:val="nil"/>
              <w:left w:val="nil"/>
              <w:bottom w:val="single" w:sz="4" w:space="0" w:color="auto"/>
              <w:right w:val="single" w:sz="4" w:space="0" w:color="auto"/>
            </w:tcBorders>
            <w:shd w:val="clear" w:color="auto" w:fill="auto"/>
            <w:noWrap/>
            <w:vAlign w:val="center"/>
            <w:hideMark/>
          </w:tcPr>
          <w:p w14:paraId="443DE949" w14:textId="77777777" w:rsidR="00E403D6" w:rsidRPr="00F10391" w:rsidRDefault="00E403D6">
            <w:r w:rsidRPr="00F10391">
              <w:t>Risk monitoring</w:t>
            </w:r>
          </w:p>
        </w:tc>
        <w:tc>
          <w:tcPr>
            <w:tcW w:w="1134" w:type="dxa"/>
            <w:tcBorders>
              <w:top w:val="nil"/>
              <w:left w:val="nil"/>
              <w:bottom w:val="single" w:sz="4" w:space="0" w:color="auto"/>
              <w:right w:val="single" w:sz="4" w:space="0" w:color="auto"/>
            </w:tcBorders>
            <w:shd w:val="clear" w:color="auto" w:fill="auto"/>
            <w:noWrap/>
            <w:vAlign w:val="center"/>
            <w:hideMark/>
          </w:tcPr>
          <w:p w14:paraId="162B647F" w14:textId="77777777" w:rsidR="00E403D6" w:rsidRPr="00F10391" w:rsidRDefault="00E403D6">
            <w:r w:rsidRPr="00F10391">
              <w:t>Chagas disease</w:t>
            </w:r>
          </w:p>
        </w:tc>
        <w:tc>
          <w:tcPr>
            <w:tcW w:w="993" w:type="dxa"/>
            <w:tcBorders>
              <w:top w:val="nil"/>
              <w:left w:val="nil"/>
              <w:bottom w:val="single" w:sz="4" w:space="0" w:color="auto"/>
              <w:right w:val="single" w:sz="4" w:space="0" w:color="auto"/>
            </w:tcBorders>
            <w:shd w:val="clear" w:color="auto" w:fill="auto"/>
            <w:noWrap/>
            <w:vAlign w:val="center"/>
            <w:hideMark/>
          </w:tcPr>
          <w:p w14:paraId="19BB20D9" w14:textId="77777777" w:rsidR="00E403D6" w:rsidRPr="00F10391" w:rsidRDefault="00E403D6">
            <w:r w:rsidRPr="00F10391">
              <w:t>Promethee</w:t>
            </w:r>
          </w:p>
        </w:tc>
        <w:tc>
          <w:tcPr>
            <w:tcW w:w="1134" w:type="dxa"/>
            <w:tcBorders>
              <w:top w:val="nil"/>
              <w:left w:val="nil"/>
              <w:bottom w:val="single" w:sz="4" w:space="0" w:color="auto"/>
              <w:right w:val="single" w:sz="4" w:space="0" w:color="auto"/>
            </w:tcBorders>
            <w:shd w:val="clear" w:color="auto" w:fill="auto"/>
            <w:noWrap/>
            <w:vAlign w:val="center"/>
            <w:hideMark/>
          </w:tcPr>
          <w:p w14:paraId="3AE7EDF6" w14:textId="77777777" w:rsidR="00E403D6" w:rsidRPr="00F10391" w:rsidRDefault="00E403D6">
            <w:r w:rsidRPr="00F10391">
              <w:t>Brazil</w:t>
            </w:r>
          </w:p>
        </w:tc>
      </w:tr>
      <w:tr w:rsidR="00E403D6" w:rsidRPr="00F10391" w14:paraId="28B230F4" w14:textId="77777777" w:rsidTr="0063065F">
        <w:trPr>
          <w:trHeight w:val="300"/>
          <w:tblHeader/>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BFE404E" w14:textId="77777777" w:rsidR="00E403D6" w:rsidRPr="00F10391" w:rsidRDefault="00E403D6" w:rsidP="00494A9A">
            <w:r w:rsidRPr="00F10391">
              <w:t>Prioritising public health guidance topics in the National Institute for Health and Care Excellence using the Analytic Hierarchy Process.</w:t>
            </w:r>
          </w:p>
        </w:tc>
        <w:tc>
          <w:tcPr>
            <w:tcW w:w="1636" w:type="dxa"/>
            <w:tcBorders>
              <w:top w:val="nil"/>
              <w:left w:val="nil"/>
              <w:bottom w:val="single" w:sz="4" w:space="0" w:color="auto"/>
              <w:right w:val="single" w:sz="4" w:space="0" w:color="auto"/>
            </w:tcBorders>
            <w:shd w:val="clear" w:color="auto" w:fill="auto"/>
            <w:noWrap/>
            <w:vAlign w:val="center"/>
            <w:hideMark/>
          </w:tcPr>
          <w:p w14:paraId="53F5B7E4" w14:textId="77777777" w:rsidR="00E403D6" w:rsidRPr="00F10391" w:rsidRDefault="00E403D6" w:rsidP="00F51F18">
            <w:r w:rsidRPr="00F10391">
              <w:t>Reddy BP, Kelly MP, Thokala P, Walters SJ, Duenas A.</w:t>
            </w:r>
          </w:p>
        </w:tc>
        <w:tc>
          <w:tcPr>
            <w:tcW w:w="1246" w:type="dxa"/>
            <w:tcBorders>
              <w:top w:val="nil"/>
              <w:left w:val="nil"/>
              <w:bottom w:val="single" w:sz="4" w:space="0" w:color="auto"/>
              <w:right w:val="single" w:sz="4" w:space="0" w:color="auto"/>
            </w:tcBorders>
            <w:shd w:val="clear" w:color="auto" w:fill="auto"/>
            <w:noWrap/>
            <w:vAlign w:val="center"/>
            <w:hideMark/>
          </w:tcPr>
          <w:p w14:paraId="149C9194" w14:textId="77777777" w:rsidR="00E403D6" w:rsidRPr="00F10391" w:rsidRDefault="00E403D6">
            <w:r w:rsidRPr="00F10391">
              <w:t>Public Health. 2014</w:t>
            </w:r>
          </w:p>
        </w:tc>
        <w:tc>
          <w:tcPr>
            <w:tcW w:w="1260" w:type="dxa"/>
            <w:tcBorders>
              <w:top w:val="nil"/>
              <w:left w:val="nil"/>
              <w:bottom w:val="single" w:sz="4" w:space="0" w:color="auto"/>
              <w:right w:val="single" w:sz="4" w:space="0" w:color="auto"/>
            </w:tcBorders>
            <w:shd w:val="clear" w:color="auto" w:fill="auto"/>
            <w:noWrap/>
            <w:vAlign w:val="center"/>
            <w:hideMark/>
          </w:tcPr>
          <w:p w14:paraId="558995E2" w14:textId="77777777" w:rsidR="00E403D6" w:rsidRPr="00F10391" w:rsidRDefault="00E403D6">
            <w:r w:rsidRPr="00F10391">
              <w:t>Prioritisation</w:t>
            </w:r>
          </w:p>
        </w:tc>
        <w:tc>
          <w:tcPr>
            <w:tcW w:w="1134" w:type="dxa"/>
            <w:tcBorders>
              <w:top w:val="nil"/>
              <w:left w:val="nil"/>
              <w:bottom w:val="single" w:sz="4" w:space="0" w:color="auto"/>
              <w:right w:val="single" w:sz="4" w:space="0" w:color="auto"/>
            </w:tcBorders>
            <w:shd w:val="clear" w:color="auto" w:fill="auto"/>
            <w:noWrap/>
            <w:vAlign w:val="center"/>
            <w:hideMark/>
          </w:tcPr>
          <w:p w14:paraId="1A47E502" w14:textId="77777777" w:rsidR="00E403D6" w:rsidRPr="00F10391" w:rsidRDefault="00E403D6">
            <w:r w:rsidRPr="00F10391">
              <w:t>Choosing guidance topics</w:t>
            </w:r>
          </w:p>
        </w:tc>
        <w:tc>
          <w:tcPr>
            <w:tcW w:w="993" w:type="dxa"/>
            <w:tcBorders>
              <w:top w:val="nil"/>
              <w:left w:val="nil"/>
              <w:bottom w:val="single" w:sz="4" w:space="0" w:color="auto"/>
              <w:right w:val="single" w:sz="4" w:space="0" w:color="auto"/>
            </w:tcBorders>
            <w:shd w:val="clear" w:color="auto" w:fill="auto"/>
            <w:noWrap/>
            <w:vAlign w:val="center"/>
            <w:hideMark/>
          </w:tcPr>
          <w:p w14:paraId="53293266" w14:textId="77777777" w:rsidR="00E403D6" w:rsidRPr="00F10391" w:rsidRDefault="00E403D6">
            <w:r w:rsidRPr="00F10391">
              <w:t>AHP</w:t>
            </w:r>
          </w:p>
        </w:tc>
        <w:tc>
          <w:tcPr>
            <w:tcW w:w="1134" w:type="dxa"/>
            <w:tcBorders>
              <w:top w:val="nil"/>
              <w:left w:val="nil"/>
              <w:bottom w:val="single" w:sz="4" w:space="0" w:color="auto"/>
              <w:right w:val="single" w:sz="4" w:space="0" w:color="auto"/>
            </w:tcBorders>
            <w:shd w:val="clear" w:color="auto" w:fill="auto"/>
            <w:noWrap/>
            <w:vAlign w:val="center"/>
            <w:hideMark/>
          </w:tcPr>
          <w:p w14:paraId="6E7F677E" w14:textId="77777777" w:rsidR="00E403D6" w:rsidRPr="00F10391" w:rsidRDefault="00E403D6">
            <w:r w:rsidRPr="00F10391">
              <w:t>UK</w:t>
            </w:r>
          </w:p>
        </w:tc>
      </w:tr>
    </w:tbl>
    <w:p w14:paraId="570CD4EF" w14:textId="42269DAA" w:rsidR="00B56799" w:rsidRPr="00F10391" w:rsidRDefault="00B56799" w:rsidP="00494A9A"/>
    <w:sectPr w:rsidR="00B56799" w:rsidRPr="00F10391" w:rsidSect="00C333BF">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F2599" w14:textId="77777777" w:rsidR="00AD0712" w:rsidRDefault="00AD0712">
      <w:r>
        <w:separator/>
      </w:r>
    </w:p>
    <w:p w14:paraId="39A22B3C" w14:textId="77777777" w:rsidR="00AD0712" w:rsidRDefault="00AD0712"/>
    <w:p w14:paraId="1D616FAC" w14:textId="77777777" w:rsidR="00AD0712" w:rsidRDefault="00AD0712"/>
    <w:p w14:paraId="3E05C8EA" w14:textId="77777777" w:rsidR="00AD0712" w:rsidRDefault="00AD0712"/>
  </w:endnote>
  <w:endnote w:type="continuationSeparator" w:id="0">
    <w:p w14:paraId="4763C1ED" w14:textId="77777777" w:rsidR="00AD0712" w:rsidRDefault="00AD0712">
      <w:r>
        <w:continuationSeparator/>
      </w:r>
    </w:p>
    <w:p w14:paraId="59138187" w14:textId="77777777" w:rsidR="00AD0712" w:rsidRDefault="00AD0712"/>
    <w:p w14:paraId="5C5D0F7A" w14:textId="77777777" w:rsidR="00AD0712" w:rsidRDefault="00AD0712"/>
    <w:p w14:paraId="7927A9B0" w14:textId="77777777" w:rsidR="00AD0712" w:rsidRDefault="00AD0712"/>
  </w:endnote>
  <w:endnote w:type="continuationNotice" w:id="1">
    <w:p w14:paraId="4CFC451B" w14:textId="77777777" w:rsidR="00AD0712" w:rsidRDefault="00AD0712" w:rsidP="00630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rter Roman">
    <w:altName w:val="Cambria Math"/>
    <w:charset w:val="00"/>
    <w:family w:val="auto"/>
    <w:pitch w:val="variable"/>
    <w:sig w:usb0="00000001" w:usb1="1000204A" w:usb2="00000000" w:usb3="00000000" w:csb0="0000001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FA31" w14:textId="2EBEB4BD" w:rsidR="0063065F" w:rsidRDefault="0063065F" w:rsidP="00494A9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B4153">
      <w:rPr>
        <w:rStyle w:val="PageNumber"/>
        <w:noProof/>
      </w:rPr>
      <w:t>xiii</w:t>
    </w:r>
    <w:r>
      <w:rPr>
        <w:rStyle w:val="PageNumber"/>
      </w:rPr>
      <w:fldChar w:fldCharType="end"/>
    </w:r>
  </w:p>
  <w:p w14:paraId="7D9213AC" w14:textId="77777777" w:rsidR="0063065F" w:rsidRDefault="0063065F" w:rsidP="00494A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4B2BB" w14:textId="4E3D6456" w:rsidR="0063065F" w:rsidRDefault="0063065F" w:rsidP="00494A9A">
    <w:pPr>
      <w:pStyle w:val="Footer"/>
    </w:pPr>
    <w:r>
      <w:fldChar w:fldCharType="begin"/>
    </w:r>
    <w:r>
      <w:instrText xml:space="preserve"> PAGE   \* MERGEFORMAT </w:instrText>
    </w:r>
    <w:r>
      <w:fldChar w:fldCharType="separate"/>
    </w:r>
    <w:r w:rsidR="00E516A2">
      <w:rPr>
        <w:noProof/>
      </w:rPr>
      <w:t>203</w:t>
    </w:r>
    <w:r>
      <w:fldChar w:fldCharType="end"/>
    </w:r>
  </w:p>
  <w:p w14:paraId="5B1988CC" w14:textId="77777777" w:rsidR="0063065F" w:rsidRDefault="0063065F" w:rsidP="00490B5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F86C2" w14:textId="28D37D5D" w:rsidR="0063065F" w:rsidRDefault="0063065F" w:rsidP="00494A9A">
    <w:pPr>
      <w:pStyle w:val="Footer"/>
    </w:pPr>
    <w:r>
      <w:fldChar w:fldCharType="begin"/>
    </w:r>
    <w:r>
      <w:instrText xml:space="preserve"> PAGE   \* MERGEFORMAT </w:instrText>
    </w:r>
    <w:r>
      <w:fldChar w:fldCharType="separate"/>
    </w:r>
    <w:r w:rsidR="00E516A2">
      <w:rPr>
        <w:noProof/>
      </w:rPr>
      <w:t>224</w:t>
    </w:r>
    <w:r>
      <w:fldChar w:fldCharType="end"/>
    </w:r>
  </w:p>
  <w:p w14:paraId="3CA189D5" w14:textId="77777777" w:rsidR="0063065F" w:rsidRDefault="0063065F" w:rsidP="00494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659488"/>
      <w:docPartObj>
        <w:docPartGallery w:val="Page Numbers (Bottom of Page)"/>
        <w:docPartUnique/>
      </w:docPartObj>
    </w:sdtPr>
    <w:sdtEndPr>
      <w:rPr>
        <w:noProof/>
      </w:rPr>
    </w:sdtEndPr>
    <w:sdtContent>
      <w:p w14:paraId="5464E130" w14:textId="0F8DA6FA" w:rsidR="0063065F" w:rsidRDefault="0063065F" w:rsidP="00494A9A">
        <w:pPr>
          <w:pStyle w:val="Footer"/>
        </w:pPr>
        <w:r>
          <w:fldChar w:fldCharType="begin"/>
        </w:r>
        <w:r>
          <w:instrText xml:space="preserve"> PAGE   \* MERGEFORMAT </w:instrText>
        </w:r>
        <w:r>
          <w:fldChar w:fldCharType="separate"/>
        </w:r>
        <w:r w:rsidR="008B4153">
          <w:rPr>
            <w:noProof/>
          </w:rPr>
          <w:t>1</w:t>
        </w:r>
        <w:r>
          <w:rPr>
            <w:noProof/>
          </w:rPr>
          <w:fldChar w:fldCharType="end"/>
        </w:r>
      </w:p>
    </w:sdtContent>
  </w:sdt>
  <w:p w14:paraId="3D1FC2F5" w14:textId="77777777" w:rsidR="0063065F" w:rsidRDefault="0063065F" w:rsidP="00494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D963" w14:textId="77777777" w:rsidR="0063065F" w:rsidRDefault="0063065F">
    <w:pPr>
      <w:pStyle w:val="Footer"/>
      <w:rPr>
        <w:rStyle w:val="PageNumber"/>
        <w:rFonts w:ascii="Arial" w:hAnsi="Arial"/>
      </w:rPr>
    </w:pPr>
    <w:r>
      <w:rPr>
        <w:rStyle w:val="PageNumber"/>
      </w:rPr>
      <w:fldChar w:fldCharType="begin"/>
    </w:r>
    <w:r>
      <w:rPr>
        <w:rStyle w:val="PageNumber"/>
      </w:rPr>
      <w:instrText xml:space="preserve">PAGE  </w:instrText>
    </w:r>
    <w:r>
      <w:rPr>
        <w:rStyle w:val="PageNumber"/>
      </w:rPr>
      <w:fldChar w:fldCharType="end"/>
    </w:r>
  </w:p>
  <w:p w14:paraId="589E5E97" w14:textId="77777777" w:rsidR="0063065F" w:rsidRDefault="00630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1F460" w14:textId="41A164A3" w:rsidR="0063065F" w:rsidRDefault="0063065F" w:rsidP="00494A9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B4153">
      <w:rPr>
        <w:rStyle w:val="PageNumber"/>
        <w:noProof/>
      </w:rPr>
      <w:t>62</w:t>
    </w:r>
    <w:r>
      <w:rPr>
        <w:rStyle w:val="PageNumber"/>
      </w:rPr>
      <w:fldChar w:fldCharType="end"/>
    </w:r>
  </w:p>
  <w:p w14:paraId="74C8FC36" w14:textId="77777777" w:rsidR="0063065F" w:rsidRDefault="0063065F" w:rsidP="00494A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E582" w14:textId="604B8D01" w:rsidR="0063065F" w:rsidRDefault="0063065F" w:rsidP="00494A9A">
    <w:pPr>
      <w:pStyle w:val="Footer"/>
    </w:pPr>
    <w:r>
      <w:fldChar w:fldCharType="begin"/>
    </w:r>
    <w:r>
      <w:instrText xml:space="preserve"> PAGE   \* MERGEFORMAT </w:instrText>
    </w:r>
    <w:r>
      <w:fldChar w:fldCharType="separate"/>
    </w:r>
    <w:r w:rsidR="008B4153">
      <w:rPr>
        <w:noProof/>
      </w:rPr>
      <w:t>110</w:t>
    </w:r>
    <w:r>
      <w:rPr>
        <w:noProof/>
      </w:rPr>
      <w:fldChar w:fldCharType="end"/>
    </w:r>
  </w:p>
  <w:p w14:paraId="12E77177" w14:textId="77777777" w:rsidR="0063065F" w:rsidRDefault="0063065F" w:rsidP="00494A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628995"/>
      <w:docPartObj>
        <w:docPartGallery w:val="Page Numbers (Bottom of Page)"/>
        <w:docPartUnique/>
      </w:docPartObj>
    </w:sdtPr>
    <w:sdtEndPr>
      <w:rPr>
        <w:noProof/>
      </w:rPr>
    </w:sdtEndPr>
    <w:sdtContent>
      <w:p w14:paraId="01A29D4B" w14:textId="5FEEC13A" w:rsidR="0063065F" w:rsidRDefault="0063065F" w:rsidP="0063065F">
        <w:pPr>
          <w:pStyle w:val="Footer"/>
        </w:pPr>
        <w:r>
          <w:fldChar w:fldCharType="begin"/>
        </w:r>
        <w:r>
          <w:instrText xml:space="preserve"> PAGE   \* MERGEFORMAT </w:instrText>
        </w:r>
        <w:r>
          <w:fldChar w:fldCharType="separate"/>
        </w:r>
        <w:r w:rsidR="008B4153">
          <w:rPr>
            <w:noProof/>
          </w:rPr>
          <w:t>124</w:t>
        </w:r>
        <w:r>
          <w:rPr>
            <w:noProof/>
          </w:rPr>
          <w:fldChar w:fldCharType="end"/>
        </w:r>
      </w:p>
    </w:sdtContent>
  </w:sdt>
  <w:p w14:paraId="5678FA2C" w14:textId="77777777" w:rsidR="0063065F" w:rsidRDefault="0063065F" w:rsidP="00494A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989743"/>
      <w:docPartObj>
        <w:docPartGallery w:val="Page Numbers (Bottom of Page)"/>
        <w:docPartUnique/>
      </w:docPartObj>
    </w:sdtPr>
    <w:sdtEndPr>
      <w:rPr>
        <w:noProof/>
      </w:rPr>
    </w:sdtEndPr>
    <w:sdtContent>
      <w:p w14:paraId="0EDBBAF0" w14:textId="47BC1169" w:rsidR="0063065F" w:rsidRDefault="0063065F" w:rsidP="00494A9A">
        <w:pPr>
          <w:pStyle w:val="Footer"/>
        </w:pPr>
        <w:r>
          <w:fldChar w:fldCharType="begin"/>
        </w:r>
        <w:r>
          <w:instrText xml:space="preserve"> PAGE   \* MERGEFORMAT </w:instrText>
        </w:r>
        <w:r>
          <w:fldChar w:fldCharType="separate"/>
        </w:r>
        <w:r w:rsidR="00E516A2">
          <w:rPr>
            <w:noProof/>
          </w:rPr>
          <w:t>197</w:t>
        </w:r>
        <w:r>
          <w:rPr>
            <w:noProof/>
          </w:rPr>
          <w:fldChar w:fldCharType="end"/>
        </w:r>
      </w:p>
    </w:sdtContent>
  </w:sdt>
  <w:p w14:paraId="1E9F51A5" w14:textId="77777777" w:rsidR="0063065F" w:rsidRDefault="0063065F" w:rsidP="00494A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493214"/>
      <w:docPartObj>
        <w:docPartGallery w:val="Page Numbers (Bottom of Page)"/>
        <w:docPartUnique/>
      </w:docPartObj>
    </w:sdtPr>
    <w:sdtEndPr>
      <w:rPr>
        <w:noProof/>
      </w:rPr>
    </w:sdtEndPr>
    <w:sdtContent>
      <w:p w14:paraId="227E81BD" w14:textId="3F9E6F14" w:rsidR="0063065F" w:rsidRDefault="0063065F" w:rsidP="00494A9A">
        <w:pPr>
          <w:pStyle w:val="Footer"/>
        </w:pPr>
        <w:r>
          <w:fldChar w:fldCharType="begin"/>
        </w:r>
        <w:r>
          <w:instrText xml:space="preserve"> PAGE   \* MERGEFORMAT </w:instrText>
        </w:r>
        <w:r>
          <w:fldChar w:fldCharType="separate"/>
        </w:r>
        <w:r w:rsidR="00E516A2">
          <w:rPr>
            <w:noProof/>
          </w:rPr>
          <w:t>200</w:t>
        </w:r>
        <w:r>
          <w:rPr>
            <w:noProof/>
          </w:rPr>
          <w:fldChar w:fldCharType="end"/>
        </w:r>
      </w:p>
    </w:sdtContent>
  </w:sdt>
  <w:p w14:paraId="6A43F3B1" w14:textId="77777777" w:rsidR="0063065F" w:rsidRDefault="0063065F" w:rsidP="00494A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2431" w14:textId="3307FB8B" w:rsidR="0063065F" w:rsidRDefault="0063065F" w:rsidP="00494A9A">
    <w:pPr>
      <w:pStyle w:val="Footer"/>
    </w:pPr>
    <w:r>
      <w:fldChar w:fldCharType="begin"/>
    </w:r>
    <w:r>
      <w:instrText xml:space="preserve"> PAGE   \* MERGEFORMAT </w:instrText>
    </w:r>
    <w:r>
      <w:fldChar w:fldCharType="separate"/>
    </w:r>
    <w:r w:rsidR="00E516A2">
      <w:rPr>
        <w:noProof/>
      </w:rPr>
      <w:t>201</w:t>
    </w:r>
    <w:r>
      <w:fldChar w:fldCharType="end"/>
    </w:r>
  </w:p>
  <w:p w14:paraId="25AE4019" w14:textId="77777777" w:rsidR="0063065F" w:rsidRDefault="0063065F" w:rsidP="00490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0C94F" w14:textId="77777777" w:rsidR="00AD0712" w:rsidRDefault="00AD0712" w:rsidP="00494A9A">
      <w:r>
        <w:separator/>
      </w:r>
    </w:p>
    <w:p w14:paraId="56D7D5FB" w14:textId="77777777" w:rsidR="00AD0712" w:rsidRDefault="00AD0712" w:rsidP="00494A9A"/>
    <w:p w14:paraId="3138E8CF" w14:textId="77777777" w:rsidR="00AD0712" w:rsidRDefault="00AD0712" w:rsidP="00494A9A"/>
    <w:p w14:paraId="6F4812E1" w14:textId="77777777" w:rsidR="00AD0712" w:rsidRDefault="00AD0712" w:rsidP="00494A9A"/>
  </w:footnote>
  <w:footnote w:type="continuationSeparator" w:id="0">
    <w:p w14:paraId="6CC65136" w14:textId="77777777" w:rsidR="00AD0712" w:rsidRDefault="00AD0712" w:rsidP="00494A9A">
      <w:r>
        <w:continuationSeparator/>
      </w:r>
    </w:p>
    <w:p w14:paraId="0F266820" w14:textId="77777777" w:rsidR="00AD0712" w:rsidRDefault="00AD0712" w:rsidP="00494A9A"/>
    <w:p w14:paraId="4F754F7E" w14:textId="77777777" w:rsidR="00AD0712" w:rsidRDefault="00AD0712" w:rsidP="00494A9A"/>
    <w:p w14:paraId="627773A2" w14:textId="77777777" w:rsidR="00AD0712" w:rsidRDefault="00AD0712" w:rsidP="00494A9A"/>
  </w:footnote>
  <w:footnote w:type="continuationNotice" w:id="1">
    <w:p w14:paraId="46D505D1" w14:textId="77777777" w:rsidR="00AD0712" w:rsidRDefault="00AD0712" w:rsidP="0063065F"/>
  </w:footnote>
  <w:footnote w:id="2">
    <w:p w14:paraId="6D129A92" w14:textId="77777777" w:rsidR="0063065F" w:rsidRPr="00F52E81" w:rsidRDefault="0063065F" w:rsidP="00494A9A">
      <w:pPr>
        <w:pStyle w:val="FootnoteText"/>
        <w:rPr>
          <w:lang w:val="en-US"/>
        </w:rPr>
      </w:pPr>
      <w:r w:rsidRPr="00F52E81">
        <w:rPr>
          <w:rStyle w:val="FootnoteReference"/>
          <w:sz w:val="20"/>
          <w:szCs w:val="20"/>
        </w:rPr>
        <w:footnoteRef/>
      </w:r>
      <w:r w:rsidRPr="00F52E81">
        <w:t xml:space="preserve"> The project was under the banner of Fuse – a public health translational research centre incorporating 5 universities in North East England – entitled “Shifting the gravity of spending”. This study investigated how best to invest strategically in public health across local authority departments. It took place at a time of both financial stringency and as the local authorities prepared to take control of public health budgets, in light of the changes to provision introduced as part of the H</w:t>
      </w:r>
      <w:r>
        <w:t xml:space="preserve">ealth and Social Care Act. </w:t>
      </w:r>
      <w:r w:rsidRPr="00F52E81">
        <w:t>Papers are now being pu</w:t>
      </w:r>
      <w:r>
        <w:t>blished in light of this work, referenced above.</w:t>
      </w:r>
    </w:p>
  </w:footnote>
  <w:footnote w:id="3">
    <w:p w14:paraId="7DC0CCA5" w14:textId="77777777" w:rsidR="0063065F" w:rsidRPr="007A1244" w:rsidRDefault="0063065F" w:rsidP="00494A9A">
      <w:r w:rsidRPr="007A1244">
        <w:rPr>
          <w:rStyle w:val="FootnoteReference"/>
        </w:rPr>
        <w:footnoteRef/>
      </w:r>
      <w:r w:rsidRPr="007A1244">
        <w:t xml:space="preserve"> Thus, excluding generic approaches, the included public health topics covered since 2011 related to: Cardiovascular disease, Cervical cancer screening, Chagas disease, Choosing guidance topics, City design/walkability, Colorectal cancer screening, Comparison of national preferences, Contraceptive method, Diagnostic imaging, HIV/AIDS, Inclusion in universal health care basket, Lyme disease, Malaria, Measuring decision quality, Physiotherapy, Spatial modelling, Systems Change techniques, Vector borne disease.</w:t>
      </w:r>
    </w:p>
    <w:p w14:paraId="6877CEA6" w14:textId="77777777" w:rsidR="0063065F" w:rsidRPr="000B77B9" w:rsidRDefault="0063065F" w:rsidP="00494A9A">
      <w:pPr>
        <w:pStyle w:val="FootnoteText"/>
        <w:rPr>
          <w:lang w:val="en-US"/>
        </w:rPr>
      </w:pPr>
    </w:p>
  </w:footnote>
  <w:footnote w:id="4">
    <w:p w14:paraId="573FA81F" w14:textId="77777777" w:rsidR="0063065F" w:rsidRPr="005D3943" w:rsidRDefault="0063065F" w:rsidP="00494A9A">
      <w:pPr>
        <w:pStyle w:val="FootnoteText"/>
        <w:rPr>
          <w:lang w:val="en-US"/>
        </w:rPr>
      </w:pPr>
      <w:r w:rsidRPr="005D3943">
        <w:rPr>
          <w:rStyle w:val="FootnoteReference"/>
        </w:rPr>
        <w:footnoteRef/>
      </w:r>
      <w:r w:rsidRPr="005D3943">
        <w:t xml:space="preserve"> NICE was initially founded as the National Institute for Clinical Excellence. From 2005 it was renamed the National Institute for Health and Clinical Excellence, and from 2013 became the National Institute for Health and Care Excellence. Its acronym remained as ‘NICE’ over this time.</w:t>
      </w:r>
    </w:p>
  </w:footnote>
  <w:footnote w:id="5">
    <w:p w14:paraId="402183BB" w14:textId="77777777" w:rsidR="0063065F" w:rsidRPr="00816D4D" w:rsidRDefault="0063065F" w:rsidP="00494A9A">
      <w:pPr>
        <w:pStyle w:val="FootnoteText"/>
        <w:rPr>
          <w:lang w:val="en-US"/>
        </w:rPr>
      </w:pPr>
      <w:r w:rsidRPr="00307FE5">
        <w:rPr>
          <w:rStyle w:val="FootnoteReference"/>
        </w:rPr>
        <w:footnoteRef/>
      </w:r>
      <w:r w:rsidRPr="00307FE5">
        <w:t xml:space="preserve"> The</w:t>
      </w:r>
      <w:r w:rsidRPr="00816D4D">
        <w:t xml:space="preserve"> US rate was back-translated based upon the cost of dialysis per patient when this was federally mandated in the 1980’s, while Canada's seems to be transposed directly from that of the US. Australia derived results </w:t>
      </w:r>
      <w:r>
        <w:t xml:space="preserve">on the basis of </w:t>
      </w:r>
      <w:r w:rsidRPr="00816D4D">
        <w:t>previous decisions. Ireland’s threshold more than doubled after a confidential agreement with the pharmaceutical industry, arranged at the height of the financial crisis.</w:t>
      </w:r>
    </w:p>
  </w:footnote>
  <w:footnote w:id="6">
    <w:p w14:paraId="60C767EF" w14:textId="77777777" w:rsidR="0063065F" w:rsidRPr="00F40B78" w:rsidRDefault="0063065F" w:rsidP="00494A9A">
      <w:pPr>
        <w:pStyle w:val="FootnoteText"/>
        <w:rPr>
          <w:lang w:val="en-US"/>
        </w:rPr>
      </w:pPr>
      <w:r w:rsidRPr="00307FE5">
        <w:rPr>
          <w:rStyle w:val="FootnoteReference"/>
        </w:rPr>
        <w:footnoteRef/>
      </w:r>
      <w:r w:rsidRPr="00307FE5">
        <w:t xml:space="preserve"> Screening decisions</w:t>
      </w:r>
      <w:r w:rsidRPr="003155AA">
        <w:t xml:space="preserve"> are not in fact appraised by NICE, but by the National Screening Committee</w:t>
      </w:r>
    </w:p>
  </w:footnote>
  <w:footnote w:id="7">
    <w:p w14:paraId="5CEB3535" w14:textId="77777777" w:rsidR="0063065F" w:rsidRPr="005F6991" w:rsidRDefault="0063065F" w:rsidP="00494A9A">
      <w:r w:rsidRPr="005F6991">
        <w:rPr>
          <w:rStyle w:val="FootnoteReference"/>
          <w:sz w:val="18"/>
          <w:szCs w:val="18"/>
        </w:rPr>
        <w:footnoteRef/>
      </w:r>
      <w:r w:rsidRPr="005F6991">
        <w:t xml:space="preserve"> Five clusters of themes initially emerged:</w:t>
      </w:r>
    </w:p>
    <w:p w14:paraId="466515FC" w14:textId="77777777" w:rsidR="0063065F" w:rsidRPr="005F6991" w:rsidRDefault="0063065F" w:rsidP="00494A9A">
      <w:pPr>
        <w:pStyle w:val="ListParagraph"/>
        <w:numPr>
          <w:ilvl w:val="0"/>
          <w:numId w:val="3"/>
        </w:numPr>
      </w:pPr>
      <w:r w:rsidRPr="005F6991">
        <w:t>Number of people (population) affected; Burden of disease [two participants]; Significant burden of disease; Topic will improve the health of individuals significantly</w:t>
      </w:r>
      <w:r>
        <w:t>.</w:t>
      </w:r>
    </w:p>
    <w:p w14:paraId="2F093552" w14:textId="77777777" w:rsidR="0063065F" w:rsidRPr="005F6991" w:rsidRDefault="0063065F" w:rsidP="00494A9A">
      <w:pPr>
        <w:pStyle w:val="ListParagraph"/>
        <w:numPr>
          <w:ilvl w:val="0"/>
          <w:numId w:val="3"/>
        </w:numPr>
      </w:pPr>
      <w:r w:rsidRPr="005F6991">
        <w:t>Is there harmful practice that needs to be challenged by presenting the evidence in a NICE guideline?; Equity; Potential to impact on inequalities in health; Topic will help reduce postcode lottery; What is the need in terms of reducing health inequalities?; Equity of access to information and services; Does it affect rural or urban areas?; Access; Screening in primary care; Implementable- equitably, affordably, practically</w:t>
      </w:r>
      <w:r>
        <w:t>.</w:t>
      </w:r>
    </w:p>
    <w:p w14:paraId="0F4F5D4A" w14:textId="77777777" w:rsidR="0063065F" w:rsidRPr="005F6991" w:rsidRDefault="0063065F" w:rsidP="00494A9A">
      <w:pPr>
        <w:pStyle w:val="ListParagraph"/>
        <w:numPr>
          <w:ilvl w:val="0"/>
          <w:numId w:val="3"/>
        </w:numPr>
      </w:pPr>
      <w:r w:rsidRPr="005F6991">
        <w:t>Information gathering of intelligence; Topic will tackle an increasing health issue; Minimum of adverse side effects or potential for unwanted consequences; Significant evidence for missed opportunities for effective interventions; Evidence of population based health improvement; The need for evidence to improve practice (is it likely to have a positive impact)</w:t>
      </w:r>
      <w:r>
        <w:t>.</w:t>
      </w:r>
    </w:p>
    <w:p w14:paraId="72BA92D5" w14:textId="77777777" w:rsidR="0063065F" w:rsidRPr="005F6991" w:rsidRDefault="0063065F" w:rsidP="00494A9A">
      <w:pPr>
        <w:pStyle w:val="ListParagraph"/>
        <w:numPr>
          <w:ilvl w:val="0"/>
          <w:numId w:val="3"/>
        </w:numPr>
      </w:pPr>
      <w:r w:rsidRPr="005F6991">
        <w:t>Cost-effectiveness [two participants]</w:t>
      </w:r>
      <w:r>
        <w:t>.</w:t>
      </w:r>
    </w:p>
    <w:p w14:paraId="7A9FE2FF" w14:textId="77777777" w:rsidR="0063065F" w:rsidRPr="00EE3E82" w:rsidRDefault="0063065F" w:rsidP="00494A9A">
      <w:pPr>
        <w:pStyle w:val="ListParagraph"/>
        <w:numPr>
          <w:ilvl w:val="0"/>
          <w:numId w:val="3"/>
        </w:numPr>
      </w:pPr>
      <w:r w:rsidRPr="005F6991">
        <w:t>Policy</w:t>
      </w:r>
      <w:r>
        <w:t>.</w:t>
      </w:r>
    </w:p>
  </w:footnote>
  <w:footnote w:id="8">
    <w:p w14:paraId="62D446F2" w14:textId="77777777" w:rsidR="0063065F" w:rsidRPr="006265E4" w:rsidRDefault="0063065F" w:rsidP="00494A9A">
      <w:pPr>
        <w:pStyle w:val="FootnoteText"/>
        <w:rPr>
          <w:lang w:val="en-US"/>
        </w:rPr>
      </w:pPr>
      <w:r w:rsidRPr="00E57C61">
        <w:rPr>
          <w:rStyle w:val="FootnoteReference"/>
          <w:sz w:val="22"/>
          <w:szCs w:val="22"/>
        </w:rPr>
        <w:footnoteRef/>
      </w:r>
      <w:r w:rsidRPr="00E57C61">
        <w:t xml:space="preserve"> The only such</w:t>
      </w:r>
      <w:r w:rsidRPr="006265E4">
        <w:t xml:space="preserve"> theme not represented was </w:t>
      </w:r>
      <w:r w:rsidRPr="006265E4">
        <w:rPr>
          <w:i/>
        </w:rPr>
        <w:t xml:space="preserve">reducing tobacco advertising and promotion, </w:t>
      </w:r>
      <w:r w:rsidRPr="006265E4">
        <w:rPr>
          <w:iCs/>
        </w:rPr>
        <w:t>which</w:t>
      </w:r>
      <w:r w:rsidRPr="006265E4">
        <w:t xml:space="preserve"> was felt to be outside the scope of local government control.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E46"/>
    <w:multiLevelType w:val="hybridMultilevel"/>
    <w:tmpl w:val="83E431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18628AD"/>
    <w:multiLevelType w:val="hybridMultilevel"/>
    <w:tmpl w:val="5E82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8364B6"/>
    <w:multiLevelType w:val="hybridMultilevel"/>
    <w:tmpl w:val="B5A64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52509"/>
    <w:multiLevelType w:val="hybridMultilevel"/>
    <w:tmpl w:val="ECDA2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4130C7A"/>
    <w:multiLevelType w:val="hybridMultilevel"/>
    <w:tmpl w:val="AB1852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72A0E70"/>
    <w:multiLevelType w:val="hybridMultilevel"/>
    <w:tmpl w:val="3E521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736423E"/>
    <w:multiLevelType w:val="hybridMultilevel"/>
    <w:tmpl w:val="BC7204D4"/>
    <w:lvl w:ilvl="0" w:tplc="AE6276DA">
      <w:start w:val="1"/>
      <w:numFmt w:val="decimal"/>
      <w:lvlText w:val="%1."/>
      <w:lvlJc w:val="left"/>
      <w:pPr>
        <w:ind w:left="720" w:hanging="360"/>
      </w:pPr>
      <w:rPr>
        <w:rFonts w:ascii="Arial" w:eastAsia="SimSu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852864"/>
    <w:multiLevelType w:val="hybridMultilevel"/>
    <w:tmpl w:val="249CE1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0CBC3DAB"/>
    <w:multiLevelType w:val="hybridMultilevel"/>
    <w:tmpl w:val="2BF837F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0565BCA"/>
    <w:multiLevelType w:val="hybridMultilevel"/>
    <w:tmpl w:val="56463D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11F16CA4"/>
    <w:multiLevelType w:val="hybridMultilevel"/>
    <w:tmpl w:val="2CC4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B0697"/>
    <w:multiLevelType w:val="hybridMultilevel"/>
    <w:tmpl w:val="1B8AD1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6277C41"/>
    <w:multiLevelType w:val="hybridMultilevel"/>
    <w:tmpl w:val="5D04C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B31512"/>
    <w:multiLevelType w:val="hybridMultilevel"/>
    <w:tmpl w:val="0D00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97498"/>
    <w:multiLevelType w:val="multilevel"/>
    <w:tmpl w:val="F9C805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BBA7501"/>
    <w:multiLevelType w:val="hybridMultilevel"/>
    <w:tmpl w:val="E688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F76A6"/>
    <w:multiLevelType w:val="hybridMultilevel"/>
    <w:tmpl w:val="FCA611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E9203A4"/>
    <w:multiLevelType w:val="hybridMultilevel"/>
    <w:tmpl w:val="8FEE08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ED752AB"/>
    <w:multiLevelType w:val="hybridMultilevel"/>
    <w:tmpl w:val="7990F9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1131457"/>
    <w:multiLevelType w:val="hybridMultilevel"/>
    <w:tmpl w:val="2940F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9D36C9"/>
    <w:multiLevelType w:val="hybridMultilevel"/>
    <w:tmpl w:val="15D298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5E87D56"/>
    <w:multiLevelType w:val="hybridMultilevel"/>
    <w:tmpl w:val="5F7A2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B81D26"/>
    <w:multiLevelType w:val="hybridMultilevel"/>
    <w:tmpl w:val="FD3EE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114D3"/>
    <w:multiLevelType w:val="hybridMultilevel"/>
    <w:tmpl w:val="FD2E7F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6240A4"/>
    <w:multiLevelType w:val="hybridMultilevel"/>
    <w:tmpl w:val="2050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87A6F"/>
    <w:multiLevelType w:val="hybridMultilevel"/>
    <w:tmpl w:val="6D003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C890D75"/>
    <w:multiLevelType w:val="hybridMultilevel"/>
    <w:tmpl w:val="FAA2A7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D1D508B"/>
    <w:multiLevelType w:val="hybridMultilevel"/>
    <w:tmpl w:val="3D2AE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885CF7"/>
    <w:multiLevelType w:val="hybridMultilevel"/>
    <w:tmpl w:val="86EC839E"/>
    <w:lvl w:ilvl="0" w:tplc="D5DC0618">
      <w:start w:val="1"/>
      <w:numFmt w:val="bullet"/>
      <w:lvlText w:val="•"/>
      <w:lvlJc w:val="left"/>
      <w:pPr>
        <w:tabs>
          <w:tab w:val="num" w:pos="720"/>
        </w:tabs>
        <w:ind w:left="720" w:hanging="360"/>
      </w:pPr>
      <w:rPr>
        <w:rFonts w:ascii="Times New Roman" w:hAnsi="Times New Roman" w:hint="default"/>
      </w:rPr>
    </w:lvl>
    <w:lvl w:ilvl="1" w:tplc="07F458E8" w:tentative="1">
      <w:start w:val="1"/>
      <w:numFmt w:val="bullet"/>
      <w:lvlText w:val="•"/>
      <w:lvlJc w:val="left"/>
      <w:pPr>
        <w:tabs>
          <w:tab w:val="num" w:pos="1440"/>
        </w:tabs>
        <w:ind w:left="1440" w:hanging="360"/>
      </w:pPr>
      <w:rPr>
        <w:rFonts w:ascii="Times New Roman" w:hAnsi="Times New Roman" w:hint="default"/>
      </w:rPr>
    </w:lvl>
    <w:lvl w:ilvl="2" w:tplc="11B6C6C4" w:tentative="1">
      <w:start w:val="1"/>
      <w:numFmt w:val="bullet"/>
      <w:lvlText w:val="•"/>
      <w:lvlJc w:val="left"/>
      <w:pPr>
        <w:tabs>
          <w:tab w:val="num" w:pos="2160"/>
        </w:tabs>
        <w:ind w:left="2160" w:hanging="360"/>
      </w:pPr>
      <w:rPr>
        <w:rFonts w:ascii="Times New Roman" w:hAnsi="Times New Roman" w:hint="default"/>
      </w:rPr>
    </w:lvl>
    <w:lvl w:ilvl="3" w:tplc="E116C386" w:tentative="1">
      <w:start w:val="1"/>
      <w:numFmt w:val="bullet"/>
      <w:lvlText w:val="•"/>
      <w:lvlJc w:val="left"/>
      <w:pPr>
        <w:tabs>
          <w:tab w:val="num" w:pos="2880"/>
        </w:tabs>
        <w:ind w:left="2880" w:hanging="360"/>
      </w:pPr>
      <w:rPr>
        <w:rFonts w:ascii="Times New Roman" w:hAnsi="Times New Roman" w:hint="default"/>
      </w:rPr>
    </w:lvl>
    <w:lvl w:ilvl="4" w:tplc="9C6A1B8A" w:tentative="1">
      <w:start w:val="1"/>
      <w:numFmt w:val="bullet"/>
      <w:lvlText w:val="•"/>
      <w:lvlJc w:val="left"/>
      <w:pPr>
        <w:tabs>
          <w:tab w:val="num" w:pos="3600"/>
        </w:tabs>
        <w:ind w:left="3600" w:hanging="360"/>
      </w:pPr>
      <w:rPr>
        <w:rFonts w:ascii="Times New Roman" w:hAnsi="Times New Roman" w:hint="default"/>
      </w:rPr>
    </w:lvl>
    <w:lvl w:ilvl="5" w:tplc="C3400288" w:tentative="1">
      <w:start w:val="1"/>
      <w:numFmt w:val="bullet"/>
      <w:lvlText w:val="•"/>
      <w:lvlJc w:val="left"/>
      <w:pPr>
        <w:tabs>
          <w:tab w:val="num" w:pos="4320"/>
        </w:tabs>
        <w:ind w:left="4320" w:hanging="360"/>
      </w:pPr>
      <w:rPr>
        <w:rFonts w:ascii="Times New Roman" w:hAnsi="Times New Roman" w:hint="default"/>
      </w:rPr>
    </w:lvl>
    <w:lvl w:ilvl="6" w:tplc="7452E3A6" w:tentative="1">
      <w:start w:val="1"/>
      <w:numFmt w:val="bullet"/>
      <w:lvlText w:val="•"/>
      <w:lvlJc w:val="left"/>
      <w:pPr>
        <w:tabs>
          <w:tab w:val="num" w:pos="5040"/>
        </w:tabs>
        <w:ind w:left="5040" w:hanging="360"/>
      </w:pPr>
      <w:rPr>
        <w:rFonts w:ascii="Times New Roman" w:hAnsi="Times New Roman" w:hint="default"/>
      </w:rPr>
    </w:lvl>
    <w:lvl w:ilvl="7" w:tplc="E51E5622" w:tentative="1">
      <w:start w:val="1"/>
      <w:numFmt w:val="bullet"/>
      <w:lvlText w:val="•"/>
      <w:lvlJc w:val="left"/>
      <w:pPr>
        <w:tabs>
          <w:tab w:val="num" w:pos="5760"/>
        </w:tabs>
        <w:ind w:left="5760" w:hanging="360"/>
      </w:pPr>
      <w:rPr>
        <w:rFonts w:ascii="Times New Roman" w:hAnsi="Times New Roman" w:hint="default"/>
      </w:rPr>
    </w:lvl>
    <w:lvl w:ilvl="8" w:tplc="D6981A0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7AA1399"/>
    <w:multiLevelType w:val="multilevel"/>
    <w:tmpl w:val="D22A3AE6"/>
    <w:lvl w:ilvl="0">
      <w:start w:val="1"/>
      <w:numFmt w:val="decimal"/>
      <w:pStyle w:val="Heading1"/>
      <w:suff w:val="space"/>
      <w:lvlText w:val="Chapter %1"/>
      <w:lvlJc w:val="left"/>
      <w:pPr>
        <w:ind w:left="709" w:firstLine="0"/>
      </w:pPr>
      <w:rPr>
        <w:rFonts w:hint="default"/>
        <w:i/>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0" w15:restartNumberingAfterBreak="0">
    <w:nsid w:val="486208FB"/>
    <w:multiLevelType w:val="hybridMultilevel"/>
    <w:tmpl w:val="7F80C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9B62116"/>
    <w:multiLevelType w:val="hybridMultilevel"/>
    <w:tmpl w:val="F3B8A5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A474537"/>
    <w:multiLevelType w:val="hybridMultilevel"/>
    <w:tmpl w:val="40404B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BB63B69"/>
    <w:multiLevelType w:val="hybridMultilevel"/>
    <w:tmpl w:val="15E43C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D667B78"/>
    <w:multiLevelType w:val="hybridMultilevel"/>
    <w:tmpl w:val="16E22A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DD5235D"/>
    <w:multiLevelType w:val="hybridMultilevel"/>
    <w:tmpl w:val="9DB6FF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EDD2DDE"/>
    <w:multiLevelType w:val="hybridMultilevel"/>
    <w:tmpl w:val="B31C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03666A4"/>
    <w:multiLevelType w:val="hybridMultilevel"/>
    <w:tmpl w:val="FC6C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E7027C"/>
    <w:multiLevelType w:val="hybridMultilevel"/>
    <w:tmpl w:val="079AE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1E51478"/>
    <w:multiLevelType w:val="hybridMultilevel"/>
    <w:tmpl w:val="037630C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E85E99"/>
    <w:multiLevelType w:val="hybridMultilevel"/>
    <w:tmpl w:val="D9C4C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2EA21BF"/>
    <w:multiLevelType w:val="hybridMultilevel"/>
    <w:tmpl w:val="9090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F7753F"/>
    <w:multiLevelType w:val="hybridMultilevel"/>
    <w:tmpl w:val="8A54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CE48FE"/>
    <w:multiLevelType w:val="hybridMultilevel"/>
    <w:tmpl w:val="0152EF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8A85EA7"/>
    <w:multiLevelType w:val="hybridMultilevel"/>
    <w:tmpl w:val="8B7454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C93D14"/>
    <w:multiLevelType w:val="hybridMultilevel"/>
    <w:tmpl w:val="4A20F9FA"/>
    <w:lvl w:ilvl="0" w:tplc="AA9A8AE4">
      <w:start w:val="1"/>
      <w:numFmt w:val="decimal"/>
      <w:pStyle w:val="Paragraph"/>
      <w:lvlText w:val="%1."/>
      <w:lvlJc w:val="left"/>
      <w:pPr>
        <w:ind w:left="1211" w:hanging="851"/>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A9A07EF"/>
    <w:multiLevelType w:val="hybridMultilevel"/>
    <w:tmpl w:val="390263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B7F6B75"/>
    <w:multiLevelType w:val="hybridMultilevel"/>
    <w:tmpl w:val="DBD2A4B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BED518A"/>
    <w:multiLevelType w:val="hybridMultilevel"/>
    <w:tmpl w:val="DE0625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5FA911DE"/>
    <w:multiLevelType w:val="hybridMultilevel"/>
    <w:tmpl w:val="55701968"/>
    <w:lvl w:ilvl="0" w:tplc="07E4F4CE">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7F17D7"/>
    <w:multiLevelType w:val="hybridMultilevel"/>
    <w:tmpl w:val="73F0639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4707022"/>
    <w:multiLevelType w:val="hybridMultilevel"/>
    <w:tmpl w:val="34C8480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893184A"/>
    <w:multiLevelType w:val="hybridMultilevel"/>
    <w:tmpl w:val="1264C6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8A0229B"/>
    <w:multiLevelType w:val="hybridMultilevel"/>
    <w:tmpl w:val="9E04A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9630FB"/>
    <w:multiLevelType w:val="hybridMultilevel"/>
    <w:tmpl w:val="721AC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F1550ED"/>
    <w:multiLevelType w:val="hybridMultilevel"/>
    <w:tmpl w:val="AF54D5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1E813E0"/>
    <w:multiLevelType w:val="hybridMultilevel"/>
    <w:tmpl w:val="583665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3292E6F"/>
    <w:multiLevelType w:val="hybridMultilevel"/>
    <w:tmpl w:val="30F0C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38A4B7A"/>
    <w:multiLevelType w:val="hybridMultilevel"/>
    <w:tmpl w:val="8AA44E1C"/>
    <w:lvl w:ilvl="0" w:tplc="07E4F4CE">
      <w:start w:val="1"/>
      <w:numFmt w:val="bullet"/>
      <w:lvlText w:val=""/>
      <w:lvlJc w:val="left"/>
      <w:pPr>
        <w:tabs>
          <w:tab w:val="num" w:pos="357"/>
        </w:tabs>
        <w:ind w:left="357" w:hanging="35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3F54615"/>
    <w:multiLevelType w:val="hybridMultilevel"/>
    <w:tmpl w:val="B9E8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2C739F"/>
    <w:multiLevelType w:val="hybridMultilevel"/>
    <w:tmpl w:val="E21AA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A9C72CE"/>
    <w:multiLevelType w:val="hybridMultilevel"/>
    <w:tmpl w:val="239C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6"/>
  </w:num>
  <w:num w:numId="3">
    <w:abstractNumId w:val="17"/>
  </w:num>
  <w:num w:numId="4">
    <w:abstractNumId w:val="14"/>
  </w:num>
  <w:num w:numId="5">
    <w:abstractNumId w:val="29"/>
  </w:num>
  <w:num w:numId="6">
    <w:abstractNumId w:val="15"/>
  </w:num>
  <w:num w:numId="7">
    <w:abstractNumId w:val="36"/>
  </w:num>
  <w:num w:numId="8">
    <w:abstractNumId w:val="13"/>
  </w:num>
  <w:num w:numId="9">
    <w:abstractNumId w:val="22"/>
  </w:num>
  <w:num w:numId="10">
    <w:abstractNumId w:val="21"/>
  </w:num>
  <w:num w:numId="11">
    <w:abstractNumId w:val="60"/>
  </w:num>
  <w:num w:numId="12">
    <w:abstractNumId w:val="53"/>
  </w:num>
  <w:num w:numId="13">
    <w:abstractNumId w:val="59"/>
  </w:num>
  <w:num w:numId="14">
    <w:abstractNumId w:val="38"/>
  </w:num>
  <w:num w:numId="15">
    <w:abstractNumId w:val="41"/>
  </w:num>
  <w:num w:numId="16">
    <w:abstractNumId w:val="1"/>
  </w:num>
  <w:num w:numId="17">
    <w:abstractNumId w:val="54"/>
  </w:num>
  <w:num w:numId="18">
    <w:abstractNumId w:val="42"/>
  </w:num>
  <w:num w:numId="19">
    <w:abstractNumId w:val="10"/>
  </w:num>
  <w:num w:numId="20">
    <w:abstractNumId w:val="37"/>
  </w:num>
  <w:num w:numId="21">
    <w:abstractNumId w:val="2"/>
  </w:num>
  <w:num w:numId="22">
    <w:abstractNumId w:val="19"/>
  </w:num>
  <w:num w:numId="23">
    <w:abstractNumId w:val="61"/>
  </w:num>
  <w:num w:numId="24">
    <w:abstractNumId w:val="12"/>
  </w:num>
  <w:num w:numId="25">
    <w:abstractNumId w:val="20"/>
  </w:num>
  <w:num w:numId="26">
    <w:abstractNumId w:val="51"/>
  </w:num>
  <w:num w:numId="27">
    <w:abstractNumId w:val="35"/>
  </w:num>
  <w:num w:numId="28">
    <w:abstractNumId w:val="34"/>
  </w:num>
  <w:num w:numId="29">
    <w:abstractNumId w:val="4"/>
  </w:num>
  <w:num w:numId="30">
    <w:abstractNumId w:val="32"/>
  </w:num>
  <w:num w:numId="31">
    <w:abstractNumId w:val="57"/>
  </w:num>
  <w:num w:numId="32">
    <w:abstractNumId w:val="33"/>
  </w:num>
  <w:num w:numId="33">
    <w:abstractNumId w:val="39"/>
  </w:num>
  <w:num w:numId="34">
    <w:abstractNumId w:val="8"/>
  </w:num>
  <w:num w:numId="35">
    <w:abstractNumId w:val="11"/>
  </w:num>
  <w:num w:numId="36">
    <w:abstractNumId w:val="4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55"/>
  </w:num>
  <w:num w:numId="41">
    <w:abstractNumId w:val="30"/>
  </w:num>
  <w:num w:numId="42">
    <w:abstractNumId w:val="18"/>
  </w:num>
  <w:num w:numId="43">
    <w:abstractNumId w:val="5"/>
  </w:num>
  <w:num w:numId="44">
    <w:abstractNumId w:val="46"/>
  </w:num>
  <w:num w:numId="45">
    <w:abstractNumId w:val="40"/>
  </w:num>
  <w:num w:numId="46">
    <w:abstractNumId w:val="50"/>
  </w:num>
  <w:num w:numId="47">
    <w:abstractNumId w:val="16"/>
  </w:num>
  <w:num w:numId="48">
    <w:abstractNumId w:val="31"/>
  </w:num>
  <w:num w:numId="49">
    <w:abstractNumId w:val="9"/>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7"/>
  </w:num>
  <w:num w:numId="53">
    <w:abstractNumId w:val="3"/>
  </w:num>
  <w:num w:numId="54">
    <w:abstractNumId w:val="24"/>
  </w:num>
  <w:num w:numId="55">
    <w:abstractNumId w:val="28"/>
  </w:num>
  <w:num w:numId="56">
    <w:abstractNumId w:val="25"/>
  </w:num>
  <w:num w:numId="57">
    <w:abstractNumId w:val="56"/>
  </w:num>
  <w:num w:numId="58">
    <w:abstractNumId w:val="26"/>
  </w:num>
  <w:num w:numId="59">
    <w:abstractNumId w:val="52"/>
  </w:num>
  <w:num w:numId="60">
    <w:abstractNumId w:val="47"/>
  </w:num>
  <w:num w:numId="61">
    <w:abstractNumId w:val="44"/>
  </w:num>
  <w:num w:numId="62">
    <w:abstractNumId w:val="49"/>
  </w:num>
  <w:num w:numId="63">
    <w:abstractNumId w:val="58"/>
  </w:num>
  <w:num w:numId="64">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IE" w:vendorID="64" w:dllVersion="0" w:nlCheck="1" w:checkStyle="0"/>
  <w:activeWritingStyle w:appName="MSWord" w:lang="fr-FR" w:vendorID="64" w:dllVersion="0" w:nlCheck="1" w:checkStyle="0"/>
  <w:activeWritingStyle w:appName="MSWord" w:lang="en-GB" w:vendorID="64" w:dllVersion="131078" w:nlCheck="1" w:checkStyle="0"/>
  <w:activeWritingStyle w:appName="MSWord" w:lang="en-IE" w:vendorID="64" w:dllVersion="131078" w:nlCheck="1" w:checkStyle="0"/>
  <w:activeWritingStyle w:appName="MSWord" w:lang="fr-FR" w:vendorID="64" w:dllVersion="131078" w:nlCheck="1" w:checkStyle="0"/>
  <w:defaultTabStop w:val="720"/>
  <w:characterSpacingControl w:val="doNotCompress"/>
  <w:hdrShapeDefaults>
    <o:shapedefaults v:ext="edit" spidmax="2049"/>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9092dv2s5fpze9wpgx0zxgv5ar00aezrvf&quot;&gt;Thesis 1 (1)&lt;record-ids&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20&lt;/item&gt;&lt;item&gt;21&lt;/item&gt;&lt;item&gt;22&lt;/item&gt;&lt;item&gt;24&lt;/item&gt;&lt;item&gt;25&lt;/item&gt;&lt;item&gt;26&lt;/item&gt;&lt;item&gt;27&lt;/item&gt;&lt;item&gt;30&lt;/item&gt;&lt;item&gt;31&lt;/item&gt;&lt;item&gt;32&lt;/item&gt;&lt;item&gt;33&lt;/item&gt;&lt;item&gt;34&lt;/item&gt;&lt;item&gt;35&lt;/item&gt;&lt;item&gt;36&lt;/item&gt;&lt;item&gt;37&lt;/item&gt;&lt;item&gt;38&lt;/item&gt;&lt;item&gt;39&lt;/item&gt;&lt;item&gt;40&lt;/item&gt;&lt;item&gt;41&lt;/item&gt;&lt;item&gt;44&lt;/item&gt;&lt;item&gt;45&lt;/item&gt;&lt;item&gt;46&lt;/item&gt;&lt;item&gt;48&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9&lt;/item&gt;&lt;item&gt;90&lt;/item&gt;&lt;item&gt;91&lt;/item&gt;&lt;item&gt;92&lt;/item&gt;&lt;item&gt;93&lt;/item&gt;&lt;item&gt;94&lt;/item&gt;&lt;item&gt;95&lt;/item&gt;&lt;item&gt;97&lt;/item&gt;&lt;item&gt;98&lt;/item&gt;&lt;item&gt;100&lt;/item&gt;&lt;item&gt;101&lt;/item&gt;&lt;item&gt;102&lt;/item&gt;&lt;item&gt;104&lt;/item&gt;&lt;item&gt;105&lt;/item&gt;&lt;item&gt;106&lt;/item&gt;&lt;item&gt;107&lt;/item&gt;&lt;item&gt;109&lt;/item&gt;&lt;item&gt;110&lt;/item&gt;&lt;item&gt;111&lt;/item&gt;&lt;item&gt;112&lt;/item&gt;&lt;item&gt;113&lt;/item&gt;&lt;item&gt;114&lt;/item&gt;&lt;item&gt;115&lt;/item&gt;&lt;item&gt;116&lt;/item&gt;&lt;item&gt;117&lt;/item&gt;&lt;item&gt;118&lt;/item&gt;&lt;item&gt;119&lt;/item&gt;&lt;item&gt;120&lt;/item&gt;&lt;item&gt;121&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7&lt;/item&gt;&lt;item&gt;148&lt;/item&gt;&lt;item&gt;149&lt;/item&gt;&lt;item&gt;151&lt;/item&gt;&lt;item&gt;152&lt;/item&gt;&lt;item&gt;153&lt;/item&gt;&lt;item&gt;154&lt;/item&gt;&lt;item&gt;155&lt;/item&gt;&lt;item&gt;156&lt;/item&gt;&lt;item&gt;157&lt;/item&gt;&lt;item&gt;158&lt;/item&gt;&lt;item&gt;159&lt;/item&gt;&lt;item&gt;162&lt;/item&gt;&lt;item&gt;163&lt;/item&gt;&lt;item&gt;164&lt;/item&gt;&lt;item&gt;165&lt;/item&gt;&lt;item&gt;166&lt;/item&gt;&lt;item&gt;167&lt;/item&gt;&lt;item&gt;168&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3&lt;/item&gt;&lt;item&gt;194&lt;/item&gt;&lt;item&gt;195&lt;/item&gt;&lt;item&gt;197&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9&lt;/item&gt;&lt;item&gt;260&lt;/item&gt;&lt;item&gt;261&lt;/item&gt;&lt;item&gt;262&lt;/item&gt;&lt;item&gt;263&lt;/item&gt;&lt;item&gt;264&lt;/item&gt;&lt;item&gt;265&lt;/item&gt;&lt;item&gt;266&lt;/item&gt;&lt;item&gt;267&lt;/item&gt;&lt;item&gt;269&lt;/item&gt;&lt;item&gt;270&lt;/item&gt;&lt;item&gt;271&lt;/item&gt;&lt;item&gt;272&lt;/item&gt;&lt;item&gt;273&lt;/item&gt;&lt;item&gt;274&lt;/item&gt;&lt;item&gt;275&lt;/item&gt;&lt;item&gt;276&lt;/item&gt;&lt;item&gt;277&lt;/item&gt;&lt;item&gt;278&lt;/item&gt;&lt;item&gt;279&lt;/item&gt;&lt;item&gt;283&lt;/item&gt;&lt;item&gt;285&lt;/item&gt;&lt;item&gt;286&lt;/item&gt;&lt;item&gt;289&lt;/item&gt;&lt;item&gt;294&lt;/item&gt;&lt;item&gt;296&lt;/item&gt;&lt;item&gt;298&lt;/item&gt;&lt;item&gt;300&lt;/item&gt;&lt;item&gt;301&lt;/item&gt;&lt;item&gt;302&lt;/item&gt;&lt;item&gt;303&lt;/item&gt;&lt;item&gt;304&lt;/item&gt;&lt;item&gt;305&lt;/item&gt;&lt;item&gt;306&lt;/item&gt;&lt;item&gt;309&lt;/item&gt;&lt;item&gt;319&lt;/item&gt;&lt;item&gt;320&lt;/item&gt;&lt;item&gt;322&lt;/item&gt;&lt;item&gt;327&lt;/item&gt;&lt;item&gt;335&lt;/item&gt;&lt;item&gt;336&lt;/item&gt;&lt;item&gt;337&lt;/item&gt;&lt;item&gt;338&lt;/item&gt;&lt;item&gt;339&lt;/item&gt;&lt;item&gt;340&lt;/item&gt;&lt;item&gt;341&lt;/item&gt;&lt;item&gt;342&lt;/item&gt;&lt;item&gt;344&lt;/item&gt;&lt;item&gt;345&lt;/item&gt;&lt;item&gt;347&lt;/item&gt;&lt;item&gt;348&lt;/item&gt;&lt;item&gt;349&lt;/item&gt;&lt;item&gt;350&lt;/item&gt;&lt;item&gt;351&lt;/item&gt;&lt;item&gt;353&lt;/item&gt;&lt;item&gt;354&lt;/item&gt;&lt;item&gt;355&lt;/item&gt;&lt;item&gt;356&lt;/item&gt;&lt;item&gt;357&lt;/item&gt;&lt;item&gt;358&lt;/item&gt;&lt;item&gt;359&lt;/item&gt;&lt;item&gt;360&lt;/item&gt;&lt;item&gt;361&lt;/item&gt;&lt;item&gt;363&lt;/item&gt;&lt;item&gt;364&lt;/item&gt;&lt;item&gt;365&lt;/item&gt;&lt;item&gt;366&lt;/item&gt;&lt;item&gt;367&lt;/item&gt;&lt;item&gt;368&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2&lt;/item&gt;&lt;item&gt;393&lt;/item&gt;&lt;item&gt;394&lt;/item&gt;&lt;item&gt;395&lt;/item&gt;&lt;item&gt;396&lt;/item&gt;&lt;item&gt;401&lt;/item&gt;&lt;item&gt;402&lt;/item&gt;&lt;item&gt;403&lt;/item&gt;&lt;item&gt;404&lt;/item&gt;&lt;item&gt;405&lt;/item&gt;&lt;item&gt;406&lt;/item&gt;&lt;item&gt;407&lt;/item&gt;&lt;item&gt;408&lt;/item&gt;&lt;item&gt;409&lt;/item&gt;&lt;item&gt;410&lt;/item&gt;&lt;item&gt;411&lt;/item&gt;&lt;item&gt;413&lt;/item&gt;&lt;item&gt;414&lt;/item&gt;&lt;item&gt;415&lt;/item&gt;&lt;item&gt;418&lt;/item&gt;&lt;item&gt;419&lt;/item&gt;&lt;item&gt;421&lt;/item&gt;&lt;item&gt;422&lt;/item&gt;&lt;item&gt;423&lt;/item&gt;&lt;item&gt;424&lt;/item&gt;&lt;item&gt;425&lt;/item&gt;&lt;item&gt;426&lt;/item&gt;&lt;item&gt;428&lt;/item&gt;&lt;item&gt;429&lt;/item&gt;&lt;item&gt;431&lt;/item&gt;&lt;item&gt;432&lt;/item&gt;&lt;item&gt;434&lt;/item&gt;&lt;item&gt;435&lt;/item&gt;&lt;item&gt;436&lt;/item&gt;&lt;item&gt;437&lt;/item&gt;&lt;item&gt;438&lt;/item&gt;&lt;item&gt;439&lt;/item&gt;&lt;item&gt;441&lt;/item&gt;&lt;item&gt;442&lt;/item&gt;&lt;item&gt;443&lt;/item&gt;&lt;item&gt;444&lt;/item&gt;&lt;item&gt;446&lt;/item&gt;&lt;item&gt;448&lt;/item&gt;&lt;item&gt;449&lt;/item&gt;&lt;item&gt;450&lt;/item&gt;&lt;item&gt;451&lt;/item&gt;&lt;/record-ids&gt;&lt;/item&gt;&lt;/Libraries&gt;"/>
  </w:docVars>
  <w:rsids>
    <w:rsidRoot w:val="0030078A"/>
    <w:rsid w:val="00000269"/>
    <w:rsid w:val="000006CA"/>
    <w:rsid w:val="00000EB1"/>
    <w:rsid w:val="00001FA0"/>
    <w:rsid w:val="000034D9"/>
    <w:rsid w:val="00004A27"/>
    <w:rsid w:val="00004F2A"/>
    <w:rsid w:val="00004F6D"/>
    <w:rsid w:val="00005AA6"/>
    <w:rsid w:val="00005F7E"/>
    <w:rsid w:val="00007878"/>
    <w:rsid w:val="00010343"/>
    <w:rsid w:val="00011404"/>
    <w:rsid w:val="0001195A"/>
    <w:rsid w:val="000127DD"/>
    <w:rsid w:val="000139F2"/>
    <w:rsid w:val="00013EE8"/>
    <w:rsid w:val="000141C2"/>
    <w:rsid w:val="00014E24"/>
    <w:rsid w:val="00016A08"/>
    <w:rsid w:val="00023DA5"/>
    <w:rsid w:val="0002429B"/>
    <w:rsid w:val="00024307"/>
    <w:rsid w:val="00025145"/>
    <w:rsid w:val="000274A7"/>
    <w:rsid w:val="000335C4"/>
    <w:rsid w:val="00035475"/>
    <w:rsid w:val="000356B0"/>
    <w:rsid w:val="00035DC2"/>
    <w:rsid w:val="00040069"/>
    <w:rsid w:val="000420F9"/>
    <w:rsid w:val="00042E75"/>
    <w:rsid w:val="000441A5"/>
    <w:rsid w:val="00044942"/>
    <w:rsid w:val="00045B6E"/>
    <w:rsid w:val="000509F2"/>
    <w:rsid w:val="00050F5D"/>
    <w:rsid w:val="00051B95"/>
    <w:rsid w:val="000539EC"/>
    <w:rsid w:val="00054034"/>
    <w:rsid w:val="00054330"/>
    <w:rsid w:val="00054658"/>
    <w:rsid w:val="00056BAC"/>
    <w:rsid w:val="00057103"/>
    <w:rsid w:val="0005773E"/>
    <w:rsid w:val="00060A85"/>
    <w:rsid w:val="00060C01"/>
    <w:rsid w:val="0006231D"/>
    <w:rsid w:val="0006798A"/>
    <w:rsid w:val="00071025"/>
    <w:rsid w:val="0007519A"/>
    <w:rsid w:val="00077A12"/>
    <w:rsid w:val="0008158D"/>
    <w:rsid w:val="00084AC3"/>
    <w:rsid w:val="00086300"/>
    <w:rsid w:val="000905BC"/>
    <w:rsid w:val="000949B6"/>
    <w:rsid w:val="00097058"/>
    <w:rsid w:val="0009739B"/>
    <w:rsid w:val="0009748A"/>
    <w:rsid w:val="000976DB"/>
    <w:rsid w:val="00097A0C"/>
    <w:rsid w:val="00097C7B"/>
    <w:rsid w:val="000A2786"/>
    <w:rsid w:val="000A2A4E"/>
    <w:rsid w:val="000A3C33"/>
    <w:rsid w:val="000A5008"/>
    <w:rsid w:val="000A77AF"/>
    <w:rsid w:val="000B032D"/>
    <w:rsid w:val="000B06DD"/>
    <w:rsid w:val="000B0B04"/>
    <w:rsid w:val="000B128D"/>
    <w:rsid w:val="000B17A2"/>
    <w:rsid w:val="000B1D17"/>
    <w:rsid w:val="000B3A82"/>
    <w:rsid w:val="000B3E19"/>
    <w:rsid w:val="000B3F5E"/>
    <w:rsid w:val="000B4F37"/>
    <w:rsid w:val="000B5069"/>
    <w:rsid w:val="000B77B9"/>
    <w:rsid w:val="000B7DCA"/>
    <w:rsid w:val="000C04A5"/>
    <w:rsid w:val="000C36A0"/>
    <w:rsid w:val="000C4946"/>
    <w:rsid w:val="000C4C15"/>
    <w:rsid w:val="000C6044"/>
    <w:rsid w:val="000D07B0"/>
    <w:rsid w:val="000D07B4"/>
    <w:rsid w:val="000D1A5E"/>
    <w:rsid w:val="000D5B8F"/>
    <w:rsid w:val="000D6A03"/>
    <w:rsid w:val="000D6A5B"/>
    <w:rsid w:val="000E04E1"/>
    <w:rsid w:val="000E28C7"/>
    <w:rsid w:val="000E3A1F"/>
    <w:rsid w:val="000E5292"/>
    <w:rsid w:val="000E6097"/>
    <w:rsid w:val="000E7A88"/>
    <w:rsid w:val="000F05F8"/>
    <w:rsid w:val="000F066B"/>
    <w:rsid w:val="000F1034"/>
    <w:rsid w:val="000F19A6"/>
    <w:rsid w:val="000F378B"/>
    <w:rsid w:val="000F4511"/>
    <w:rsid w:val="000F4E0B"/>
    <w:rsid w:val="000F5555"/>
    <w:rsid w:val="000F7489"/>
    <w:rsid w:val="001026D2"/>
    <w:rsid w:val="00102982"/>
    <w:rsid w:val="00102FF1"/>
    <w:rsid w:val="001036EB"/>
    <w:rsid w:val="001037CE"/>
    <w:rsid w:val="0010520E"/>
    <w:rsid w:val="00105298"/>
    <w:rsid w:val="00105D19"/>
    <w:rsid w:val="00105FA7"/>
    <w:rsid w:val="001063CA"/>
    <w:rsid w:val="00106B37"/>
    <w:rsid w:val="001100DE"/>
    <w:rsid w:val="00112B4A"/>
    <w:rsid w:val="00114E39"/>
    <w:rsid w:val="001166F4"/>
    <w:rsid w:val="001209CB"/>
    <w:rsid w:val="00120C6F"/>
    <w:rsid w:val="00121445"/>
    <w:rsid w:val="0012208A"/>
    <w:rsid w:val="001222CA"/>
    <w:rsid w:val="001245E1"/>
    <w:rsid w:val="00125B2C"/>
    <w:rsid w:val="00126D78"/>
    <w:rsid w:val="00130098"/>
    <w:rsid w:val="00130F84"/>
    <w:rsid w:val="00132E31"/>
    <w:rsid w:val="001356E5"/>
    <w:rsid w:val="001356EE"/>
    <w:rsid w:val="001365F7"/>
    <w:rsid w:val="00142F85"/>
    <w:rsid w:val="00143E0B"/>
    <w:rsid w:val="001514C4"/>
    <w:rsid w:val="001520B7"/>
    <w:rsid w:val="001538E8"/>
    <w:rsid w:val="00154014"/>
    <w:rsid w:val="001573CB"/>
    <w:rsid w:val="001573F5"/>
    <w:rsid w:val="00157802"/>
    <w:rsid w:val="00161A09"/>
    <w:rsid w:val="0016572D"/>
    <w:rsid w:val="001658FA"/>
    <w:rsid w:val="00165C75"/>
    <w:rsid w:val="00166A81"/>
    <w:rsid w:val="00172ADB"/>
    <w:rsid w:val="00175183"/>
    <w:rsid w:val="00175BCD"/>
    <w:rsid w:val="00181B94"/>
    <w:rsid w:val="0018312B"/>
    <w:rsid w:val="00183289"/>
    <w:rsid w:val="0018541B"/>
    <w:rsid w:val="001864B1"/>
    <w:rsid w:val="0019054F"/>
    <w:rsid w:val="0019078C"/>
    <w:rsid w:val="00190AC1"/>
    <w:rsid w:val="00191D40"/>
    <w:rsid w:val="001920A4"/>
    <w:rsid w:val="001923D6"/>
    <w:rsid w:val="00192BF4"/>
    <w:rsid w:val="00192E96"/>
    <w:rsid w:val="00193831"/>
    <w:rsid w:val="00194304"/>
    <w:rsid w:val="001962A7"/>
    <w:rsid w:val="0019794C"/>
    <w:rsid w:val="001A1A27"/>
    <w:rsid w:val="001A2365"/>
    <w:rsid w:val="001A41B1"/>
    <w:rsid w:val="001A4C3A"/>
    <w:rsid w:val="001A5315"/>
    <w:rsid w:val="001A68CD"/>
    <w:rsid w:val="001A6F96"/>
    <w:rsid w:val="001A7AC6"/>
    <w:rsid w:val="001B0070"/>
    <w:rsid w:val="001B120B"/>
    <w:rsid w:val="001B4296"/>
    <w:rsid w:val="001B62BC"/>
    <w:rsid w:val="001B6568"/>
    <w:rsid w:val="001B7ADD"/>
    <w:rsid w:val="001B7E86"/>
    <w:rsid w:val="001B7FAF"/>
    <w:rsid w:val="001C02C9"/>
    <w:rsid w:val="001C19FC"/>
    <w:rsid w:val="001C2F16"/>
    <w:rsid w:val="001C3345"/>
    <w:rsid w:val="001C44C0"/>
    <w:rsid w:val="001C7266"/>
    <w:rsid w:val="001C7D10"/>
    <w:rsid w:val="001D0C85"/>
    <w:rsid w:val="001D158F"/>
    <w:rsid w:val="001D3188"/>
    <w:rsid w:val="001D4149"/>
    <w:rsid w:val="001D4305"/>
    <w:rsid w:val="001D6B93"/>
    <w:rsid w:val="001D6D9B"/>
    <w:rsid w:val="001D75AA"/>
    <w:rsid w:val="001E0A41"/>
    <w:rsid w:val="001E0FA8"/>
    <w:rsid w:val="001E3354"/>
    <w:rsid w:val="001E56FE"/>
    <w:rsid w:val="001E6944"/>
    <w:rsid w:val="001F190F"/>
    <w:rsid w:val="001F2595"/>
    <w:rsid w:val="001F37A0"/>
    <w:rsid w:val="001F4E26"/>
    <w:rsid w:val="001F57FD"/>
    <w:rsid w:val="001F5913"/>
    <w:rsid w:val="001F5AB4"/>
    <w:rsid w:val="001F73FD"/>
    <w:rsid w:val="00200EC8"/>
    <w:rsid w:val="00201755"/>
    <w:rsid w:val="002028DE"/>
    <w:rsid w:val="00204097"/>
    <w:rsid w:val="00205B56"/>
    <w:rsid w:val="00206B40"/>
    <w:rsid w:val="002110FA"/>
    <w:rsid w:val="00213CD2"/>
    <w:rsid w:val="00214709"/>
    <w:rsid w:val="00216117"/>
    <w:rsid w:val="00216AA9"/>
    <w:rsid w:val="002206F4"/>
    <w:rsid w:val="00220891"/>
    <w:rsid w:val="00220BC4"/>
    <w:rsid w:val="00220BD6"/>
    <w:rsid w:val="002212B8"/>
    <w:rsid w:val="00226B51"/>
    <w:rsid w:val="00226D39"/>
    <w:rsid w:val="002323C1"/>
    <w:rsid w:val="0023247A"/>
    <w:rsid w:val="00234504"/>
    <w:rsid w:val="002350F5"/>
    <w:rsid w:val="002376A5"/>
    <w:rsid w:val="00240601"/>
    <w:rsid w:val="00240F8C"/>
    <w:rsid w:val="002464C0"/>
    <w:rsid w:val="00250658"/>
    <w:rsid w:val="002527C6"/>
    <w:rsid w:val="00252821"/>
    <w:rsid w:val="00254B34"/>
    <w:rsid w:val="00255580"/>
    <w:rsid w:val="002560F9"/>
    <w:rsid w:val="00256CC2"/>
    <w:rsid w:val="0025715B"/>
    <w:rsid w:val="002618FE"/>
    <w:rsid w:val="00263236"/>
    <w:rsid w:val="002638D3"/>
    <w:rsid w:val="00263AB1"/>
    <w:rsid w:val="00270D71"/>
    <w:rsid w:val="00271B5A"/>
    <w:rsid w:val="00273C2B"/>
    <w:rsid w:val="00274867"/>
    <w:rsid w:val="002750B6"/>
    <w:rsid w:val="002753C0"/>
    <w:rsid w:val="00276799"/>
    <w:rsid w:val="002804EB"/>
    <w:rsid w:val="00280FA1"/>
    <w:rsid w:val="0028414F"/>
    <w:rsid w:val="00285251"/>
    <w:rsid w:val="00286F77"/>
    <w:rsid w:val="0028792A"/>
    <w:rsid w:val="00290821"/>
    <w:rsid w:val="00292341"/>
    <w:rsid w:val="002944B9"/>
    <w:rsid w:val="00294D3B"/>
    <w:rsid w:val="00295534"/>
    <w:rsid w:val="0029566C"/>
    <w:rsid w:val="002962A4"/>
    <w:rsid w:val="0029682A"/>
    <w:rsid w:val="00297D8F"/>
    <w:rsid w:val="002A012B"/>
    <w:rsid w:val="002A03C0"/>
    <w:rsid w:val="002A0975"/>
    <w:rsid w:val="002A09F5"/>
    <w:rsid w:val="002A0D0B"/>
    <w:rsid w:val="002A345D"/>
    <w:rsid w:val="002A3BB1"/>
    <w:rsid w:val="002A736B"/>
    <w:rsid w:val="002B034F"/>
    <w:rsid w:val="002B3856"/>
    <w:rsid w:val="002B3B27"/>
    <w:rsid w:val="002B5AF1"/>
    <w:rsid w:val="002B707E"/>
    <w:rsid w:val="002C1334"/>
    <w:rsid w:val="002C1BBD"/>
    <w:rsid w:val="002C1DFA"/>
    <w:rsid w:val="002C22A2"/>
    <w:rsid w:val="002C258B"/>
    <w:rsid w:val="002C36BD"/>
    <w:rsid w:val="002C4183"/>
    <w:rsid w:val="002C5447"/>
    <w:rsid w:val="002C558A"/>
    <w:rsid w:val="002C62B6"/>
    <w:rsid w:val="002C6EB6"/>
    <w:rsid w:val="002D4AA4"/>
    <w:rsid w:val="002D54F1"/>
    <w:rsid w:val="002D5FF0"/>
    <w:rsid w:val="002E05B3"/>
    <w:rsid w:val="002E31E4"/>
    <w:rsid w:val="002E3DC1"/>
    <w:rsid w:val="002E4139"/>
    <w:rsid w:val="002E4C88"/>
    <w:rsid w:val="002E4ED3"/>
    <w:rsid w:val="002E571A"/>
    <w:rsid w:val="002E5865"/>
    <w:rsid w:val="002E6C04"/>
    <w:rsid w:val="002E7864"/>
    <w:rsid w:val="002E7955"/>
    <w:rsid w:val="002F1339"/>
    <w:rsid w:val="002F210E"/>
    <w:rsid w:val="002F2FC4"/>
    <w:rsid w:val="002F31A9"/>
    <w:rsid w:val="002F4E2A"/>
    <w:rsid w:val="002F523B"/>
    <w:rsid w:val="002F74D6"/>
    <w:rsid w:val="002F75E1"/>
    <w:rsid w:val="00300686"/>
    <w:rsid w:val="0030078A"/>
    <w:rsid w:val="00300E41"/>
    <w:rsid w:val="003020D3"/>
    <w:rsid w:val="00302182"/>
    <w:rsid w:val="003033F0"/>
    <w:rsid w:val="003045FF"/>
    <w:rsid w:val="00304E84"/>
    <w:rsid w:val="003058C2"/>
    <w:rsid w:val="00305DB7"/>
    <w:rsid w:val="00307651"/>
    <w:rsid w:val="003078A6"/>
    <w:rsid w:val="00307DCA"/>
    <w:rsid w:val="003103A4"/>
    <w:rsid w:val="0031053B"/>
    <w:rsid w:val="0031266A"/>
    <w:rsid w:val="00317D5C"/>
    <w:rsid w:val="00317F37"/>
    <w:rsid w:val="00317F99"/>
    <w:rsid w:val="00320145"/>
    <w:rsid w:val="0032353D"/>
    <w:rsid w:val="00325467"/>
    <w:rsid w:val="003311EB"/>
    <w:rsid w:val="0033184A"/>
    <w:rsid w:val="003337FB"/>
    <w:rsid w:val="003338A0"/>
    <w:rsid w:val="003355B4"/>
    <w:rsid w:val="0033594C"/>
    <w:rsid w:val="00335EE7"/>
    <w:rsid w:val="00336D7B"/>
    <w:rsid w:val="00340B97"/>
    <w:rsid w:val="00341578"/>
    <w:rsid w:val="00341624"/>
    <w:rsid w:val="00341762"/>
    <w:rsid w:val="00341FBB"/>
    <w:rsid w:val="00342268"/>
    <w:rsid w:val="003431B6"/>
    <w:rsid w:val="003467FC"/>
    <w:rsid w:val="00350131"/>
    <w:rsid w:val="003538D2"/>
    <w:rsid w:val="00354DCC"/>
    <w:rsid w:val="003554D9"/>
    <w:rsid w:val="003569DA"/>
    <w:rsid w:val="00357FE2"/>
    <w:rsid w:val="003601BD"/>
    <w:rsid w:val="0036074B"/>
    <w:rsid w:val="00364D6E"/>
    <w:rsid w:val="00365D4F"/>
    <w:rsid w:val="003660D8"/>
    <w:rsid w:val="00367AB8"/>
    <w:rsid w:val="00373EA4"/>
    <w:rsid w:val="00374031"/>
    <w:rsid w:val="00375740"/>
    <w:rsid w:val="003764D0"/>
    <w:rsid w:val="00376514"/>
    <w:rsid w:val="00376F53"/>
    <w:rsid w:val="003817B6"/>
    <w:rsid w:val="00381F66"/>
    <w:rsid w:val="00382CD3"/>
    <w:rsid w:val="00382F05"/>
    <w:rsid w:val="0038411A"/>
    <w:rsid w:val="0038418F"/>
    <w:rsid w:val="00385155"/>
    <w:rsid w:val="003855C0"/>
    <w:rsid w:val="0038726C"/>
    <w:rsid w:val="00387663"/>
    <w:rsid w:val="00391D77"/>
    <w:rsid w:val="003931D9"/>
    <w:rsid w:val="003937D4"/>
    <w:rsid w:val="00395A9E"/>
    <w:rsid w:val="00395B2F"/>
    <w:rsid w:val="00397687"/>
    <w:rsid w:val="00397BC7"/>
    <w:rsid w:val="00397C60"/>
    <w:rsid w:val="003A06F1"/>
    <w:rsid w:val="003A09A4"/>
    <w:rsid w:val="003A156F"/>
    <w:rsid w:val="003A21EE"/>
    <w:rsid w:val="003A31F4"/>
    <w:rsid w:val="003A3A3C"/>
    <w:rsid w:val="003A4293"/>
    <w:rsid w:val="003A45CF"/>
    <w:rsid w:val="003A55B9"/>
    <w:rsid w:val="003A5DAE"/>
    <w:rsid w:val="003A7904"/>
    <w:rsid w:val="003A7DB7"/>
    <w:rsid w:val="003B03AD"/>
    <w:rsid w:val="003B050A"/>
    <w:rsid w:val="003B160C"/>
    <w:rsid w:val="003B2EA4"/>
    <w:rsid w:val="003B430B"/>
    <w:rsid w:val="003B528A"/>
    <w:rsid w:val="003B62C5"/>
    <w:rsid w:val="003B6506"/>
    <w:rsid w:val="003C0901"/>
    <w:rsid w:val="003C1967"/>
    <w:rsid w:val="003C25BB"/>
    <w:rsid w:val="003C2AC3"/>
    <w:rsid w:val="003C2DE0"/>
    <w:rsid w:val="003C60EA"/>
    <w:rsid w:val="003C6D54"/>
    <w:rsid w:val="003C6E46"/>
    <w:rsid w:val="003D1436"/>
    <w:rsid w:val="003D23B3"/>
    <w:rsid w:val="003D29F1"/>
    <w:rsid w:val="003D52A6"/>
    <w:rsid w:val="003D5E0D"/>
    <w:rsid w:val="003D639F"/>
    <w:rsid w:val="003E1E2F"/>
    <w:rsid w:val="003E230C"/>
    <w:rsid w:val="003E26BD"/>
    <w:rsid w:val="003E2A07"/>
    <w:rsid w:val="003E2A94"/>
    <w:rsid w:val="003E3963"/>
    <w:rsid w:val="003E758B"/>
    <w:rsid w:val="003F063B"/>
    <w:rsid w:val="003F07C9"/>
    <w:rsid w:val="003F267E"/>
    <w:rsid w:val="003F2BC9"/>
    <w:rsid w:val="003F520B"/>
    <w:rsid w:val="003F5AD7"/>
    <w:rsid w:val="003F5C80"/>
    <w:rsid w:val="003F5F3B"/>
    <w:rsid w:val="003F6A9D"/>
    <w:rsid w:val="004008E7"/>
    <w:rsid w:val="00400ABE"/>
    <w:rsid w:val="004025F2"/>
    <w:rsid w:val="00410EB1"/>
    <w:rsid w:val="004110C7"/>
    <w:rsid w:val="0041465A"/>
    <w:rsid w:val="00416181"/>
    <w:rsid w:val="0041719A"/>
    <w:rsid w:val="004200B5"/>
    <w:rsid w:val="00420D72"/>
    <w:rsid w:val="00423B39"/>
    <w:rsid w:val="0042517E"/>
    <w:rsid w:val="00427B52"/>
    <w:rsid w:val="004300B1"/>
    <w:rsid w:val="004305AD"/>
    <w:rsid w:val="004307B8"/>
    <w:rsid w:val="004323A3"/>
    <w:rsid w:val="00432FD2"/>
    <w:rsid w:val="00435FB5"/>
    <w:rsid w:val="00436395"/>
    <w:rsid w:val="00437119"/>
    <w:rsid w:val="00437D35"/>
    <w:rsid w:val="0044036A"/>
    <w:rsid w:val="00441A7E"/>
    <w:rsid w:val="00442823"/>
    <w:rsid w:val="00445D10"/>
    <w:rsid w:val="0044671F"/>
    <w:rsid w:val="00447B71"/>
    <w:rsid w:val="004500AD"/>
    <w:rsid w:val="00450DEB"/>
    <w:rsid w:val="00450ED4"/>
    <w:rsid w:val="004518E4"/>
    <w:rsid w:val="00451E53"/>
    <w:rsid w:val="00451E65"/>
    <w:rsid w:val="00452196"/>
    <w:rsid w:val="004524E0"/>
    <w:rsid w:val="00452560"/>
    <w:rsid w:val="00455057"/>
    <w:rsid w:val="004554A7"/>
    <w:rsid w:val="004561D1"/>
    <w:rsid w:val="004608BD"/>
    <w:rsid w:val="0046178D"/>
    <w:rsid w:val="00464720"/>
    <w:rsid w:val="004667A3"/>
    <w:rsid w:val="0047128F"/>
    <w:rsid w:val="00475105"/>
    <w:rsid w:val="004751BF"/>
    <w:rsid w:val="00477E15"/>
    <w:rsid w:val="00480203"/>
    <w:rsid w:val="004805AB"/>
    <w:rsid w:val="00482720"/>
    <w:rsid w:val="00482E1D"/>
    <w:rsid w:val="0048353E"/>
    <w:rsid w:val="00485EB6"/>
    <w:rsid w:val="00486A6A"/>
    <w:rsid w:val="00487B07"/>
    <w:rsid w:val="00487D45"/>
    <w:rsid w:val="00490B5D"/>
    <w:rsid w:val="00490EF3"/>
    <w:rsid w:val="00491EB3"/>
    <w:rsid w:val="00492F89"/>
    <w:rsid w:val="00494A9A"/>
    <w:rsid w:val="00495568"/>
    <w:rsid w:val="004957E0"/>
    <w:rsid w:val="004974DA"/>
    <w:rsid w:val="004A0399"/>
    <w:rsid w:val="004A21A0"/>
    <w:rsid w:val="004A22C7"/>
    <w:rsid w:val="004A2F29"/>
    <w:rsid w:val="004A77A9"/>
    <w:rsid w:val="004A7FEB"/>
    <w:rsid w:val="004B026D"/>
    <w:rsid w:val="004B1596"/>
    <w:rsid w:val="004B1BDE"/>
    <w:rsid w:val="004B1BFF"/>
    <w:rsid w:val="004B1C96"/>
    <w:rsid w:val="004B2E97"/>
    <w:rsid w:val="004B4DBB"/>
    <w:rsid w:val="004B4F84"/>
    <w:rsid w:val="004B53AD"/>
    <w:rsid w:val="004B6D90"/>
    <w:rsid w:val="004B773A"/>
    <w:rsid w:val="004C22A0"/>
    <w:rsid w:val="004C5FCA"/>
    <w:rsid w:val="004C7296"/>
    <w:rsid w:val="004D127D"/>
    <w:rsid w:val="004D16EC"/>
    <w:rsid w:val="004D2761"/>
    <w:rsid w:val="004D2864"/>
    <w:rsid w:val="004D376A"/>
    <w:rsid w:val="004D45B3"/>
    <w:rsid w:val="004D4970"/>
    <w:rsid w:val="004E2EC1"/>
    <w:rsid w:val="004E30A1"/>
    <w:rsid w:val="004E62FC"/>
    <w:rsid w:val="004E689B"/>
    <w:rsid w:val="004E6ACB"/>
    <w:rsid w:val="004E7254"/>
    <w:rsid w:val="004F06E9"/>
    <w:rsid w:val="004F124D"/>
    <w:rsid w:val="004F1820"/>
    <w:rsid w:val="004F24EA"/>
    <w:rsid w:val="004F33D4"/>
    <w:rsid w:val="004F421E"/>
    <w:rsid w:val="004F46D4"/>
    <w:rsid w:val="00502688"/>
    <w:rsid w:val="005035D0"/>
    <w:rsid w:val="00504019"/>
    <w:rsid w:val="005074A3"/>
    <w:rsid w:val="005074BD"/>
    <w:rsid w:val="00511509"/>
    <w:rsid w:val="0051187B"/>
    <w:rsid w:val="00512811"/>
    <w:rsid w:val="00513AE2"/>
    <w:rsid w:val="00514A19"/>
    <w:rsid w:val="00514C20"/>
    <w:rsid w:val="00517A31"/>
    <w:rsid w:val="00517A86"/>
    <w:rsid w:val="00517EF2"/>
    <w:rsid w:val="00523DC2"/>
    <w:rsid w:val="0052655A"/>
    <w:rsid w:val="00531110"/>
    <w:rsid w:val="0053260A"/>
    <w:rsid w:val="0053381D"/>
    <w:rsid w:val="00533FB1"/>
    <w:rsid w:val="005341B5"/>
    <w:rsid w:val="0053625B"/>
    <w:rsid w:val="00536BEB"/>
    <w:rsid w:val="00537A06"/>
    <w:rsid w:val="005405C9"/>
    <w:rsid w:val="00541058"/>
    <w:rsid w:val="00541BD4"/>
    <w:rsid w:val="005436E3"/>
    <w:rsid w:val="005442EA"/>
    <w:rsid w:val="00547EB6"/>
    <w:rsid w:val="005513DE"/>
    <w:rsid w:val="00551737"/>
    <w:rsid w:val="00551A91"/>
    <w:rsid w:val="00552440"/>
    <w:rsid w:val="00552814"/>
    <w:rsid w:val="005546CE"/>
    <w:rsid w:val="00554D7D"/>
    <w:rsid w:val="00556ADA"/>
    <w:rsid w:val="00556B0C"/>
    <w:rsid w:val="00560C6D"/>
    <w:rsid w:val="00560E5D"/>
    <w:rsid w:val="00560F48"/>
    <w:rsid w:val="00561025"/>
    <w:rsid w:val="005611E1"/>
    <w:rsid w:val="00562A78"/>
    <w:rsid w:val="005644CC"/>
    <w:rsid w:val="00565494"/>
    <w:rsid w:val="005654C7"/>
    <w:rsid w:val="0056663F"/>
    <w:rsid w:val="005669D9"/>
    <w:rsid w:val="00566FE4"/>
    <w:rsid w:val="00571BA4"/>
    <w:rsid w:val="005737EA"/>
    <w:rsid w:val="005751B9"/>
    <w:rsid w:val="005760D1"/>
    <w:rsid w:val="00577126"/>
    <w:rsid w:val="00580F01"/>
    <w:rsid w:val="00581E51"/>
    <w:rsid w:val="00582388"/>
    <w:rsid w:val="00584F0E"/>
    <w:rsid w:val="0058500E"/>
    <w:rsid w:val="00585C7C"/>
    <w:rsid w:val="00586815"/>
    <w:rsid w:val="00586A77"/>
    <w:rsid w:val="00586DD1"/>
    <w:rsid w:val="00587ABA"/>
    <w:rsid w:val="00587D62"/>
    <w:rsid w:val="005919F5"/>
    <w:rsid w:val="00592982"/>
    <w:rsid w:val="00592BA6"/>
    <w:rsid w:val="00593BCA"/>
    <w:rsid w:val="00593FE2"/>
    <w:rsid w:val="00594EE7"/>
    <w:rsid w:val="00597527"/>
    <w:rsid w:val="005A20B4"/>
    <w:rsid w:val="005A5CDC"/>
    <w:rsid w:val="005A62DB"/>
    <w:rsid w:val="005A65E3"/>
    <w:rsid w:val="005A6B49"/>
    <w:rsid w:val="005A76A4"/>
    <w:rsid w:val="005A7A3E"/>
    <w:rsid w:val="005B0B51"/>
    <w:rsid w:val="005B5328"/>
    <w:rsid w:val="005B5FEC"/>
    <w:rsid w:val="005B7D37"/>
    <w:rsid w:val="005C00AF"/>
    <w:rsid w:val="005C03F1"/>
    <w:rsid w:val="005C2510"/>
    <w:rsid w:val="005C2AB3"/>
    <w:rsid w:val="005C3E10"/>
    <w:rsid w:val="005C5F69"/>
    <w:rsid w:val="005C5FFE"/>
    <w:rsid w:val="005C63D2"/>
    <w:rsid w:val="005C6655"/>
    <w:rsid w:val="005D0328"/>
    <w:rsid w:val="005D1AE9"/>
    <w:rsid w:val="005D3F11"/>
    <w:rsid w:val="005D42C0"/>
    <w:rsid w:val="005D467D"/>
    <w:rsid w:val="005D7324"/>
    <w:rsid w:val="005E2019"/>
    <w:rsid w:val="005E2096"/>
    <w:rsid w:val="005E3B14"/>
    <w:rsid w:val="005E47F0"/>
    <w:rsid w:val="005E546E"/>
    <w:rsid w:val="005E62C1"/>
    <w:rsid w:val="005E74B0"/>
    <w:rsid w:val="005F01AA"/>
    <w:rsid w:val="005F0872"/>
    <w:rsid w:val="005F1601"/>
    <w:rsid w:val="005F1FCA"/>
    <w:rsid w:val="005F3D14"/>
    <w:rsid w:val="005F4785"/>
    <w:rsid w:val="005F545A"/>
    <w:rsid w:val="005F5895"/>
    <w:rsid w:val="005F6352"/>
    <w:rsid w:val="005F65A4"/>
    <w:rsid w:val="005F6E72"/>
    <w:rsid w:val="005F7181"/>
    <w:rsid w:val="005F79FA"/>
    <w:rsid w:val="00600DF1"/>
    <w:rsid w:val="00602745"/>
    <w:rsid w:val="00603F63"/>
    <w:rsid w:val="00606763"/>
    <w:rsid w:val="006118B2"/>
    <w:rsid w:val="00613879"/>
    <w:rsid w:val="0061566E"/>
    <w:rsid w:val="0061600E"/>
    <w:rsid w:val="006160CB"/>
    <w:rsid w:val="00616FA2"/>
    <w:rsid w:val="006217FC"/>
    <w:rsid w:val="006228BF"/>
    <w:rsid w:val="00624EA5"/>
    <w:rsid w:val="00625698"/>
    <w:rsid w:val="00625A6C"/>
    <w:rsid w:val="006265E4"/>
    <w:rsid w:val="00626E84"/>
    <w:rsid w:val="006301B9"/>
    <w:rsid w:val="0063037E"/>
    <w:rsid w:val="0063065F"/>
    <w:rsid w:val="00634088"/>
    <w:rsid w:val="00634965"/>
    <w:rsid w:val="00634E54"/>
    <w:rsid w:val="00635FC9"/>
    <w:rsid w:val="006360BC"/>
    <w:rsid w:val="00636389"/>
    <w:rsid w:val="00636492"/>
    <w:rsid w:val="006367AB"/>
    <w:rsid w:val="00637BE4"/>
    <w:rsid w:val="00637C9A"/>
    <w:rsid w:val="006431E9"/>
    <w:rsid w:val="00643D88"/>
    <w:rsid w:val="00644A32"/>
    <w:rsid w:val="0065099F"/>
    <w:rsid w:val="006532EA"/>
    <w:rsid w:val="00655A95"/>
    <w:rsid w:val="006570B1"/>
    <w:rsid w:val="0066035A"/>
    <w:rsid w:val="00660ABC"/>
    <w:rsid w:val="00660CFE"/>
    <w:rsid w:val="006615B3"/>
    <w:rsid w:val="0066188F"/>
    <w:rsid w:val="00661D60"/>
    <w:rsid w:val="00662F60"/>
    <w:rsid w:val="00663051"/>
    <w:rsid w:val="00670515"/>
    <w:rsid w:val="0067176A"/>
    <w:rsid w:val="00671998"/>
    <w:rsid w:val="006753A6"/>
    <w:rsid w:val="00675E2C"/>
    <w:rsid w:val="0067668F"/>
    <w:rsid w:val="006776C0"/>
    <w:rsid w:val="00680803"/>
    <w:rsid w:val="00681256"/>
    <w:rsid w:val="00682243"/>
    <w:rsid w:val="00683CB7"/>
    <w:rsid w:val="00685A63"/>
    <w:rsid w:val="00685E43"/>
    <w:rsid w:val="00686FC8"/>
    <w:rsid w:val="0069099A"/>
    <w:rsid w:val="006909C3"/>
    <w:rsid w:val="00693172"/>
    <w:rsid w:val="006942ED"/>
    <w:rsid w:val="00694AA8"/>
    <w:rsid w:val="0069674C"/>
    <w:rsid w:val="00697276"/>
    <w:rsid w:val="00697BBB"/>
    <w:rsid w:val="00697EDE"/>
    <w:rsid w:val="006A03F7"/>
    <w:rsid w:val="006A1664"/>
    <w:rsid w:val="006A23F7"/>
    <w:rsid w:val="006A47EC"/>
    <w:rsid w:val="006A5A33"/>
    <w:rsid w:val="006A5AA3"/>
    <w:rsid w:val="006A611D"/>
    <w:rsid w:val="006A6539"/>
    <w:rsid w:val="006B1BF2"/>
    <w:rsid w:val="006B4561"/>
    <w:rsid w:val="006B50AE"/>
    <w:rsid w:val="006B5A39"/>
    <w:rsid w:val="006B79D8"/>
    <w:rsid w:val="006C2147"/>
    <w:rsid w:val="006C35F6"/>
    <w:rsid w:val="006C397A"/>
    <w:rsid w:val="006C564F"/>
    <w:rsid w:val="006C5F1D"/>
    <w:rsid w:val="006C623B"/>
    <w:rsid w:val="006C684B"/>
    <w:rsid w:val="006C6AB7"/>
    <w:rsid w:val="006C7695"/>
    <w:rsid w:val="006C79B3"/>
    <w:rsid w:val="006C7AFB"/>
    <w:rsid w:val="006D2ACF"/>
    <w:rsid w:val="006D3325"/>
    <w:rsid w:val="006D3E6B"/>
    <w:rsid w:val="006D5A0F"/>
    <w:rsid w:val="006D5DAA"/>
    <w:rsid w:val="006D76EE"/>
    <w:rsid w:val="006E3179"/>
    <w:rsid w:val="006E35CF"/>
    <w:rsid w:val="006E466B"/>
    <w:rsid w:val="006E5E96"/>
    <w:rsid w:val="006E7027"/>
    <w:rsid w:val="006E71D1"/>
    <w:rsid w:val="006F1B59"/>
    <w:rsid w:val="006F2A4F"/>
    <w:rsid w:val="006F2BF4"/>
    <w:rsid w:val="006F3F46"/>
    <w:rsid w:val="006F4BCD"/>
    <w:rsid w:val="006F5074"/>
    <w:rsid w:val="006F6118"/>
    <w:rsid w:val="00700267"/>
    <w:rsid w:val="0070376B"/>
    <w:rsid w:val="0070426B"/>
    <w:rsid w:val="0070513D"/>
    <w:rsid w:val="00706724"/>
    <w:rsid w:val="007069B7"/>
    <w:rsid w:val="00706F24"/>
    <w:rsid w:val="00707910"/>
    <w:rsid w:val="00707BF0"/>
    <w:rsid w:val="0071255F"/>
    <w:rsid w:val="00712A1F"/>
    <w:rsid w:val="00712E4C"/>
    <w:rsid w:val="00716658"/>
    <w:rsid w:val="00720B57"/>
    <w:rsid w:val="00722E8F"/>
    <w:rsid w:val="00722FFF"/>
    <w:rsid w:val="00727AEA"/>
    <w:rsid w:val="00732A9A"/>
    <w:rsid w:val="00732D60"/>
    <w:rsid w:val="00734344"/>
    <w:rsid w:val="00734825"/>
    <w:rsid w:val="007362B9"/>
    <w:rsid w:val="0073720F"/>
    <w:rsid w:val="0073737D"/>
    <w:rsid w:val="00737698"/>
    <w:rsid w:val="00741F91"/>
    <w:rsid w:val="00743507"/>
    <w:rsid w:val="00744923"/>
    <w:rsid w:val="00745DF3"/>
    <w:rsid w:val="00747B3E"/>
    <w:rsid w:val="007510F5"/>
    <w:rsid w:val="00755B1C"/>
    <w:rsid w:val="00756203"/>
    <w:rsid w:val="007628E7"/>
    <w:rsid w:val="00764233"/>
    <w:rsid w:val="0076590F"/>
    <w:rsid w:val="00766823"/>
    <w:rsid w:val="00766D3D"/>
    <w:rsid w:val="00766F13"/>
    <w:rsid w:val="0077044E"/>
    <w:rsid w:val="00770CF0"/>
    <w:rsid w:val="007710DE"/>
    <w:rsid w:val="00772888"/>
    <w:rsid w:val="00773CA2"/>
    <w:rsid w:val="0078200B"/>
    <w:rsid w:val="00785441"/>
    <w:rsid w:val="00786C06"/>
    <w:rsid w:val="007903AD"/>
    <w:rsid w:val="00791B01"/>
    <w:rsid w:val="007920AB"/>
    <w:rsid w:val="007922DB"/>
    <w:rsid w:val="007925D1"/>
    <w:rsid w:val="00792A0C"/>
    <w:rsid w:val="00793DF2"/>
    <w:rsid w:val="0079449E"/>
    <w:rsid w:val="00794D00"/>
    <w:rsid w:val="00796579"/>
    <w:rsid w:val="007965D8"/>
    <w:rsid w:val="007A0435"/>
    <w:rsid w:val="007A06CB"/>
    <w:rsid w:val="007A5AF7"/>
    <w:rsid w:val="007A631B"/>
    <w:rsid w:val="007A6379"/>
    <w:rsid w:val="007B2352"/>
    <w:rsid w:val="007B319A"/>
    <w:rsid w:val="007B36C7"/>
    <w:rsid w:val="007B4BFB"/>
    <w:rsid w:val="007B4DBB"/>
    <w:rsid w:val="007B6A4A"/>
    <w:rsid w:val="007B748F"/>
    <w:rsid w:val="007C0EDA"/>
    <w:rsid w:val="007C0FEE"/>
    <w:rsid w:val="007C39F1"/>
    <w:rsid w:val="007C55F5"/>
    <w:rsid w:val="007C58DB"/>
    <w:rsid w:val="007C5A74"/>
    <w:rsid w:val="007C759B"/>
    <w:rsid w:val="007C76FF"/>
    <w:rsid w:val="007C7C40"/>
    <w:rsid w:val="007D0C3A"/>
    <w:rsid w:val="007D1A9C"/>
    <w:rsid w:val="007D2961"/>
    <w:rsid w:val="007D65AA"/>
    <w:rsid w:val="007D74B5"/>
    <w:rsid w:val="007E1922"/>
    <w:rsid w:val="007E2131"/>
    <w:rsid w:val="007E320B"/>
    <w:rsid w:val="007E4079"/>
    <w:rsid w:val="007E44FC"/>
    <w:rsid w:val="007E6AEB"/>
    <w:rsid w:val="007E6D7D"/>
    <w:rsid w:val="007F0484"/>
    <w:rsid w:val="007F0C4F"/>
    <w:rsid w:val="007F1B96"/>
    <w:rsid w:val="007F3534"/>
    <w:rsid w:val="007F4B34"/>
    <w:rsid w:val="007F6404"/>
    <w:rsid w:val="007F7E8F"/>
    <w:rsid w:val="008002D7"/>
    <w:rsid w:val="00801B4C"/>
    <w:rsid w:val="00802152"/>
    <w:rsid w:val="00802273"/>
    <w:rsid w:val="008022A6"/>
    <w:rsid w:val="0080593A"/>
    <w:rsid w:val="008073FA"/>
    <w:rsid w:val="00810701"/>
    <w:rsid w:val="00811072"/>
    <w:rsid w:val="00815E79"/>
    <w:rsid w:val="00815EA3"/>
    <w:rsid w:val="0081678D"/>
    <w:rsid w:val="00817B1B"/>
    <w:rsid w:val="0082027F"/>
    <w:rsid w:val="00820F72"/>
    <w:rsid w:val="0082348A"/>
    <w:rsid w:val="00823912"/>
    <w:rsid w:val="00830058"/>
    <w:rsid w:val="008315B2"/>
    <w:rsid w:val="008358C2"/>
    <w:rsid w:val="00835C7A"/>
    <w:rsid w:val="00836A8A"/>
    <w:rsid w:val="0084107A"/>
    <w:rsid w:val="0084234F"/>
    <w:rsid w:val="008430C9"/>
    <w:rsid w:val="008435EE"/>
    <w:rsid w:val="0084499D"/>
    <w:rsid w:val="00845E62"/>
    <w:rsid w:val="00845F5E"/>
    <w:rsid w:val="00850F40"/>
    <w:rsid w:val="00851310"/>
    <w:rsid w:val="00851E29"/>
    <w:rsid w:val="008527B1"/>
    <w:rsid w:val="008529EB"/>
    <w:rsid w:val="008533CC"/>
    <w:rsid w:val="00853D0B"/>
    <w:rsid w:val="00857507"/>
    <w:rsid w:val="00857EA0"/>
    <w:rsid w:val="00861ECE"/>
    <w:rsid w:val="008626FC"/>
    <w:rsid w:val="00862BDB"/>
    <w:rsid w:val="00864F21"/>
    <w:rsid w:val="008650E2"/>
    <w:rsid w:val="00865702"/>
    <w:rsid w:val="008660B3"/>
    <w:rsid w:val="008668CB"/>
    <w:rsid w:val="00866943"/>
    <w:rsid w:val="00866F81"/>
    <w:rsid w:val="00873C0A"/>
    <w:rsid w:val="008742F2"/>
    <w:rsid w:val="00875B0B"/>
    <w:rsid w:val="00877357"/>
    <w:rsid w:val="0088095E"/>
    <w:rsid w:val="0088252B"/>
    <w:rsid w:val="00883193"/>
    <w:rsid w:val="00884D0A"/>
    <w:rsid w:val="00885C73"/>
    <w:rsid w:val="0088679C"/>
    <w:rsid w:val="008877A3"/>
    <w:rsid w:val="0088789B"/>
    <w:rsid w:val="00887A36"/>
    <w:rsid w:val="00887F63"/>
    <w:rsid w:val="00894E1D"/>
    <w:rsid w:val="00895837"/>
    <w:rsid w:val="00896B46"/>
    <w:rsid w:val="008A05FF"/>
    <w:rsid w:val="008A1604"/>
    <w:rsid w:val="008A16E5"/>
    <w:rsid w:val="008A257A"/>
    <w:rsid w:val="008A43C5"/>
    <w:rsid w:val="008A57C9"/>
    <w:rsid w:val="008A7437"/>
    <w:rsid w:val="008B0456"/>
    <w:rsid w:val="008B3DA0"/>
    <w:rsid w:val="008B40CA"/>
    <w:rsid w:val="008B4153"/>
    <w:rsid w:val="008B4CAE"/>
    <w:rsid w:val="008B53F1"/>
    <w:rsid w:val="008B57A5"/>
    <w:rsid w:val="008B5891"/>
    <w:rsid w:val="008B6FC9"/>
    <w:rsid w:val="008C08E1"/>
    <w:rsid w:val="008C2257"/>
    <w:rsid w:val="008C270D"/>
    <w:rsid w:val="008C5A26"/>
    <w:rsid w:val="008C61BF"/>
    <w:rsid w:val="008C6FEB"/>
    <w:rsid w:val="008D0218"/>
    <w:rsid w:val="008D117C"/>
    <w:rsid w:val="008D2FDB"/>
    <w:rsid w:val="008D3CD8"/>
    <w:rsid w:val="008D4783"/>
    <w:rsid w:val="008D4CC5"/>
    <w:rsid w:val="008D4E23"/>
    <w:rsid w:val="008D715B"/>
    <w:rsid w:val="008D77CF"/>
    <w:rsid w:val="008D7F39"/>
    <w:rsid w:val="008E2DE6"/>
    <w:rsid w:val="008E35DA"/>
    <w:rsid w:val="008E39ED"/>
    <w:rsid w:val="008E3B55"/>
    <w:rsid w:val="008E4BCA"/>
    <w:rsid w:val="008E59AB"/>
    <w:rsid w:val="008F26F4"/>
    <w:rsid w:val="008F37CD"/>
    <w:rsid w:val="008F47A7"/>
    <w:rsid w:val="008F6CC3"/>
    <w:rsid w:val="008F7E85"/>
    <w:rsid w:val="009011FC"/>
    <w:rsid w:val="00902438"/>
    <w:rsid w:val="00902CE8"/>
    <w:rsid w:val="00902EBF"/>
    <w:rsid w:val="009032AA"/>
    <w:rsid w:val="009037C4"/>
    <w:rsid w:val="00903B9B"/>
    <w:rsid w:val="00903EC3"/>
    <w:rsid w:val="00904E06"/>
    <w:rsid w:val="009053AD"/>
    <w:rsid w:val="00905D59"/>
    <w:rsid w:val="00906035"/>
    <w:rsid w:val="00906367"/>
    <w:rsid w:val="009102DE"/>
    <w:rsid w:val="00910F72"/>
    <w:rsid w:val="0091126C"/>
    <w:rsid w:val="00911974"/>
    <w:rsid w:val="0091326B"/>
    <w:rsid w:val="00913CD8"/>
    <w:rsid w:val="00915ADD"/>
    <w:rsid w:val="0091632E"/>
    <w:rsid w:val="009164DE"/>
    <w:rsid w:val="009178B3"/>
    <w:rsid w:val="00917F13"/>
    <w:rsid w:val="00917FB1"/>
    <w:rsid w:val="00922C56"/>
    <w:rsid w:val="0092480B"/>
    <w:rsid w:val="0092595F"/>
    <w:rsid w:val="009268B6"/>
    <w:rsid w:val="009270E8"/>
    <w:rsid w:val="00931348"/>
    <w:rsid w:val="0093152E"/>
    <w:rsid w:val="00931733"/>
    <w:rsid w:val="00933DCF"/>
    <w:rsid w:val="0093424A"/>
    <w:rsid w:val="009346CB"/>
    <w:rsid w:val="00935794"/>
    <w:rsid w:val="00935CC6"/>
    <w:rsid w:val="0094177D"/>
    <w:rsid w:val="00942A9E"/>
    <w:rsid w:val="009431F6"/>
    <w:rsid w:val="00943B6C"/>
    <w:rsid w:val="00943CBD"/>
    <w:rsid w:val="009455F3"/>
    <w:rsid w:val="00945964"/>
    <w:rsid w:val="00945E97"/>
    <w:rsid w:val="00950541"/>
    <w:rsid w:val="00951655"/>
    <w:rsid w:val="009524B0"/>
    <w:rsid w:val="00952A4A"/>
    <w:rsid w:val="00952B2D"/>
    <w:rsid w:val="00955239"/>
    <w:rsid w:val="00955720"/>
    <w:rsid w:val="00955C22"/>
    <w:rsid w:val="00955E89"/>
    <w:rsid w:val="009617A4"/>
    <w:rsid w:val="00962246"/>
    <w:rsid w:val="00962769"/>
    <w:rsid w:val="00963A8D"/>
    <w:rsid w:val="0096431F"/>
    <w:rsid w:val="009644A9"/>
    <w:rsid w:val="00965ECC"/>
    <w:rsid w:val="00966A18"/>
    <w:rsid w:val="00966FF5"/>
    <w:rsid w:val="00967150"/>
    <w:rsid w:val="009671CC"/>
    <w:rsid w:val="00967694"/>
    <w:rsid w:val="00970382"/>
    <w:rsid w:val="009713CB"/>
    <w:rsid w:val="00971D4E"/>
    <w:rsid w:val="0097548C"/>
    <w:rsid w:val="009760FE"/>
    <w:rsid w:val="00981300"/>
    <w:rsid w:val="009814BC"/>
    <w:rsid w:val="00983862"/>
    <w:rsid w:val="00987252"/>
    <w:rsid w:val="00990832"/>
    <w:rsid w:val="00993BDE"/>
    <w:rsid w:val="009A1FBC"/>
    <w:rsid w:val="009A351D"/>
    <w:rsid w:val="009A3FA5"/>
    <w:rsid w:val="009A72F2"/>
    <w:rsid w:val="009B29FF"/>
    <w:rsid w:val="009B3679"/>
    <w:rsid w:val="009B3886"/>
    <w:rsid w:val="009B474E"/>
    <w:rsid w:val="009B643E"/>
    <w:rsid w:val="009B68F0"/>
    <w:rsid w:val="009C0496"/>
    <w:rsid w:val="009C137A"/>
    <w:rsid w:val="009C1A55"/>
    <w:rsid w:val="009C1AB0"/>
    <w:rsid w:val="009C28C5"/>
    <w:rsid w:val="009C2D9B"/>
    <w:rsid w:val="009C36E3"/>
    <w:rsid w:val="009C4B88"/>
    <w:rsid w:val="009C4F56"/>
    <w:rsid w:val="009C62FF"/>
    <w:rsid w:val="009D1EC1"/>
    <w:rsid w:val="009D2667"/>
    <w:rsid w:val="009D2D46"/>
    <w:rsid w:val="009D3A55"/>
    <w:rsid w:val="009D49AB"/>
    <w:rsid w:val="009D6B5F"/>
    <w:rsid w:val="009D6CCE"/>
    <w:rsid w:val="009D7D8D"/>
    <w:rsid w:val="009E0C11"/>
    <w:rsid w:val="009E2AFE"/>
    <w:rsid w:val="009E2D2C"/>
    <w:rsid w:val="009E54A7"/>
    <w:rsid w:val="009E5B38"/>
    <w:rsid w:val="009E6C01"/>
    <w:rsid w:val="009E720A"/>
    <w:rsid w:val="009E7B63"/>
    <w:rsid w:val="009E7F1F"/>
    <w:rsid w:val="009F023A"/>
    <w:rsid w:val="009F19D1"/>
    <w:rsid w:val="009F1FA0"/>
    <w:rsid w:val="009F2029"/>
    <w:rsid w:val="009F49F4"/>
    <w:rsid w:val="00A01601"/>
    <w:rsid w:val="00A01B2C"/>
    <w:rsid w:val="00A02275"/>
    <w:rsid w:val="00A02EF3"/>
    <w:rsid w:val="00A03591"/>
    <w:rsid w:val="00A04177"/>
    <w:rsid w:val="00A04B5B"/>
    <w:rsid w:val="00A0684E"/>
    <w:rsid w:val="00A06A06"/>
    <w:rsid w:val="00A06C17"/>
    <w:rsid w:val="00A07F6C"/>
    <w:rsid w:val="00A11B11"/>
    <w:rsid w:val="00A1213B"/>
    <w:rsid w:val="00A122C7"/>
    <w:rsid w:val="00A13675"/>
    <w:rsid w:val="00A13D16"/>
    <w:rsid w:val="00A147AD"/>
    <w:rsid w:val="00A1612D"/>
    <w:rsid w:val="00A21EC6"/>
    <w:rsid w:val="00A2461F"/>
    <w:rsid w:val="00A2464E"/>
    <w:rsid w:val="00A24883"/>
    <w:rsid w:val="00A24909"/>
    <w:rsid w:val="00A25AA9"/>
    <w:rsid w:val="00A2755C"/>
    <w:rsid w:val="00A30951"/>
    <w:rsid w:val="00A32523"/>
    <w:rsid w:val="00A330AC"/>
    <w:rsid w:val="00A35730"/>
    <w:rsid w:val="00A35B0C"/>
    <w:rsid w:val="00A36D50"/>
    <w:rsid w:val="00A464C0"/>
    <w:rsid w:val="00A46654"/>
    <w:rsid w:val="00A50748"/>
    <w:rsid w:val="00A50F26"/>
    <w:rsid w:val="00A51A80"/>
    <w:rsid w:val="00A552E9"/>
    <w:rsid w:val="00A55562"/>
    <w:rsid w:val="00A56673"/>
    <w:rsid w:val="00A57D96"/>
    <w:rsid w:val="00A603AC"/>
    <w:rsid w:val="00A606AB"/>
    <w:rsid w:val="00A6079D"/>
    <w:rsid w:val="00A6093E"/>
    <w:rsid w:val="00A63EB6"/>
    <w:rsid w:val="00A6577A"/>
    <w:rsid w:val="00A662B3"/>
    <w:rsid w:val="00A667AE"/>
    <w:rsid w:val="00A70B1A"/>
    <w:rsid w:val="00A71158"/>
    <w:rsid w:val="00A7227E"/>
    <w:rsid w:val="00A73436"/>
    <w:rsid w:val="00A73C6C"/>
    <w:rsid w:val="00A75F60"/>
    <w:rsid w:val="00A773B7"/>
    <w:rsid w:val="00A7795D"/>
    <w:rsid w:val="00A809F8"/>
    <w:rsid w:val="00A8307C"/>
    <w:rsid w:val="00A8487A"/>
    <w:rsid w:val="00A84DBA"/>
    <w:rsid w:val="00A84E2C"/>
    <w:rsid w:val="00A8536C"/>
    <w:rsid w:val="00A868BF"/>
    <w:rsid w:val="00A92107"/>
    <w:rsid w:val="00A92639"/>
    <w:rsid w:val="00A92DCD"/>
    <w:rsid w:val="00A96564"/>
    <w:rsid w:val="00A97A0A"/>
    <w:rsid w:val="00AA0059"/>
    <w:rsid w:val="00AA0552"/>
    <w:rsid w:val="00AA0B34"/>
    <w:rsid w:val="00AA22F2"/>
    <w:rsid w:val="00AA368D"/>
    <w:rsid w:val="00AA554B"/>
    <w:rsid w:val="00AA5DE3"/>
    <w:rsid w:val="00AA72F7"/>
    <w:rsid w:val="00AA7303"/>
    <w:rsid w:val="00AA76AD"/>
    <w:rsid w:val="00AB00ED"/>
    <w:rsid w:val="00AB0419"/>
    <w:rsid w:val="00AB096A"/>
    <w:rsid w:val="00AB0D74"/>
    <w:rsid w:val="00AB1335"/>
    <w:rsid w:val="00AB1FFF"/>
    <w:rsid w:val="00AB2927"/>
    <w:rsid w:val="00AB37AC"/>
    <w:rsid w:val="00AB4C3F"/>
    <w:rsid w:val="00AB6754"/>
    <w:rsid w:val="00AB7E0F"/>
    <w:rsid w:val="00AC1010"/>
    <w:rsid w:val="00AC17AD"/>
    <w:rsid w:val="00AC5DA8"/>
    <w:rsid w:val="00AC64FD"/>
    <w:rsid w:val="00AC7134"/>
    <w:rsid w:val="00AD0712"/>
    <w:rsid w:val="00AD288C"/>
    <w:rsid w:val="00AD4915"/>
    <w:rsid w:val="00AD4C6F"/>
    <w:rsid w:val="00AD6499"/>
    <w:rsid w:val="00AE0D85"/>
    <w:rsid w:val="00AE1414"/>
    <w:rsid w:val="00AE147C"/>
    <w:rsid w:val="00AE41EC"/>
    <w:rsid w:val="00AE4580"/>
    <w:rsid w:val="00AE5C02"/>
    <w:rsid w:val="00AE7461"/>
    <w:rsid w:val="00AF195F"/>
    <w:rsid w:val="00AF2735"/>
    <w:rsid w:val="00AF3BD1"/>
    <w:rsid w:val="00AF417E"/>
    <w:rsid w:val="00AF4788"/>
    <w:rsid w:val="00AF610C"/>
    <w:rsid w:val="00B004F9"/>
    <w:rsid w:val="00B019AA"/>
    <w:rsid w:val="00B04352"/>
    <w:rsid w:val="00B05964"/>
    <w:rsid w:val="00B07344"/>
    <w:rsid w:val="00B1196A"/>
    <w:rsid w:val="00B11D7C"/>
    <w:rsid w:val="00B11FB7"/>
    <w:rsid w:val="00B13A55"/>
    <w:rsid w:val="00B15D8B"/>
    <w:rsid w:val="00B16B8E"/>
    <w:rsid w:val="00B21B57"/>
    <w:rsid w:val="00B21CA8"/>
    <w:rsid w:val="00B23ED5"/>
    <w:rsid w:val="00B24DC1"/>
    <w:rsid w:val="00B2592B"/>
    <w:rsid w:val="00B259E6"/>
    <w:rsid w:val="00B275A0"/>
    <w:rsid w:val="00B2797D"/>
    <w:rsid w:val="00B304F5"/>
    <w:rsid w:val="00B3076E"/>
    <w:rsid w:val="00B31381"/>
    <w:rsid w:val="00B319FD"/>
    <w:rsid w:val="00B327D9"/>
    <w:rsid w:val="00B329C6"/>
    <w:rsid w:val="00B32BF5"/>
    <w:rsid w:val="00B32E1B"/>
    <w:rsid w:val="00B33B73"/>
    <w:rsid w:val="00B34A77"/>
    <w:rsid w:val="00B37229"/>
    <w:rsid w:val="00B4049C"/>
    <w:rsid w:val="00B42323"/>
    <w:rsid w:val="00B443A3"/>
    <w:rsid w:val="00B4440F"/>
    <w:rsid w:val="00B445CA"/>
    <w:rsid w:val="00B44DAE"/>
    <w:rsid w:val="00B452C7"/>
    <w:rsid w:val="00B47BC7"/>
    <w:rsid w:val="00B50534"/>
    <w:rsid w:val="00B50563"/>
    <w:rsid w:val="00B52471"/>
    <w:rsid w:val="00B5308A"/>
    <w:rsid w:val="00B531DE"/>
    <w:rsid w:val="00B53E5F"/>
    <w:rsid w:val="00B53EB0"/>
    <w:rsid w:val="00B5673E"/>
    <w:rsid w:val="00B56799"/>
    <w:rsid w:val="00B569D6"/>
    <w:rsid w:val="00B56EEB"/>
    <w:rsid w:val="00B61C03"/>
    <w:rsid w:val="00B61FAE"/>
    <w:rsid w:val="00B6268B"/>
    <w:rsid w:val="00B63D42"/>
    <w:rsid w:val="00B656D3"/>
    <w:rsid w:val="00B6649E"/>
    <w:rsid w:val="00B70A25"/>
    <w:rsid w:val="00B71787"/>
    <w:rsid w:val="00B71A58"/>
    <w:rsid w:val="00B72091"/>
    <w:rsid w:val="00B723FE"/>
    <w:rsid w:val="00B72DD4"/>
    <w:rsid w:val="00B73A80"/>
    <w:rsid w:val="00B74548"/>
    <w:rsid w:val="00B76FBB"/>
    <w:rsid w:val="00B80891"/>
    <w:rsid w:val="00B83374"/>
    <w:rsid w:val="00B84EE0"/>
    <w:rsid w:val="00B8519E"/>
    <w:rsid w:val="00B857B3"/>
    <w:rsid w:val="00B861F4"/>
    <w:rsid w:val="00B862C5"/>
    <w:rsid w:val="00B867D9"/>
    <w:rsid w:val="00B910A2"/>
    <w:rsid w:val="00B919AA"/>
    <w:rsid w:val="00B922C5"/>
    <w:rsid w:val="00B9280D"/>
    <w:rsid w:val="00B9291C"/>
    <w:rsid w:val="00B92D06"/>
    <w:rsid w:val="00B92D46"/>
    <w:rsid w:val="00B94266"/>
    <w:rsid w:val="00B95230"/>
    <w:rsid w:val="00B96329"/>
    <w:rsid w:val="00BA0EB5"/>
    <w:rsid w:val="00BA0ECF"/>
    <w:rsid w:val="00BA1381"/>
    <w:rsid w:val="00BA1E49"/>
    <w:rsid w:val="00BA22E3"/>
    <w:rsid w:val="00BA279D"/>
    <w:rsid w:val="00BA3BE6"/>
    <w:rsid w:val="00BA47F3"/>
    <w:rsid w:val="00BA49D7"/>
    <w:rsid w:val="00BA5761"/>
    <w:rsid w:val="00BA5F3A"/>
    <w:rsid w:val="00BA6681"/>
    <w:rsid w:val="00BB0780"/>
    <w:rsid w:val="00BB144E"/>
    <w:rsid w:val="00BB6086"/>
    <w:rsid w:val="00BB7133"/>
    <w:rsid w:val="00BC02CD"/>
    <w:rsid w:val="00BC08B5"/>
    <w:rsid w:val="00BC173D"/>
    <w:rsid w:val="00BC2592"/>
    <w:rsid w:val="00BC2E1B"/>
    <w:rsid w:val="00BC31FF"/>
    <w:rsid w:val="00BD078E"/>
    <w:rsid w:val="00BD0802"/>
    <w:rsid w:val="00BD1BFA"/>
    <w:rsid w:val="00BD3CD5"/>
    <w:rsid w:val="00BD51A9"/>
    <w:rsid w:val="00BE10EB"/>
    <w:rsid w:val="00BE16A6"/>
    <w:rsid w:val="00BE30FB"/>
    <w:rsid w:val="00BE561D"/>
    <w:rsid w:val="00BE62BC"/>
    <w:rsid w:val="00BE6FD5"/>
    <w:rsid w:val="00BF0FD5"/>
    <w:rsid w:val="00BF10BD"/>
    <w:rsid w:val="00BF1A91"/>
    <w:rsid w:val="00BF1F1C"/>
    <w:rsid w:val="00BF301B"/>
    <w:rsid w:val="00BF3AA5"/>
    <w:rsid w:val="00BF4691"/>
    <w:rsid w:val="00BF706F"/>
    <w:rsid w:val="00BF718D"/>
    <w:rsid w:val="00C01793"/>
    <w:rsid w:val="00C01D30"/>
    <w:rsid w:val="00C03993"/>
    <w:rsid w:val="00C04135"/>
    <w:rsid w:val="00C055E4"/>
    <w:rsid w:val="00C0661F"/>
    <w:rsid w:val="00C06E09"/>
    <w:rsid w:val="00C06EC1"/>
    <w:rsid w:val="00C06FF8"/>
    <w:rsid w:val="00C0715E"/>
    <w:rsid w:val="00C101C8"/>
    <w:rsid w:val="00C10554"/>
    <w:rsid w:val="00C116CE"/>
    <w:rsid w:val="00C11EF0"/>
    <w:rsid w:val="00C126B5"/>
    <w:rsid w:val="00C12BFD"/>
    <w:rsid w:val="00C12F02"/>
    <w:rsid w:val="00C13D74"/>
    <w:rsid w:val="00C22608"/>
    <w:rsid w:val="00C233CA"/>
    <w:rsid w:val="00C2367B"/>
    <w:rsid w:val="00C23AF6"/>
    <w:rsid w:val="00C24D5B"/>
    <w:rsid w:val="00C2509C"/>
    <w:rsid w:val="00C3050D"/>
    <w:rsid w:val="00C31754"/>
    <w:rsid w:val="00C31BC1"/>
    <w:rsid w:val="00C31DD4"/>
    <w:rsid w:val="00C333BF"/>
    <w:rsid w:val="00C33835"/>
    <w:rsid w:val="00C347BE"/>
    <w:rsid w:val="00C3702C"/>
    <w:rsid w:val="00C43235"/>
    <w:rsid w:val="00C4351F"/>
    <w:rsid w:val="00C4383C"/>
    <w:rsid w:val="00C4401A"/>
    <w:rsid w:val="00C4418B"/>
    <w:rsid w:val="00C44502"/>
    <w:rsid w:val="00C44826"/>
    <w:rsid w:val="00C451D4"/>
    <w:rsid w:val="00C45479"/>
    <w:rsid w:val="00C51276"/>
    <w:rsid w:val="00C5145C"/>
    <w:rsid w:val="00C51C39"/>
    <w:rsid w:val="00C523F6"/>
    <w:rsid w:val="00C539A2"/>
    <w:rsid w:val="00C54A25"/>
    <w:rsid w:val="00C55994"/>
    <w:rsid w:val="00C57351"/>
    <w:rsid w:val="00C57B58"/>
    <w:rsid w:val="00C60671"/>
    <w:rsid w:val="00C616D7"/>
    <w:rsid w:val="00C61EF9"/>
    <w:rsid w:val="00C62BCD"/>
    <w:rsid w:val="00C63E13"/>
    <w:rsid w:val="00C6498F"/>
    <w:rsid w:val="00C669B3"/>
    <w:rsid w:val="00C71AB5"/>
    <w:rsid w:val="00C722F5"/>
    <w:rsid w:val="00C7397A"/>
    <w:rsid w:val="00C740DB"/>
    <w:rsid w:val="00C803FB"/>
    <w:rsid w:val="00C80509"/>
    <w:rsid w:val="00C80946"/>
    <w:rsid w:val="00C81312"/>
    <w:rsid w:val="00C81B7D"/>
    <w:rsid w:val="00C83D4C"/>
    <w:rsid w:val="00C854AA"/>
    <w:rsid w:val="00C87980"/>
    <w:rsid w:val="00C87A2B"/>
    <w:rsid w:val="00C91418"/>
    <w:rsid w:val="00C922AB"/>
    <w:rsid w:val="00C93208"/>
    <w:rsid w:val="00C9396E"/>
    <w:rsid w:val="00C94D0C"/>
    <w:rsid w:val="00C97EB9"/>
    <w:rsid w:val="00CA0934"/>
    <w:rsid w:val="00CA10FE"/>
    <w:rsid w:val="00CA1218"/>
    <w:rsid w:val="00CA1E7B"/>
    <w:rsid w:val="00CA2EA4"/>
    <w:rsid w:val="00CA30F5"/>
    <w:rsid w:val="00CA4386"/>
    <w:rsid w:val="00CA4F7F"/>
    <w:rsid w:val="00CB0E67"/>
    <w:rsid w:val="00CB1F71"/>
    <w:rsid w:val="00CB2E60"/>
    <w:rsid w:val="00CB374E"/>
    <w:rsid w:val="00CB52C4"/>
    <w:rsid w:val="00CB7BDF"/>
    <w:rsid w:val="00CB7C22"/>
    <w:rsid w:val="00CC2567"/>
    <w:rsid w:val="00CC2BE1"/>
    <w:rsid w:val="00CC3C43"/>
    <w:rsid w:val="00CC400F"/>
    <w:rsid w:val="00CC4BBD"/>
    <w:rsid w:val="00CC582C"/>
    <w:rsid w:val="00CC662F"/>
    <w:rsid w:val="00CC71B3"/>
    <w:rsid w:val="00CC7223"/>
    <w:rsid w:val="00CC7528"/>
    <w:rsid w:val="00CD0D65"/>
    <w:rsid w:val="00CD4514"/>
    <w:rsid w:val="00CD5576"/>
    <w:rsid w:val="00CD587B"/>
    <w:rsid w:val="00CD669C"/>
    <w:rsid w:val="00CD691A"/>
    <w:rsid w:val="00CD6E8C"/>
    <w:rsid w:val="00CE09F6"/>
    <w:rsid w:val="00CE0DBC"/>
    <w:rsid w:val="00CE299C"/>
    <w:rsid w:val="00CE561C"/>
    <w:rsid w:val="00CE6484"/>
    <w:rsid w:val="00CE7E8C"/>
    <w:rsid w:val="00CF18B4"/>
    <w:rsid w:val="00CF257E"/>
    <w:rsid w:val="00CF2821"/>
    <w:rsid w:val="00CF2E96"/>
    <w:rsid w:val="00CF52F6"/>
    <w:rsid w:val="00D0070C"/>
    <w:rsid w:val="00D00D26"/>
    <w:rsid w:val="00D00F60"/>
    <w:rsid w:val="00D03332"/>
    <w:rsid w:val="00D03E23"/>
    <w:rsid w:val="00D079FF"/>
    <w:rsid w:val="00D10077"/>
    <w:rsid w:val="00D106CA"/>
    <w:rsid w:val="00D124D5"/>
    <w:rsid w:val="00D142C2"/>
    <w:rsid w:val="00D1456F"/>
    <w:rsid w:val="00D1521A"/>
    <w:rsid w:val="00D15250"/>
    <w:rsid w:val="00D16287"/>
    <w:rsid w:val="00D171D6"/>
    <w:rsid w:val="00D20FBD"/>
    <w:rsid w:val="00D22CE3"/>
    <w:rsid w:val="00D24504"/>
    <w:rsid w:val="00D2689B"/>
    <w:rsid w:val="00D26B9C"/>
    <w:rsid w:val="00D3145A"/>
    <w:rsid w:val="00D33999"/>
    <w:rsid w:val="00D33AAF"/>
    <w:rsid w:val="00D34C06"/>
    <w:rsid w:val="00D421C9"/>
    <w:rsid w:val="00D434E9"/>
    <w:rsid w:val="00D44160"/>
    <w:rsid w:val="00D4596A"/>
    <w:rsid w:val="00D4610F"/>
    <w:rsid w:val="00D46D8C"/>
    <w:rsid w:val="00D517E0"/>
    <w:rsid w:val="00D5350E"/>
    <w:rsid w:val="00D538C2"/>
    <w:rsid w:val="00D539FE"/>
    <w:rsid w:val="00D54EEE"/>
    <w:rsid w:val="00D565BA"/>
    <w:rsid w:val="00D57E61"/>
    <w:rsid w:val="00D60B52"/>
    <w:rsid w:val="00D6117D"/>
    <w:rsid w:val="00D63E81"/>
    <w:rsid w:val="00D64F5D"/>
    <w:rsid w:val="00D65D16"/>
    <w:rsid w:val="00D66871"/>
    <w:rsid w:val="00D66ED9"/>
    <w:rsid w:val="00D672D0"/>
    <w:rsid w:val="00D67E38"/>
    <w:rsid w:val="00D715E2"/>
    <w:rsid w:val="00D73677"/>
    <w:rsid w:val="00D7531C"/>
    <w:rsid w:val="00D765C0"/>
    <w:rsid w:val="00D800B9"/>
    <w:rsid w:val="00D802B7"/>
    <w:rsid w:val="00D80ADA"/>
    <w:rsid w:val="00D826DC"/>
    <w:rsid w:val="00D84C55"/>
    <w:rsid w:val="00D84F49"/>
    <w:rsid w:val="00D871D9"/>
    <w:rsid w:val="00D90123"/>
    <w:rsid w:val="00D90712"/>
    <w:rsid w:val="00D91677"/>
    <w:rsid w:val="00D91FDC"/>
    <w:rsid w:val="00D92492"/>
    <w:rsid w:val="00D9290E"/>
    <w:rsid w:val="00D93220"/>
    <w:rsid w:val="00D95BCA"/>
    <w:rsid w:val="00D9656B"/>
    <w:rsid w:val="00D97282"/>
    <w:rsid w:val="00DA1522"/>
    <w:rsid w:val="00DA3B21"/>
    <w:rsid w:val="00DA47CA"/>
    <w:rsid w:val="00DA4E63"/>
    <w:rsid w:val="00DA7819"/>
    <w:rsid w:val="00DB0AC6"/>
    <w:rsid w:val="00DB0ED6"/>
    <w:rsid w:val="00DB25AA"/>
    <w:rsid w:val="00DB57DA"/>
    <w:rsid w:val="00DB67C5"/>
    <w:rsid w:val="00DB7FFC"/>
    <w:rsid w:val="00DC1C0E"/>
    <w:rsid w:val="00DC2460"/>
    <w:rsid w:val="00DC29DA"/>
    <w:rsid w:val="00DC2DC3"/>
    <w:rsid w:val="00DC4439"/>
    <w:rsid w:val="00DC4F1C"/>
    <w:rsid w:val="00DC5C61"/>
    <w:rsid w:val="00DC6C58"/>
    <w:rsid w:val="00DC7D7A"/>
    <w:rsid w:val="00DC7FE9"/>
    <w:rsid w:val="00DD1273"/>
    <w:rsid w:val="00DD160F"/>
    <w:rsid w:val="00DD25FC"/>
    <w:rsid w:val="00DD34F8"/>
    <w:rsid w:val="00DD3DFC"/>
    <w:rsid w:val="00DD4041"/>
    <w:rsid w:val="00DD499C"/>
    <w:rsid w:val="00DD5533"/>
    <w:rsid w:val="00DD591A"/>
    <w:rsid w:val="00DD6686"/>
    <w:rsid w:val="00DE0BF2"/>
    <w:rsid w:val="00DE6BA4"/>
    <w:rsid w:val="00DF0448"/>
    <w:rsid w:val="00DF32EE"/>
    <w:rsid w:val="00DF337C"/>
    <w:rsid w:val="00DF3B0D"/>
    <w:rsid w:val="00DF4185"/>
    <w:rsid w:val="00DF442A"/>
    <w:rsid w:val="00DF6A80"/>
    <w:rsid w:val="00DF6F07"/>
    <w:rsid w:val="00DF7806"/>
    <w:rsid w:val="00E0064B"/>
    <w:rsid w:val="00E01678"/>
    <w:rsid w:val="00E037BB"/>
    <w:rsid w:val="00E04B43"/>
    <w:rsid w:val="00E059B9"/>
    <w:rsid w:val="00E06439"/>
    <w:rsid w:val="00E07539"/>
    <w:rsid w:val="00E075DF"/>
    <w:rsid w:val="00E137A6"/>
    <w:rsid w:val="00E14ED6"/>
    <w:rsid w:val="00E156D5"/>
    <w:rsid w:val="00E1734C"/>
    <w:rsid w:val="00E20820"/>
    <w:rsid w:val="00E21DBF"/>
    <w:rsid w:val="00E231EB"/>
    <w:rsid w:val="00E24F6E"/>
    <w:rsid w:val="00E3072B"/>
    <w:rsid w:val="00E3097F"/>
    <w:rsid w:val="00E30EDD"/>
    <w:rsid w:val="00E32889"/>
    <w:rsid w:val="00E3385B"/>
    <w:rsid w:val="00E35308"/>
    <w:rsid w:val="00E3593D"/>
    <w:rsid w:val="00E36845"/>
    <w:rsid w:val="00E3733D"/>
    <w:rsid w:val="00E37444"/>
    <w:rsid w:val="00E37B53"/>
    <w:rsid w:val="00E403D6"/>
    <w:rsid w:val="00E4094B"/>
    <w:rsid w:val="00E43208"/>
    <w:rsid w:val="00E46DF9"/>
    <w:rsid w:val="00E47618"/>
    <w:rsid w:val="00E478C3"/>
    <w:rsid w:val="00E47B1A"/>
    <w:rsid w:val="00E50B1E"/>
    <w:rsid w:val="00E516A2"/>
    <w:rsid w:val="00E51925"/>
    <w:rsid w:val="00E52CE0"/>
    <w:rsid w:val="00E531B0"/>
    <w:rsid w:val="00E54181"/>
    <w:rsid w:val="00E5536F"/>
    <w:rsid w:val="00E57C61"/>
    <w:rsid w:val="00E600BB"/>
    <w:rsid w:val="00E6096C"/>
    <w:rsid w:val="00E611CE"/>
    <w:rsid w:val="00E61594"/>
    <w:rsid w:val="00E62270"/>
    <w:rsid w:val="00E62276"/>
    <w:rsid w:val="00E62406"/>
    <w:rsid w:val="00E679A9"/>
    <w:rsid w:val="00E726E3"/>
    <w:rsid w:val="00E735F2"/>
    <w:rsid w:val="00E738A4"/>
    <w:rsid w:val="00E7478D"/>
    <w:rsid w:val="00E749C7"/>
    <w:rsid w:val="00E753CE"/>
    <w:rsid w:val="00E76819"/>
    <w:rsid w:val="00E76AB8"/>
    <w:rsid w:val="00E76B20"/>
    <w:rsid w:val="00E809D6"/>
    <w:rsid w:val="00E849D6"/>
    <w:rsid w:val="00E85EA3"/>
    <w:rsid w:val="00E86107"/>
    <w:rsid w:val="00E87126"/>
    <w:rsid w:val="00E90040"/>
    <w:rsid w:val="00E9263E"/>
    <w:rsid w:val="00E92F25"/>
    <w:rsid w:val="00E93F1B"/>
    <w:rsid w:val="00E940BA"/>
    <w:rsid w:val="00E943EC"/>
    <w:rsid w:val="00E951CD"/>
    <w:rsid w:val="00E97B82"/>
    <w:rsid w:val="00EA0258"/>
    <w:rsid w:val="00EA1676"/>
    <w:rsid w:val="00EA16DB"/>
    <w:rsid w:val="00EA67FF"/>
    <w:rsid w:val="00EA68E4"/>
    <w:rsid w:val="00EB0606"/>
    <w:rsid w:val="00EB0851"/>
    <w:rsid w:val="00EB0A2D"/>
    <w:rsid w:val="00EB0F11"/>
    <w:rsid w:val="00EB2871"/>
    <w:rsid w:val="00EB3257"/>
    <w:rsid w:val="00EB326A"/>
    <w:rsid w:val="00EB3F3F"/>
    <w:rsid w:val="00EB3FAA"/>
    <w:rsid w:val="00EB4FDD"/>
    <w:rsid w:val="00EB7206"/>
    <w:rsid w:val="00EB7BC5"/>
    <w:rsid w:val="00EC0D85"/>
    <w:rsid w:val="00EC2B4B"/>
    <w:rsid w:val="00EC5702"/>
    <w:rsid w:val="00EC5DCA"/>
    <w:rsid w:val="00EC7704"/>
    <w:rsid w:val="00ED139E"/>
    <w:rsid w:val="00ED183E"/>
    <w:rsid w:val="00ED1C91"/>
    <w:rsid w:val="00ED290C"/>
    <w:rsid w:val="00ED340B"/>
    <w:rsid w:val="00ED3752"/>
    <w:rsid w:val="00ED3E18"/>
    <w:rsid w:val="00ED3EA8"/>
    <w:rsid w:val="00ED5D3E"/>
    <w:rsid w:val="00EE0438"/>
    <w:rsid w:val="00EE1734"/>
    <w:rsid w:val="00EE3F96"/>
    <w:rsid w:val="00EE6ED5"/>
    <w:rsid w:val="00EE731E"/>
    <w:rsid w:val="00EE7CE3"/>
    <w:rsid w:val="00EF28E8"/>
    <w:rsid w:val="00EF4942"/>
    <w:rsid w:val="00EF7608"/>
    <w:rsid w:val="00F01BDB"/>
    <w:rsid w:val="00F024AC"/>
    <w:rsid w:val="00F0257C"/>
    <w:rsid w:val="00F03131"/>
    <w:rsid w:val="00F040DC"/>
    <w:rsid w:val="00F04D78"/>
    <w:rsid w:val="00F06470"/>
    <w:rsid w:val="00F07135"/>
    <w:rsid w:val="00F07340"/>
    <w:rsid w:val="00F07D2B"/>
    <w:rsid w:val="00F10391"/>
    <w:rsid w:val="00F13ACC"/>
    <w:rsid w:val="00F15C9D"/>
    <w:rsid w:val="00F176D7"/>
    <w:rsid w:val="00F17929"/>
    <w:rsid w:val="00F17CF2"/>
    <w:rsid w:val="00F205DE"/>
    <w:rsid w:val="00F22459"/>
    <w:rsid w:val="00F22988"/>
    <w:rsid w:val="00F23866"/>
    <w:rsid w:val="00F23C4D"/>
    <w:rsid w:val="00F26198"/>
    <w:rsid w:val="00F2676E"/>
    <w:rsid w:val="00F274C1"/>
    <w:rsid w:val="00F30118"/>
    <w:rsid w:val="00F30F35"/>
    <w:rsid w:val="00F32555"/>
    <w:rsid w:val="00F326A8"/>
    <w:rsid w:val="00F32D66"/>
    <w:rsid w:val="00F33CCF"/>
    <w:rsid w:val="00F3567A"/>
    <w:rsid w:val="00F369C3"/>
    <w:rsid w:val="00F36D06"/>
    <w:rsid w:val="00F3707D"/>
    <w:rsid w:val="00F37789"/>
    <w:rsid w:val="00F40B78"/>
    <w:rsid w:val="00F40D7C"/>
    <w:rsid w:val="00F41429"/>
    <w:rsid w:val="00F419A6"/>
    <w:rsid w:val="00F43556"/>
    <w:rsid w:val="00F43B03"/>
    <w:rsid w:val="00F4406A"/>
    <w:rsid w:val="00F451DF"/>
    <w:rsid w:val="00F45337"/>
    <w:rsid w:val="00F476AF"/>
    <w:rsid w:val="00F500B5"/>
    <w:rsid w:val="00F5059F"/>
    <w:rsid w:val="00F506C6"/>
    <w:rsid w:val="00F512DF"/>
    <w:rsid w:val="00F5162D"/>
    <w:rsid w:val="00F51651"/>
    <w:rsid w:val="00F51F18"/>
    <w:rsid w:val="00F5392A"/>
    <w:rsid w:val="00F54BF4"/>
    <w:rsid w:val="00F57C3F"/>
    <w:rsid w:val="00F6156A"/>
    <w:rsid w:val="00F61C9C"/>
    <w:rsid w:val="00F61F53"/>
    <w:rsid w:val="00F630B3"/>
    <w:rsid w:val="00F632D9"/>
    <w:rsid w:val="00F6506D"/>
    <w:rsid w:val="00F668C7"/>
    <w:rsid w:val="00F70730"/>
    <w:rsid w:val="00F7083C"/>
    <w:rsid w:val="00F71183"/>
    <w:rsid w:val="00F71751"/>
    <w:rsid w:val="00F71994"/>
    <w:rsid w:val="00F727E3"/>
    <w:rsid w:val="00F736ED"/>
    <w:rsid w:val="00F74996"/>
    <w:rsid w:val="00F74E98"/>
    <w:rsid w:val="00F8068D"/>
    <w:rsid w:val="00F82143"/>
    <w:rsid w:val="00F84D57"/>
    <w:rsid w:val="00F872BF"/>
    <w:rsid w:val="00F87888"/>
    <w:rsid w:val="00F90AA1"/>
    <w:rsid w:val="00F93F7D"/>
    <w:rsid w:val="00F9418A"/>
    <w:rsid w:val="00F95D43"/>
    <w:rsid w:val="00FA08CD"/>
    <w:rsid w:val="00FA1448"/>
    <w:rsid w:val="00FA149E"/>
    <w:rsid w:val="00FA1606"/>
    <w:rsid w:val="00FA2527"/>
    <w:rsid w:val="00FA3365"/>
    <w:rsid w:val="00FA3882"/>
    <w:rsid w:val="00FA51AC"/>
    <w:rsid w:val="00FA567E"/>
    <w:rsid w:val="00FA5C48"/>
    <w:rsid w:val="00FA5D35"/>
    <w:rsid w:val="00FA5E6B"/>
    <w:rsid w:val="00FA6C59"/>
    <w:rsid w:val="00FA6CBC"/>
    <w:rsid w:val="00FA7E41"/>
    <w:rsid w:val="00FA7F8C"/>
    <w:rsid w:val="00FB19E3"/>
    <w:rsid w:val="00FB235C"/>
    <w:rsid w:val="00FB2905"/>
    <w:rsid w:val="00FB3678"/>
    <w:rsid w:val="00FB37E9"/>
    <w:rsid w:val="00FB6A80"/>
    <w:rsid w:val="00FB79C8"/>
    <w:rsid w:val="00FC1DDE"/>
    <w:rsid w:val="00FC3196"/>
    <w:rsid w:val="00FC5C7B"/>
    <w:rsid w:val="00FC7193"/>
    <w:rsid w:val="00FC723F"/>
    <w:rsid w:val="00FC79C0"/>
    <w:rsid w:val="00FD06D5"/>
    <w:rsid w:val="00FD1AEA"/>
    <w:rsid w:val="00FD25BA"/>
    <w:rsid w:val="00FD2A8B"/>
    <w:rsid w:val="00FD3AF2"/>
    <w:rsid w:val="00FD4B55"/>
    <w:rsid w:val="00FD5C2D"/>
    <w:rsid w:val="00FE094D"/>
    <w:rsid w:val="00FE0E68"/>
    <w:rsid w:val="00FE2907"/>
    <w:rsid w:val="00FE35C6"/>
    <w:rsid w:val="00FE57B7"/>
    <w:rsid w:val="00FE6638"/>
    <w:rsid w:val="00FE6CA7"/>
    <w:rsid w:val="00FE78C0"/>
    <w:rsid w:val="00FF1E75"/>
    <w:rsid w:val="00FF2899"/>
    <w:rsid w:val="00FF327F"/>
    <w:rsid w:val="00FF3779"/>
    <w:rsid w:val="00FF37D7"/>
    <w:rsid w:val="00FF4251"/>
    <w:rsid w:val="00FF42F7"/>
    <w:rsid w:val="00FF48C5"/>
    <w:rsid w:val="00FF5D3F"/>
    <w:rsid w:val="00FF60D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61650"/>
  <w15:docId w15:val="{A703535C-2F13-4491-93D2-7E1CE00B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sz w:val="24"/>
        <w:szCs w:val="24"/>
        <w:lang w:val="en-IE"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94A9A"/>
    <w:pPr>
      <w:spacing w:after="200" w:line="276" w:lineRule="auto"/>
      <w:jc w:val="both"/>
    </w:pPr>
    <w:rPr>
      <w:rFonts w:ascii="Arial" w:hAnsi="Arial"/>
      <w:sz w:val="22"/>
      <w:szCs w:val="22"/>
      <w:lang w:val="en-GB" w:eastAsia="zh-CN"/>
    </w:rPr>
  </w:style>
  <w:style w:type="paragraph" w:styleId="Heading1">
    <w:name w:val="heading 1"/>
    <w:basedOn w:val="Normal"/>
    <w:next w:val="Normal"/>
    <w:link w:val="Heading1Char"/>
    <w:uiPriority w:val="9"/>
    <w:qFormat/>
    <w:rsid w:val="00B16B8E"/>
    <w:pPr>
      <w:numPr>
        <w:numId w:val="5"/>
      </w:numPr>
      <w:spacing w:line="360" w:lineRule="auto"/>
      <w:ind w:left="0"/>
      <w:outlineLvl w:val="0"/>
    </w:pPr>
    <w:rPr>
      <w:b/>
      <w:bCs/>
      <w:i/>
      <w:sz w:val="28"/>
      <w:szCs w:val="28"/>
    </w:rPr>
  </w:style>
  <w:style w:type="paragraph" w:styleId="Heading2">
    <w:name w:val="heading 2"/>
    <w:basedOn w:val="Heading1"/>
    <w:next w:val="Normal"/>
    <w:link w:val="Heading2Char"/>
    <w:uiPriority w:val="9"/>
    <w:unhideWhenUsed/>
    <w:qFormat/>
    <w:rsid w:val="00191D40"/>
    <w:pPr>
      <w:numPr>
        <w:ilvl w:val="1"/>
      </w:numPr>
      <w:outlineLvl w:val="1"/>
    </w:pPr>
  </w:style>
  <w:style w:type="paragraph" w:styleId="Heading3">
    <w:name w:val="heading 3"/>
    <w:basedOn w:val="Normal"/>
    <w:next w:val="Normal"/>
    <w:link w:val="Heading3Char"/>
    <w:uiPriority w:val="9"/>
    <w:unhideWhenUsed/>
    <w:qFormat/>
    <w:rsid w:val="00B16B8E"/>
    <w:pPr>
      <w:keepNext/>
      <w:keepLines/>
      <w:numPr>
        <w:ilvl w:val="2"/>
        <w:numId w:val="5"/>
      </w:numPr>
      <w:spacing w:line="360" w:lineRule="auto"/>
      <w:outlineLvl w:val="2"/>
    </w:pPr>
    <w:rPr>
      <w:b/>
      <w:bCs/>
      <w:lang w:eastAsia="en-US"/>
    </w:rPr>
  </w:style>
  <w:style w:type="paragraph" w:styleId="Heading4">
    <w:name w:val="heading 4"/>
    <w:basedOn w:val="Normal"/>
    <w:next w:val="Normal"/>
    <w:link w:val="Heading4Char"/>
    <w:uiPriority w:val="9"/>
    <w:unhideWhenUsed/>
    <w:qFormat/>
    <w:rsid w:val="00B16B8E"/>
    <w:pPr>
      <w:spacing w:line="360" w:lineRule="auto"/>
      <w:outlineLvl w:val="3"/>
    </w:pPr>
    <w:rPr>
      <w:u w:val="single"/>
    </w:rPr>
  </w:style>
  <w:style w:type="paragraph" w:styleId="Heading5">
    <w:name w:val="heading 5"/>
    <w:basedOn w:val="Normal"/>
    <w:next w:val="Normal"/>
    <w:link w:val="Heading5Char"/>
    <w:uiPriority w:val="9"/>
    <w:unhideWhenUsed/>
    <w:qFormat/>
    <w:rsid w:val="00B16B8E"/>
    <w:pPr>
      <w:numPr>
        <w:ilvl w:val="4"/>
        <w:numId w:val="5"/>
      </w:numPr>
      <w:spacing w:line="360" w:lineRule="auto"/>
      <w:outlineLvl w:val="4"/>
    </w:pPr>
    <w:rPr>
      <w:i/>
    </w:rPr>
  </w:style>
  <w:style w:type="paragraph" w:styleId="Heading6">
    <w:name w:val="heading 6"/>
    <w:basedOn w:val="Normal"/>
    <w:next w:val="Normal"/>
    <w:link w:val="Heading6Char"/>
    <w:uiPriority w:val="9"/>
    <w:unhideWhenUsed/>
    <w:qFormat/>
    <w:rsid w:val="00B16B8E"/>
    <w:pPr>
      <w:numPr>
        <w:ilvl w:val="5"/>
        <w:numId w:val="5"/>
      </w:numPr>
      <w:spacing w:line="360" w:lineRule="auto"/>
      <w:outlineLvl w:val="5"/>
    </w:pPr>
  </w:style>
  <w:style w:type="paragraph" w:styleId="Heading7">
    <w:name w:val="heading 7"/>
    <w:basedOn w:val="Heading1"/>
    <w:next w:val="Normal"/>
    <w:link w:val="Heading7Char"/>
    <w:uiPriority w:val="9"/>
    <w:unhideWhenUsed/>
    <w:qFormat/>
    <w:rsid w:val="006D2ACF"/>
    <w:pPr>
      <w:numPr>
        <w:ilvl w:val="6"/>
      </w:numPr>
      <w:outlineLvl w:val="6"/>
    </w:pPr>
  </w:style>
  <w:style w:type="paragraph" w:styleId="Heading8">
    <w:name w:val="heading 8"/>
    <w:basedOn w:val="Normal"/>
    <w:next w:val="Normal"/>
    <w:link w:val="Heading8Char"/>
    <w:uiPriority w:val="9"/>
    <w:semiHidden/>
    <w:unhideWhenUsed/>
    <w:qFormat/>
    <w:rsid w:val="00517A86"/>
    <w:pPr>
      <w:keepNext/>
      <w:keepLines/>
      <w:numPr>
        <w:ilvl w:val="7"/>
        <w:numId w:val="5"/>
      </w:numPr>
      <w:spacing w:before="200" w:after="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517A86"/>
    <w:pPr>
      <w:keepNext/>
      <w:keepLines/>
      <w:numPr>
        <w:ilvl w:val="8"/>
        <w:numId w:val="5"/>
      </w:numPr>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B8E"/>
    <w:rPr>
      <w:rFonts w:ascii="Arial" w:hAnsi="Arial"/>
      <w:b/>
      <w:bCs/>
      <w:i/>
      <w:sz w:val="28"/>
      <w:szCs w:val="28"/>
      <w:lang w:val="en-GB" w:eastAsia="zh-CN"/>
    </w:rPr>
  </w:style>
  <w:style w:type="character" w:customStyle="1" w:styleId="Heading2Char">
    <w:name w:val="Heading 2 Char"/>
    <w:link w:val="Heading2"/>
    <w:uiPriority w:val="9"/>
    <w:rsid w:val="00191D40"/>
    <w:rPr>
      <w:rFonts w:ascii="Arial" w:hAnsi="Arial"/>
      <w:b/>
      <w:bCs/>
      <w:i/>
      <w:sz w:val="28"/>
      <w:szCs w:val="28"/>
      <w:lang w:val="en-GB" w:eastAsia="zh-CN"/>
    </w:rPr>
  </w:style>
  <w:style w:type="character" w:customStyle="1" w:styleId="Heading3Char">
    <w:name w:val="Heading 3 Char"/>
    <w:link w:val="Heading3"/>
    <w:uiPriority w:val="9"/>
    <w:rsid w:val="00B16B8E"/>
    <w:rPr>
      <w:rFonts w:ascii="Arial" w:hAnsi="Arial"/>
      <w:b/>
      <w:bCs/>
      <w:sz w:val="22"/>
      <w:szCs w:val="22"/>
      <w:lang w:val="en-GB"/>
    </w:rPr>
  </w:style>
  <w:style w:type="character" w:customStyle="1" w:styleId="Heading4Char">
    <w:name w:val="Heading 4 Char"/>
    <w:link w:val="Heading4"/>
    <w:uiPriority w:val="9"/>
    <w:rsid w:val="00B16B8E"/>
    <w:rPr>
      <w:rFonts w:ascii="Arial" w:hAnsi="Arial"/>
      <w:sz w:val="22"/>
      <w:szCs w:val="22"/>
      <w:u w:val="single"/>
      <w:lang w:val="en-GB" w:eastAsia="zh-CN"/>
    </w:rPr>
  </w:style>
  <w:style w:type="paragraph" w:styleId="ListParagraph">
    <w:name w:val="List Paragraph"/>
    <w:basedOn w:val="Normal"/>
    <w:link w:val="ListParagraphChar"/>
    <w:uiPriority w:val="34"/>
    <w:qFormat/>
    <w:rsid w:val="0082348A"/>
    <w:pPr>
      <w:ind w:left="720"/>
      <w:contextualSpacing/>
    </w:pPr>
    <w:rPr>
      <w:lang w:eastAsia="en-US"/>
    </w:rPr>
  </w:style>
  <w:style w:type="character" w:customStyle="1" w:styleId="EndnoteTextChar">
    <w:name w:val="Endnote Text Char"/>
    <w:link w:val="EndnoteText"/>
    <w:uiPriority w:val="99"/>
    <w:rsid w:val="0082348A"/>
    <w:rPr>
      <w:sz w:val="20"/>
      <w:szCs w:val="20"/>
      <w:lang w:eastAsia="en-US"/>
    </w:rPr>
  </w:style>
  <w:style w:type="paragraph" w:styleId="EndnoteText">
    <w:name w:val="endnote text"/>
    <w:basedOn w:val="Normal"/>
    <w:link w:val="EndnoteTextChar"/>
    <w:uiPriority w:val="99"/>
    <w:unhideWhenUsed/>
    <w:rsid w:val="0082348A"/>
    <w:pPr>
      <w:spacing w:after="0" w:line="240" w:lineRule="auto"/>
    </w:pPr>
    <w:rPr>
      <w:sz w:val="20"/>
      <w:szCs w:val="20"/>
      <w:lang w:eastAsia="en-US"/>
    </w:rPr>
  </w:style>
  <w:style w:type="character" w:styleId="Hyperlink">
    <w:name w:val="Hyperlink"/>
    <w:uiPriority w:val="99"/>
    <w:unhideWhenUsed/>
    <w:rsid w:val="0082348A"/>
    <w:rPr>
      <w:color w:val="0000FF"/>
      <w:u w:val="single"/>
    </w:rPr>
  </w:style>
  <w:style w:type="character" w:customStyle="1" w:styleId="CommentTextChar">
    <w:name w:val="Comment Text Char"/>
    <w:link w:val="CommentText"/>
    <w:uiPriority w:val="99"/>
    <w:rsid w:val="0082348A"/>
    <w:rPr>
      <w:sz w:val="20"/>
      <w:szCs w:val="20"/>
      <w:lang w:eastAsia="en-US"/>
    </w:rPr>
  </w:style>
  <w:style w:type="paragraph" w:styleId="CommentText">
    <w:name w:val="annotation text"/>
    <w:basedOn w:val="Normal"/>
    <w:link w:val="CommentTextChar"/>
    <w:uiPriority w:val="99"/>
    <w:unhideWhenUsed/>
    <w:rsid w:val="0082348A"/>
    <w:pPr>
      <w:spacing w:line="240" w:lineRule="auto"/>
    </w:pPr>
    <w:rPr>
      <w:sz w:val="20"/>
      <w:szCs w:val="20"/>
      <w:lang w:eastAsia="en-US"/>
    </w:rPr>
  </w:style>
  <w:style w:type="character" w:customStyle="1" w:styleId="CommentSubjectChar">
    <w:name w:val="Comment Subject Char"/>
    <w:link w:val="CommentSubject"/>
    <w:uiPriority w:val="99"/>
    <w:semiHidden/>
    <w:rsid w:val="0082348A"/>
    <w:rPr>
      <w:b/>
      <w:bCs/>
      <w:sz w:val="20"/>
      <w:szCs w:val="20"/>
      <w:lang w:eastAsia="en-US"/>
    </w:rPr>
  </w:style>
  <w:style w:type="paragraph" w:styleId="CommentSubject">
    <w:name w:val="annotation subject"/>
    <w:basedOn w:val="CommentText"/>
    <w:next w:val="CommentText"/>
    <w:link w:val="CommentSubjectChar"/>
    <w:uiPriority w:val="99"/>
    <w:semiHidden/>
    <w:unhideWhenUsed/>
    <w:rsid w:val="0082348A"/>
    <w:rPr>
      <w:b/>
      <w:bCs/>
    </w:rPr>
  </w:style>
  <w:style w:type="paragraph" w:styleId="BalloonText">
    <w:name w:val="Balloon Text"/>
    <w:basedOn w:val="Normal"/>
    <w:link w:val="BalloonTextChar"/>
    <w:uiPriority w:val="99"/>
    <w:semiHidden/>
    <w:unhideWhenUsed/>
    <w:rsid w:val="0082348A"/>
    <w:pPr>
      <w:spacing w:after="0" w:line="240" w:lineRule="auto"/>
    </w:pPr>
    <w:rPr>
      <w:rFonts w:ascii="Tahoma" w:hAnsi="Tahoma" w:cs="Tahoma"/>
      <w:sz w:val="16"/>
      <w:szCs w:val="16"/>
      <w:lang w:eastAsia="en-US"/>
    </w:rPr>
  </w:style>
  <w:style w:type="character" w:customStyle="1" w:styleId="BalloonTextChar">
    <w:name w:val="Balloon Text Char"/>
    <w:link w:val="BalloonText"/>
    <w:uiPriority w:val="99"/>
    <w:semiHidden/>
    <w:rsid w:val="0082348A"/>
    <w:rPr>
      <w:rFonts w:ascii="Tahoma" w:hAnsi="Tahoma" w:cs="Tahoma"/>
      <w:sz w:val="16"/>
      <w:szCs w:val="16"/>
      <w:lang w:eastAsia="en-US"/>
    </w:rPr>
  </w:style>
  <w:style w:type="paragraph" w:customStyle="1" w:styleId="Numberedheading2">
    <w:name w:val="Numbered heading 2"/>
    <w:basedOn w:val="Heading2"/>
    <w:next w:val="Normal"/>
    <w:autoRedefine/>
    <w:qFormat/>
    <w:rsid w:val="000127DD"/>
    <w:pPr>
      <w:numPr>
        <w:ilvl w:val="0"/>
        <w:numId w:val="0"/>
      </w:numPr>
      <w:tabs>
        <w:tab w:val="left" w:pos="1134"/>
      </w:tabs>
    </w:pPr>
    <w:rPr>
      <w:rFonts w:eastAsia="Times New Roman"/>
      <w:iCs/>
      <w:sz w:val="22"/>
      <w:szCs w:val="22"/>
    </w:rPr>
  </w:style>
  <w:style w:type="paragraph" w:styleId="Caption">
    <w:name w:val="caption"/>
    <w:basedOn w:val="Normal"/>
    <w:next w:val="Normal"/>
    <w:uiPriority w:val="35"/>
    <w:unhideWhenUsed/>
    <w:qFormat/>
    <w:rsid w:val="00FE2907"/>
    <w:pPr>
      <w:keepNext/>
      <w:spacing w:line="240" w:lineRule="auto"/>
    </w:pPr>
    <w:rPr>
      <w:rFonts w:ascii="Charter Roman" w:hAnsi="Charter Roman"/>
      <w:bCs/>
      <w:i/>
      <w:sz w:val="20"/>
      <w:szCs w:val="20"/>
      <w:lang w:eastAsia="en-US"/>
    </w:rPr>
  </w:style>
  <w:style w:type="character" w:styleId="Emphasis">
    <w:name w:val="Emphasis"/>
    <w:uiPriority w:val="20"/>
    <w:qFormat/>
    <w:rsid w:val="0082348A"/>
    <w:rPr>
      <w:b/>
      <w:bCs/>
      <w:i w:val="0"/>
      <w:iCs w:val="0"/>
    </w:rPr>
  </w:style>
  <w:style w:type="character" w:customStyle="1" w:styleId="st1">
    <w:name w:val="st1"/>
    <w:basedOn w:val="DefaultParagraphFont"/>
    <w:rsid w:val="0082348A"/>
  </w:style>
  <w:style w:type="character" w:customStyle="1" w:styleId="DateChar">
    <w:name w:val="Date Char"/>
    <w:basedOn w:val="DefaultParagraphFont"/>
    <w:link w:val="Date"/>
    <w:uiPriority w:val="99"/>
    <w:semiHidden/>
    <w:rsid w:val="0082348A"/>
  </w:style>
  <w:style w:type="paragraph" w:styleId="Date">
    <w:name w:val="Date"/>
    <w:basedOn w:val="Normal"/>
    <w:next w:val="Normal"/>
    <w:link w:val="DateChar"/>
    <w:uiPriority w:val="99"/>
    <w:semiHidden/>
    <w:unhideWhenUsed/>
    <w:rsid w:val="0082348A"/>
  </w:style>
  <w:style w:type="character" w:customStyle="1" w:styleId="referencetext">
    <w:name w:val="referencetext"/>
    <w:basedOn w:val="DefaultParagraphFont"/>
    <w:rsid w:val="0082348A"/>
  </w:style>
  <w:style w:type="character" w:customStyle="1" w:styleId="gsa">
    <w:name w:val="gs_a"/>
    <w:basedOn w:val="DefaultParagraphFont"/>
    <w:rsid w:val="0082348A"/>
  </w:style>
  <w:style w:type="paragraph" w:styleId="Header">
    <w:name w:val="header"/>
    <w:basedOn w:val="Normal"/>
    <w:link w:val="HeaderChar"/>
    <w:uiPriority w:val="99"/>
    <w:unhideWhenUsed/>
    <w:rsid w:val="00823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48A"/>
  </w:style>
  <w:style w:type="paragraph" w:styleId="Footer">
    <w:name w:val="footer"/>
    <w:basedOn w:val="Normal"/>
    <w:link w:val="FooterChar"/>
    <w:uiPriority w:val="99"/>
    <w:unhideWhenUsed/>
    <w:rsid w:val="00B34A77"/>
    <w:pPr>
      <w:tabs>
        <w:tab w:val="center" w:pos="4513"/>
        <w:tab w:val="right" w:pos="9026"/>
      </w:tabs>
      <w:spacing w:after="0" w:line="240" w:lineRule="auto"/>
    </w:pPr>
    <w:rPr>
      <w:rFonts w:ascii="Charter Roman" w:hAnsi="Charter Roman"/>
    </w:rPr>
  </w:style>
  <w:style w:type="character" w:customStyle="1" w:styleId="FooterChar">
    <w:name w:val="Footer Char"/>
    <w:link w:val="Footer"/>
    <w:uiPriority w:val="99"/>
    <w:rsid w:val="00B34A77"/>
    <w:rPr>
      <w:rFonts w:ascii="Charter Roman" w:hAnsi="Charter Roman"/>
    </w:rPr>
  </w:style>
  <w:style w:type="character" w:customStyle="1" w:styleId="apple-style-span">
    <w:name w:val="apple-style-span"/>
    <w:basedOn w:val="DefaultParagraphFont"/>
    <w:rsid w:val="0082348A"/>
  </w:style>
  <w:style w:type="character" w:customStyle="1" w:styleId="il">
    <w:name w:val="il"/>
    <w:basedOn w:val="DefaultParagraphFont"/>
    <w:rsid w:val="0082348A"/>
  </w:style>
  <w:style w:type="paragraph" w:styleId="TOCHeading">
    <w:name w:val="TOC Heading"/>
    <w:basedOn w:val="Heading1"/>
    <w:next w:val="Normal"/>
    <w:uiPriority w:val="39"/>
    <w:unhideWhenUsed/>
    <w:qFormat/>
    <w:rsid w:val="0082348A"/>
    <w:pPr>
      <w:numPr>
        <w:numId w:val="0"/>
      </w:numPr>
      <w:outlineLvl w:val="9"/>
    </w:pPr>
  </w:style>
  <w:style w:type="paragraph" w:styleId="TOC2">
    <w:name w:val="toc 2"/>
    <w:basedOn w:val="Normal"/>
    <w:next w:val="Normal"/>
    <w:autoRedefine/>
    <w:uiPriority w:val="39"/>
    <w:unhideWhenUsed/>
    <w:rsid w:val="00D22CE3"/>
    <w:pPr>
      <w:tabs>
        <w:tab w:val="right" w:leader="dot" w:pos="9016"/>
      </w:tabs>
      <w:spacing w:before="240" w:after="0"/>
      <w:jc w:val="left"/>
    </w:pPr>
    <w:rPr>
      <w:b/>
      <w:sz w:val="20"/>
      <w:szCs w:val="20"/>
    </w:rPr>
  </w:style>
  <w:style w:type="paragraph" w:styleId="TOC1">
    <w:name w:val="toc 1"/>
    <w:basedOn w:val="Normal"/>
    <w:next w:val="Normal"/>
    <w:autoRedefine/>
    <w:uiPriority w:val="39"/>
    <w:unhideWhenUsed/>
    <w:rsid w:val="00175183"/>
    <w:pPr>
      <w:spacing w:before="360" w:after="0"/>
    </w:pPr>
    <w:rPr>
      <w:b/>
      <w:caps/>
      <w:sz w:val="20"/>
      <w:szCs w:val="24"/>
    </w:rPr>
  </w:style>
  <w:style w:type="paragraph" w:styleId="NoSpacing">
    <w:name w:val="No Spacing"/>
    <w:uiPriority w:val="1"/>
    <w:qFormat/>
    <w:rsid w:val="0082348A"/>
    <w:rPr>
      <w:sz w:val="22"/>
      <w:szCs w:val="22"/>
      <w:lang w:val="en-US"/>
    </w:rPr>
  </w:style>
  <w:style w:type="paragraph" w:styleId="TOC3">
    <w:name w:val="toc 3"/>
    <w:basedOn w:val="Normal"/>
    <w:next w:val="Normal"/>
    <w:autoRedefine/>
    <w:uiPriority w:val="39"/>
    <w:unhideWhenUsed/>
    <w:rsid w:val="0082348A"/>
    <w:pPr>
      <w:spacing w:after="0"/>
      <w:ind w:left="220"/>
    </w:pPr>
    <w:rPr>
      <w:sz w:val="20"/>
      <w:szCs w:val="20"/>
    </w:rPr>
  </w:style>
  <w:style w:type="character" w:customStyle="1" w:styleId="apple-converted-space">
    <w:name w:val="apple-converted-space"/>
    <w:basedOn w:val="DefaultParagraphFont"/>
    <w:rsid w:val="0082348A"/>
  </w:style>
  <w:style w:type="paragraph" w:styleId="BodyText2">
    <w:name w:val="Body Text 2"/>
    <w:basedOn w:val="Normal"/>
    <w:link w:val="BodyText2Char"/>
    <w:uiPriority w:val="99"/>
    <w:rsid w:val="0082348A"/>
    <w:pPr>
      <w:spacing w:after="0" w:line="240" w:lineRule="auto"/>
    </w:pPr>
    <w:rPr>
      <w:rFonts w:ascii="Times New Roman" w:eastAsia="Times New Roman" w:hAnsi="Times New Roman" w:cs="Times New Roman"/>
      <w:szCs w:val="20"/>
      <w:lang w:eastAsia="en-US"/>
    </w:rPr>
  </w:style>
  <w:style w:type="character" w:customStyle="1" w:styleId="BodyText2Char">
    <w:name w:val="Body Text 2 Char"/>
    <w:link w:val="BodyText2"/>
    <w:uiPriority w:val="99"/>
    <w:rsid w:val="0082348A"/>
    <w:rPr>
      <w:rFonts w:ascii="Times New Roman" w:eastAsia="Times New Roman" w:hAnsi="Times New Roman" w:cs="Times New Roman"/>
      <w:szCs w:val="20"/>
      <w:lang w:eastAsia="en-US"/>
    </w:rPr>
  </w:style>
  <w:style w:type="paragraph" w:customStyle="1" w:styleId="Paragraph">
    <w:name w:val="Paragraph"/>
    <w:basedOn w:val="Normal"/>
    <w:uiPriority w:val="4"/>
    <w:qFormat/>
    <w:rsid w:val="0082348A"/>
    <w:pPr>
      <w:numPr>
        <w:numId w:val="1"/>
      </w:numPr>
      <w:spacing w:before="240" w:after="240"/>
      <w:ind w:left="709" w:hanging="709"/>
    </w:pPr>
    <w:rPr>
      <w:rFonts w:eastAsia="Times New Roman" w:cs="Times New Roman"/>
      <w:sz w:val="24"/>
      <w:szCs w:val="24"/>
      <w:lang w:eastAsia="en-GB"/>
    </w:rPr>
  </w:style>
  <w:style w:type="table" w:styleId="LightShading">
    <w:name w:val="Light Shading"/>
    <w:basedOn w:val="TableNormal"/>
    <w:uiPriority w:val="60"/>
    <w:rsid w:val="0082348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basedOn w:val="DefaultParagraphFont"/>
    <w:uiPriority w:val="99"/>
    <w:semiHidden/>
    <w:unhideWhenUsed/>
    <w:rsid w:val="0082348A"/>
  </w:style>
  <w:style w:type="character" w:styleId="CommentReference">
    <w:name w:val="annotation reference"/>
    <w:unhideWhenUsed/>
    <w:rsid w:val="00697BBB"/>
    <w:rPr>
      <w:sz w:val="16"/>
      <w:szCs w:val="16"/>
    </w:rPr>
  </w:style>
  <w:style w:type="paragraph" w:styleId="NormalWeb">
    <w:name w:val="Normal (Web)"/>
    <w:basedOn w:val="Normal"/>
    <w:uiPriority w:val="99"/>
    <w:unhideWhenUsed/>
    <w:rsid w:val="00697BBB"/>
    <w:pPr>
      <w:spacing w:before="100" w:beforeAutospacing="1" w:after="100" w:afterAutospacing="1" w:line="240" w:lineRule="auto"/>
    </w:pPr>
    <w:rPr>
      <w:rFonts w:ascii="Times" w:hAnsi="Times" w:cs="Times New Roman"/>
      <w:sz w:val="20"/>
      <w:szCs w:val="20"/>
      <w:lang w:val="en-IE" w:eastAsia="en-US"/>
    </w:rPr>
  </w:style>
  <w:style w:type="paragraph" w:styleId="FootnoteText">
    <w:name w:val="footnote text"/>
    <w:basedOn w:val="Normal"/>
    <w:link w:val="FootnoteTextChar"/>
    <w:uiPriority w:val="99"/>
    <w:unhideWhenUsed/>
    <w:rsid w:val="00697BBB"/>
    <w:pPr>
      <w:spacing w:after="0" w:line="240" w:lineRule="auto"/>
    </w:pPr>
    <w:rPr>
      <w:sz w:val="24"/>
      <w:szCs w:val="24"/>
      <w:lang w:eastAsia="en-US"/>
    </w:rPr>
  </w:style>
  <w:style w:type="character" w:customStyle="1" w:styleId="FootnoteTextChar">
    <w:name w:val="Footnote Text Char"/>
    <w:link w:val="FootnoteText"/>
    <w:uiPriority w:val="99"/>
    <w:rsid w:val="00697BBB"/>
    <w:rPr>
      <w:sz w:val="24"/>
      <w:szCs w:val="24"/>
      <w:lang w:eastAsia="en-US"/>
    </w:rPr>
  </w:style>
  <w:style w:type="character" w:styleId="FootnoteReference">
    <w:name w:val="footnote reference"/>
    <w:uiPriority w:val="99"/>
    <w:unhideWhenUsed/>
    <w:rsid w:val="00697BBB"/>
    <w:rPr>
      <w:vertAlign w:val="superscript"/>
    </w:rPr>
  </w:style>
  <w:style w:type="paragraph" w:styleId="Subtitle">
    <w:name w:val="Subtitle"/>
    <w:basedOn w:val="Normal"/>
    <w:next w:val="Normal"/>
    <w:link w:val="SubtitleChar"/>
    <w:uiPriority w:val="99"/>
    <w:qFormat/>
    <w:rsid w:val="00697BBB"/>
    <w:pPr>
      <w:numPr>
        <w:ilvl w:val="1"/>
      </w:numPr>
    </w:pPr>
    <w:rPr>
      <w:rFonts w:ascii="Cambria" w:hAnsi="Cambria" w:cs="Times New Roman"/>
      <w:i/>
      <w:iCs/>
      <w:color w:val="4F81BD"/>
      <w:spacing w:val="15"/>
      <w:sz w:val="24"/>
      <w:szCs w:val="24"/>
      <w:lang w:eastAsia="en-US"/>
    </w:rPr>
  </w:style>
  <w:style w:type="character" w:customStyle="1" w:styleId="SubtitleChar">
    <w:name w:val="Subtitle Char"/>
    <w:link w:val="Subtitle"/>
    <w:uiPriority w:val="99"/>
    <w:rsid w:val="00697BBB"/>
    <w:rPr>
      <w:rFonts w:ascii="Cambria" w:eastAsia="SimSun" w:hAnsi="Cambria" w:cs="Times New Roman"/>
      <w:i/>
      <w:iCs/>
      <w:color w:val="4F81BD"/>
      <w:spacing w:val="15"/>
      <w:sz w:val="24"/>
      <w:szCs w:val="24"/>
      <w:lang w:eastAsia="en-US"/>
    </w:rPr>
  </w:style>
  <w:style w:type="table" w:styleId="TableGrid">
    <w:name w:val="Table Grid"/>
    <w:basedOn w:val="TableNormal"/>
    <w:uiPriority w:val="39"/>
    <w:rsid w:val="00697BB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97BBB"/>
    <w:pPr>
      <w:widowControl w:val="0"/>
      <w:autoSpaceDE w:val="0"/>
      <w:autoSpaceDN w:val="0"/>
      <w:adjustRightInd w:val="0"/>
    </w:pPr>
    <w:rPr>
      <w:rFonts w:ascii="Arial" w:eastAsia="Calibri" w:hAnsi="Arial"/>
      <w:color w:val="000000"/>
      <w:lang w:val="en-US"/>
    </w:rPr>
  </w:style>
  <w:style w:type="table" w:customStyle="1" w:styleId="LightShading1">
    <w:name w:val="Light Shading1"/>
    <w:basedOn w:val="TableNormal"/>
    <w:uiPriority w:val="60"/>
    <w:rsid w:val="00DF3B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itedby">
    <w:name w:val="citedby_"/>
    <w:basedOn w:val="DefaultParagraphFont"/>
    <w:rsid w:val="00D84F49"/>
  </w:style>
  <w:style w:type="character" w:customStyle="1" w:styleId="st">
    <w:name w:val="st"/>
    <w:basedOn w:val="DefaultParagraphFont"/>
    <w:rsid w:val="00226B51"/>
  </w:style>
  <w:style w:type="character" w:styleId="EndnoteReference">
    <w:name w:val="endnote reference"/>
    <w:uiPriority w:val="99"/>
    <w:unhideWhenUsed/>
    <w:rsid w:val="00226B51"/>
    <w:rPr>
      <w:vertAlign w:val="superscript"/>
    </w:rPr>
  </w:style>
  <w:style w:type="paragraph" w:styleId="Revision">
    <w:name w:val="Revision"/>
    <w:hidden/>
    <w:uiPriority w:val="99"/>
    <w:semiHidden/>
    <w:rsid w:val="00226B51"/>
    <w:rPr>
      <w:sz w:val="22"/>
      <w:szCs w:val="22"/>
      <w:lang w:val="en-GB" w:eastAsia="zh-CN"/>
    </w:rPr>
  </w:style>
  <w:style w:type="table" w:styleId="LightShading-Accent1">
    <w:name w:val="Light Shading Accent 1"/>
    <w:basedOn w:val="TableNormal"/>
    <w:uiPriority w:val="60"/>
    <w:rsid w:val="00226B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uiPriority w:val="99"/>
    <w:semiHidden/>
    <w:rsid w:val="00295534"/>
    <w:rPr>
      <w:color w:val="808080"/>
    </w:rPr>
  </w:style>
  <w:style w:type="character" w:styleId="FollowedHyperlink">
    <w:name w:val="FollowedHyperlink"/>
    <w:uiPriority w:val="99"/>
    <w:semiHidden/>
    <w:unhideWhenUsed/>
    <w:rsid w:val="00295534"/>
    <w:rPr>
      <w:color w:val="800080"/>
      <w:u w:val="single"/>
    </w:rPr>
  </w:style>
  <w:style w:type="character" w:customStyle="1" w:styleId="InternetLink">
    <w:name w:val="Internet Link"/>
    <w:rsid w:val="00D00D26"/>
    <w:rPr>
      <w:color w:val="0000FF"/>
      <w:u w:val="single"/>
      <w:lang w:val="uz-Cyrl-UZ" w:eastAsia="uz-Cyrl-UZ" w:bidi="uz-Cyrl-UZ"/>
    </w:rPr>
  </w:style>
  <w:style w:type="paragraph" w:customStyle="1" w:styleId="EndNoteBibliographyTitle">
    <w:name w:val="EndNote Bibliography Title"/>
    <w:basedOn w:val="Normal"/>
    <w:link w:val="EndNoteBibliographyTitleChar"/>
    <w:rsid w:val="00D93220"/>
    <w:pPr>
      <w:spacing w:after="0"/>
      <w:jc w:val="center"/>
    </w:pPr>
    <w:rPr>
      <w:rFonts w:ascii="Calibri" w:hAnsi="Calibri" w:cs="Calibri"/>
    </w:rPr>
  </w:style>
  <w:style w:type="paragraph" w:customStyle="1" w:styleId="EndNoteBibliography">
    <w:name w:val="EndNote Bibliography"/>
    <w:basedOn w:val="Normal"/>
    <w:link w:val="EndNoteBibliographyChar"/>
    <w:rsid w:val="00D93220"/>
    <w:pPr>
      <w:spacing w:line="240" w:lineRule="auto"/>
    </w:pPr>
    <w:rPr>
      <w:rFonts w:ascii="Calibri" w:hAnsi="Calibri" w:cs="Calibri"/>
    </w:rPr>
  </w:style>
  <w:style w:type="paragraph" w:customStyle="1" w:styleId="EndNoteCategoryHeading">
    <w:name w:val="EndNote Category Heading"/>
    <w:basedOn w:val="Normal"/>
    <w:uiPriority w:val="99"/>
    <w:rsid w:val="00CC7528"/>
    <w:pPr>
      <w:spacing w:before="120" w:after="120"/>
    </w:pPr>
  </w:style>
  <w:style w:type="paragraph" w:customStyle="1" w:styleId="EndNoteCategoryTitle">
    <w:name w:val="EndNote Category Title"/>
    <w:basedOn w:val="Normal"/>
    <w:uiPriority w:val="99"/>
    <w:rsid w:val="00CC7528"/>
    <w:pPr>
      <w:spacing w:before="120" w:after="120"/>
      <w:jc w:val="center"/>
    </w:pPr>
  </w:style>
  <w:style w:type="paragraph" w:styleId="TOC4">
    <w:name w:val="toc 4"/>
    <w:basedOn w:val="Normal"/>
    <w:next w:val="Normal"/>
    <w:autoRedefine/>
    <w:uiPriority w:val="39"/>
    <w:unhideWhenUsed/>
    <w:rsid w:val="003A21EE"/>
    <w:pPr>
      <w:spacing w:after="0"/>
      <w:ind w:left="440"/>
    </w:pPr>
    <w:rPr>
      <w:sz w:val="20"/>
      <w:szCs w:val="20"/>
    </w:rPr>
  </w:style>
  <w:style w:type="paragraph" w:styleId="TOC5">
    <w:name w:val="toc 5"/>
    <w:basedOn w:val="Normal"/>
    <w:next w:val="Normal"/>
    <w:autoRedefine/>
    <w:uiPriority w:val="39"/>
    <w:unhideWhenUsed/>
    <w:rsid w:val="008315B2"/>
    <w:pPr>
      <w:tabs>
        <w:tab w:val="left" w:pos="1540"/>
        <w:tab w:val="right" w:leader="dot" w:pos="9016"/>
      </w:tabs>
      <w:spacing w:after="0"/>
      <w:ind w:left="660"/>
    </w:pPr>
    <w:rPr>
      <w:sz w:val="20"/>
      <w:szCs w:val="20"/>
    </w:rPr>
  </w:style>
  <w:style w:type="paragraph" w:styleId="TOC6">
    <w:name w:val="toc 6"/>
    <w:basedOn w:val="Normal"/>
    <w:next w:val="Normal"/>
    <w:autoRedefine/>
    <w:uiPriority w:val="39"/>
    <w:unhideWhenUsed/>
    <w:rsid w:val="003A21EE"/>
    <w:pPr>
      <w:spacing w:after="0"/>
      <w:ind w:left="880"/>
    </w:pPr>
    <w:rPr>
      <w:sz w:val="20"/>
      <w:szCs w:val="20"/>
    </w:rPr>
  </w:style>
  <w:style w:type="paragraph" w:styleId="TOC7">
    <w:name w:val="toc 7"/>
    <w:basedOn w:val="Normal"/>
    <w:next w:val="Normal"/>
    <w:autoRedefine/>
    <w:uiPriority w:val="39"/>
    <w:unhideWhenUsed/>
    <w:rsid w:val="003A21EE"/>
    <w:pPr>
      <w:spacing w:after="0"/>
      <w:ind w:left="1100"/>
    </w:pPr>
    <w:rPr>
      <w:sz w:val="20"/>
      <w:szCs w:val="20"/>
    </w:rPr>
  </w:style>
  <w:style w:type="paragraph" w:styleId="TOC8">
    <w:name w:val="toc 8"/>
    <w:basedOn w:val="Normal"/>
    <w:next w:val="Normal"/>
    <w:autoRedefine/>
    <w:uiPriority w:val="39"/>
    <w:unhideWhenUsed/>
    <w:rsid w:val="003A21EE"/>
    <w:pPr>
      <w:spacing w:after="0"/>
      <w:ind w:left="1320"/>
    </w:pPr>
    <w:rPr>
      <w:sz w:val="20"/>
      <w:szCs w:val="20"/>
    </w:rPr>
  </w:style>
  <w:style w:type="paragraph" w:styleId="TOC9">
    <w:name w:val="toc 9"/>
    <w:basedOn w:val="Normal"/>
    <w:next w:val="Normal"/>
    <w:autoRedefine/>
    <w:uiPriority w:val="39"/>
    <w:unhideWhenUsed/>
    <w:rsid w:val="003A21EE"/>
    <w:pPr>
      <w:spacing w:after="0"/>
      <w:ind w:left="1540"/>
    </w:pPr>
    <w:rPr>
      <w:sz w:val="20"/>
      <w:szCs w:val="20"/>
    </w:rPr>
  </w:style>
  <w:style w:type="character" w:customStyle="1" w:styleId="Heading5Char">
    <w:name w:val="Heading 5 Char"/>
    <w:link w:val="Heading5"/>
    <w:uiPriority w:val="9"/>
    <w:rsid w:val="00B16B8E"/>
    <w:rPr>
      <w:rFonts w:ascii="Arial" w:hAnsi="Arial"/>
      <w:i/>
      <w:sz w:val="22"/>
      <w:szCs w:val="22"/>
      <w:lang w:val="en-GB" w:eastAsia="zh-CN"/>
    </w:rPr>
  </w:style>
  <w:style w:type="character" w:customStyle="1" w:styleId="Heading6Char">
    <w:name w:val="Heading 6 Char"/>
    <w:link w:val="Heading6"/>
    <w:uiPriority w:val="9"/>
    <w:rsid w:val="00B16B8E"/>
    <w:rPr>
      <w:rFonts w:ascii="Arial" w:hAnsi="Arial"/>
      <w:sz w:val="22"/>
      <w:szCs w:val="22"/>
      <w:lang w:val="en-GB" w:eastAsia="zh-CN"/>
    </w:rPr>
  </w:style>
  <w:style w:type="character" w:customStyle="1" w:styleId="Heading7Char">
    <w:name w:val="Heading 7 Char"/>
    <w:link w:val="Heading7"/>
    <w:uiPriority w:val="9"/>
    <w:rsid w:val="006D2ACF"/>
    <w:rPr>
      <w:rFonts w:ascii="Arial" w:hAnsi="Arial"/>
      <w:b/>
      <w:bCs/>
      <w:i/>
      <w:sz w:val="28"/>
      <w:szCs w:val="28"/>
      <w:lang w:val="en-GB" w:eastAsia="zh-CN"/>
    </w:rPr>
  </w:style>
  <w:style w:type="character" w:customStyle="1" w:styleId="Heading8Char">
    <w:name w:val="Heading 8 Char"/>
    <w:link w:val="Heading8"/>
    <w:uiPriority w:val="9"/>
    <w:semiHidden/>
    <w:rsid w:val="00517A86"/>
    <w:rPr>
      <w:rFonts w:ascii="Cambria" w:hAnsi="Cambria" w:cs="Times New Roman"/>
      <w:color w:val="404040"/>
      <w:sz w:val="20"/>
      <w:szCs w:val="20"/>
      <w:lang w:val="en-GB" w:eastAsia="zh-CN"/>
    </w:rPr>
  </w:style>
  <w:style w:type="character" w:customStyle="1" w:styleId="Heading9Char">
    <w:name w:val="Heading 9 Char"/>
    <w:link w:val="Heading9"/>
    <w:uiPriority w:val="9"/>
    <w:semiHidden/>
    <w:rsid w:val="00517A86"/>
    <w:rPr>
      <w:rFonts w:ascii="Cambria" w:hAnsi="Cambria" w:cs="Times New Roman"/>
      <w:i/>
      <w:iCs/>
      <w:color w:val="404040"/>
      <w:sz w:val="20"/>
      <w:szCs w:val="20"/>
      <w:lang w:val="en-GB" w:eastAsia="zh-CN"/>
    </w:rPr>
  </w:style>
  <w:style w:type="paragraph" w:styleId="TableofFigures">
    <w:name w:val="table of figures"/>
    <w:basedOn w:val="Normal"/>
    <w:next w:val="Normal"/>
    <w:uiPriority w:val="99"/>
    <w:unhideWhenUsed/>
    <w:rsid w:val="007F0484"/>
    <w:pPr>
      <w:ind w:left="440" w:hanging="440"/>
    </w:pPr>
  </w:style>
  <w:style w:type="character" w:customStyle="1" w:styleId="EndnoteTextChar1">
    <w:name w:val="Endnote Text Char1"/>
    <w:uiPriority w:val="99"/>
    <w:semiHidden/>
    <w:rsid w:val="00E403D6"/>
    <w:rPr>
      <w:lang w:val="en-GB" w:eastAsia="zh-CN"/>
    </w:rPr>
  </w:style>
  <w:style w:type="character" w:customStyle="1" w:styleId="CommentTextChar1">
    <w:name w:val="Comment Text Char1"/>
    <w:uiPriority w:val="99"/>
    <w:semiHidden/>
    <w:rsid w:val="00E403D6"/>
    <w:rPr>
      <w:lang w:val="en-GB" w:eastAsia="zh-CN"/>
    </w:rPr>
  </w:style>
  <w:style w:type="character" w:customStyle="1" w:styleId="CommentSubjectChar1">
    <w:name w:val="Comment Subject Char1"/>
    <w:uiPriority w:val="99"/>
    <w:semiHidden/>
    <w:rsid w:val="00E403D6"/>
    <w:rPr>
      <w:b/>
      <w:bCs/>
      <w:sz w:val="20"/>
      <w:szCs w:val="20"/>
      <w:lang w:val="en-GB" w:eastAsia="zh-CN"/>
    </w:rPr>
  </w:style>
  <w:style w:type="character" w:customStyle="1" w:styleId="DateChar1">
    <w:name w:val="Date Char1"/>
    <w:uiPriority w:val="99"/>
    <w:semiHidden/>
    <w:rsid w:val="00E403D6"/>
    <w:rPr>
      <w:sz w:val="22"/>
      <w:szCs w:val="22"/>
      <w:lang w:val="en-GB" w:eastAsia="zh-CN"/>
    </w:rPr>
  </w:style>
  <w:style w:type="character" w:customStyle="1" w:styleId="ListParagraphChar">
    <w:name w:val="List Paragraph Char"/>
    <w:basedOn w:val="DefaultParagraphFont"/>
    <w:link w:val="ListParagraph"/>
    <w:uiPriority w:val="34"/>
    <w:rsid w:val="00CC7223"/>
    <w:rPr>
      <w:sz w:val="22"/>
      <w:szCs w:val="22"/>
      <w:lang w:val="en-GB"/>
    </w:rPr>
  </w:style>
  <w:style w:type="character" w:customStyle="1" w:styleId="EndNoteBibliographyTitleChar">
    <w:name w:val="EndNote Bibliography Title Char"/>
    <w:basedOn w:val="ListParagraphChar"/>
    <w:link w:val="EndNoteBibliographyTitle"/>
    <w:rsid w:val="00CC7223"/>
    <w:rPr>
      <w:rFonts w:cs="Calibri"/>
      <w:sz w:val="22"/>
      <w:szCs w:val="22"/>
      <w:lang w:val="en-GB" w:eastAsia="zh-CN"/>
    </w:rPr>
  </w:style>
  <w:style w:type="character" w:customStyle="1" w:styleId="EndNoteBibliographyChar">
    <w:name w:val="EndNote Bibliography Char"/>
    <w:basedOn w:val="ListParagraphChar"/>
    <w:link w:val="EndNoteBibliography"/>
    <w:rsid w:val="00CC7223"/>
    <w:rPr>
      <w:rFonts w:cs="Calibri"/>
      <w:sz w:val="22"/>
      <w:szCs w:val="22"/>
      <w:lang w:val="en-GB" w:eastAsia="zh-CN"/>
    </w:rPr>
  </w:style>
  <w:style w:type="paragraph" w:styleId="BodyText">
    <w:name w:val="Body Text"/>
    <w:basedOn w:val="Normal"/>
    <w:link w:val="BodyTextChar"/>
    <w:uiPriority w:val="99"/>
    <w:semiHidden/>
    <w:unhideWhenUsed/>
    <w:rsid w:val="007C5A74"/>
    <w:pPr>
      <w:spacing w:after="120"/>
    </w:pPr>
  </w:style>
  <w:style w:type="character" w:customStyle="1" w:styleId="BodyTextChar">
    <w:name w:val="Body Text Char"/>
    <w:basedOn w:val="DefaultParagraphFont"/>
    <w:link w:val="BodyText"/>
    <w:uiPriority w:val="99"/>
    <w:semiHidden/>
    <w:rsid w:val="007C5A74"/>
    <w:rPr>
      <w:sz w:val="22"/>
      <w:szCs w:val="22"/>
      <w:lang w:val="en-GB" w:eastAsia="zh-CN"/>
    </w:rPr>
  </w:style>
  <w:style w:type="table" w:styleId="PlainTable1">
    <w:name w:val="Plain Table 1"/>
    <w:basedOn w:val="TableNormal"/>
    <w:uiPriority w:val="41"/>
    <w:rsid w:val="00DC2DC3"/>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icode">
    <w:name w:val="unicode"/>
    <w:basedOn w:val="DefaultParagraphFont"/>
    <w:rsid w:val="00DC2DC3"/>
  </w:style>
  <w:style w:type="character" w:customStyle="1" w:styleId="BodyTextChar1">
    <w:name w:val="Body Text Char1"/>
    <w:basedOn w:val="DefaultParagraphFont"/>
    <w:uiPriority w:val="99"/>
    <w:semiHidden/>
    <w:rsid w:val="00D22CE3"/>
    <w:rPr>
      <w:rFonts w:ascii="Calibri" w:eastAsia="SimSun" w:hAnsi="Calibri" w:cs="Arial"/>
      <w:lang w:val="en-GB" w:eastAsia="zh-CN"/>
    </w:rPr>
  </w:style>
  <w:style w:type="table" w:customStyle="1" w:styleId="PlainTable11">
    <w:name w:val="Plain Table 11"/>
    <w:basedOn w:val="TableNormal"/>
    <w:uiPriority w:val="41"/>
    <w:rsid w:val="00D22CE3"/>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uiPriority w:val="99"/>
    <w:rsid w:val="00D22CE3"/>
    <w:pPr>
      <w:spacing w:before="100" w:beforeAutospacing="1" w:after="100" w:afterAutospacing="1" w:line="240" w:lineRule="auto"/>
    </w:pPr>
    <w:rPr>
      <w:rFonts w:ascii="Times" w:hAnsi="Times" w:cs="Times New Roman"/>
      <w:sz w:val="20"/>
      <w:szCs w:val="20"/>
      <w:lang w:val="en-IE" w:eastAsia="en-US"/>
    </w:rPr>
  </w:style>
  <w:style w:type="table" w:styleId="GridTable2">
    <w:name w:val="Grid Table 2"/>
    <w:basedOn w:val="TableNormal"/>
    <w:uiPriority w:val="47"/>
    <w:rsid w:val="00D22CE3"/>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71">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03658632">
      <w:bodyDiv w:val="1"/>
      <w:marLeft w:val="0"/>
      <w:marRight w:val="0"/>
      <w:marTop w:val="0"/>
      <w:marBottom w:val="0"/>
      <w:divBdr>
        <w:top w:val="none" w:sz="0" w:space="0" w:color="auto"/>
        <w:left w:val="none" w:sz="0" w:space="0" w:color="auto"/>
        <w:bottom w:val="none" w:sz="0" w:space="0" w:color="auto"/>
        <w:right w:val="none" w:sz="0" w:space="0" w:color="auto"/>
      </w:divBdr>
    </w:div>
    <w:div w:id="375662820">
      <w:bodyDiv w:val="1"/>
      <w:marLeft w:val="0"/>
      <w:marRight w:val="0"/>
      <w:marTop w:val="0"/>
      <w:marBottom w:val="0"/>
      <w:divBdr>
        <w:top w:val="none" w:sz="0" w:space="0" w:color="auto"/>
        <w:left w:val="none" w:sz="0" w:space="0" w:color="auto"/>
        <w:bottom w:val="none" w:sz="0" w:space="0" w:color="auto"/>
        <w:right w:val="none" w:sz="0" w:space="0" w:color="auto"/>
      </w:divBdr>
      <w:divsChild>
        <w:div w:id="246231896">
          <w:marLeft w:val="0"/>
          <w:marRight w:val="0"/>
          <w:marTop w:val="0"/>
          <w:marBottom w:val="0"/>
          <w:divBdr>
            <w:top w:val="none" w:sz="0" w:space="0" w:color="auto"/>
            <w:left w:val="none" w:sz="0" w:space="0" w:color="auto"/>
            <w:bottom w:val="none" w:sz="0" w:space="0" w:color="auto"/>
            <w:right w:val="none" w:sz="0" w:space="0" w:color="auto"/>
          </w:divBdr>
        </w:div>
        <w:div w:id="442188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8575039">
              <w:marLeft w:val="0"/>
              <w:marRight w:val="0"/>
              <w:marTop w:val="0"/>
              <w:marBottom w:val="0"/>
              <w:divBdr>
                <w:top w:val="none" w:sz="0" w:space="0" w:color="auto"/>
                <w:left w:val="none" w:sz="0" w:space="0" w:color="auto"/>
                <w:bottom w:val="none" w:sz="0" w:space="0" w:color="auto"/>
                <w:right w:val="none" w:sz="0" w:space="0" w:color="auto"/>
              </w:divBdr>
            </w:div>
            <w:div w:id="1063797566">
              <w:marLeft w:val="0"/>
              <w:marRight w:val="0"/>
              <w:marTop w:val="0"/>
              <w:marBottom w:val="0"/>
              <w:divBdr>
                <w:top w:val="none" w:sz="0" w:space="0" w:color="auto"/>
                <w:left w:val="none" w:sz="0" w:space="0" w:color="auto"/>
                <w:bottom w:val="none" w:sz="0" w:space="0" w:color="auto"/>
                <w:right w:val="none" w:sz="0" w:space="0" w:color="auto"/>
              </w:divBdr>
            </w:div>
          </w:divsChild>
        </w:div>
        <w:div w:id="105535670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399865081">
      <w:bodyDiv w:val="1"/>
      <w:marLeft w:val="0"/>
      <w:marRight w:val="0"/>
      <w:marTop w:val="0"/>
      <w:marBottom w:val="0"/>
      <w:divBdr>
        <w:top w:val="none" w:sz="0" w:space="0" w:color="auto"/>
        <w:left w:val="none" w:sz="0" w:space="0" w:color="auto"/>
        <w:bottom w:val="none" w:sz="0" w:space="0" w:color="auto"/>
        <w:right w:val="none" w:sz="0" w:space="0" w:color="auto"/>
      </w:divBdr>
    </w:div>
    <w:div w:id="460077966">
      <w:bodyDiv w:val="1"/>
      <w:marLeft w:val="0"/>
      <w:marRight w:val="0"/>
      <w:marTop w:val="0"/>
      <w:marBottom w:val="0"/>
      <w:divBdr>
        <w:top w:val="none" w:sz="0" w:space="0" w:color="auto"/>
        <w:left w:val="none" w:sz="0" w:space="0" w:color="auto"/>
        <w:bottom w:val="none" w:sz="0" w:space="0" w:color="auto"/>
        <w:right w:val="none" w:sz="0" w:space="0" w:color="auto"/>
      </w:divBdr>
    </w:div>
    <w:div w:id="487745071">
      <w:bodyDiv w:val="1"/>
      <w:marLeft w:val="0"/>
      <w:marRight w:val="0"/>
      <w:marTop w:val="0"/>
      <w:marBottom w:val="0"/>
      <w:divBdr>
        <w:top w:val="none" w:sz="0" w:space="0" w:color="auto"/>
        <w:left w:val="none" w:sz="0" w:space="0" w:color="auto"/>
        <w:bottom w:val="none" w:sz="0" w:space="0" w:color="auto"/>
        <w:right w:val="none" w:sz="0" w:space="0" w:color="auto"/>
      </w:divBdr>
    </w:div>
    <w:div w:id="489252720">
      <w:bodyDiv w:val="1"/>
      <w:marLeft w:val="0"/>
      <w:marRight w:val="0"/>
      <w:marTop w:val="0"/>
      <w:marBottom w:val="0"/>
      <w:divBdr>
        <w:top w:val="none" w:sz="0" w:space="0" w:color="auto"/>
        <w:left w:val="none" w:sz="0" w:space="0" w:color="auto"/>
        <w:bottom w:val="none" w:sz="0" w:space="0" w:color="auto"/>
        <w:right w:val="none" w:sz="0" w:space="0" w:color="auto"/>
      </w:divBdr>
    </w:div>
    <w:div w:id="513307774">
      <w:bodyDiv w:val="1"/>
      <w:marLeft w:val="0"/>
      <w:marRight w:val="0"/>
      <w:marTop w:val="0"/>
      <w:marBottom w:val="0"/>
      <w:divBdr>
        <w:top w:val="none" w:sz="0" w:space="0" w:color="auto"/>
        <w:left w:val="none" w:sz="0" w:space="0" w:color="auto"/>
        <w:bottom w:val="none" w:sz="0" w:space="0" w:color="auto"/>
        <w:right w:val="none" w:sz="0" w:space="0" w:color="auto"/>
      </w:divBdr>
    </w:div>
    <w:div w:id="597368820">
      <w:bodyDiv w:val="1"/>
      <w:marLeft w:val="0"/>
      <w:marRight w:val="0"/>
      <w:marTop w:val="0"/>
      <w:marBottom w:val="0"/>
      <w:divBdr>
        <w:top w:val="none" w:sz="0" w:space="0" w:color="auto"/>
        <w:left w:val="none" w:sz="0" w:space="0" w:color="auto"/>
        <w:bottom w:val="none" w:sz="0" w:space="0" w:color="auto"/>
        <w:right w:val="none" w:sz="0" w:space="0" w:color="auto"/>
      </w:divBdr>
    </w:div>
    <w:div w:id="662777921">
      <w:bodyDiv w:val="1"/>
      <w:marLeft w:val="0"/>
      <w:marRight w:val="0"/>
      <w:marTop w:val="0"/>
      <w:marBottom w:val="0"/>
      <w:divBdr>
        <w:top w:val="none" w:sz="0" w:space="0" w:color="auto"/>
        <w:left w:val="none" w:sz="0" w:space="0" w:color="auto"/>
        <w:bottom w:val="none" w:sz="0" w:space="0" w:color="auto"/>
        <w:right w:val="none" w:sz="0" w:space="0" w:color="auto"/>
      </w:divBdr>
    </w:div>
    <w:div w:id="707417609">
      <w:bodyDiv w:val="1"/>
      <w:marLeft w:val="0"/>
      <w:marRight w:val="0"/>
      <w:marTop w:val="0"/>
      <w:marBottom w:val="0"/>
      <w:divBdr>
        <w:top w:val="none" w:sz="0" w:space="0" w:color="auto"/>
        <w:left w:val="none" w:sz="0" w:space="0" w:color="auto"/>
        <w:bottom w:val="none" w:sz="0" w:space="0" w:color="auto"/>
        <w:right w:val="none" w:sz="0" w:space="0" w:color="auto"/>
      </w:divBdr>
    </w:div>
    <w:div w:id="797725768">
      <w:bodyDiv w:val="1"/>
      <w:marLeft w:val="0"/>
      <w:marRight w:val="0"/>
      <w:marTop w:val="0"/>
      <w:marBottom w:val="0"/>
      <w:divBdr>
        <w:top w:val="none" w:sz="0" w:space="0" w:color="auto"/>
        <w:left w:val="none" w:sz="0" w:space="0" w:color="auto"/>
        <w:bottom w:val="none" w:sz="0" w:space="0" w:color="auto"/>
        <w:right w:val="none" w:sz="0" w:space="0" w:color="auto"/>
      </w:divBdr>
    </w:div>
    <w:div w:id="813378939">
      <w:bodyDiv w:val="1"/>
      <w:marLeft w:val="0"/>
      <w:marRight w:val="0"/>
      <w:marTop w:val="0"/>
      <w:marBottom w:val="0"/>
      <w:divBdr>
        <w:top w:val="none" w:sz="0" w:space="0" w:color="auto"/>
        <w:left w:val="none" w:sz="0" w:space="0" w:color="auto"/>
        <w:bottom w:val="none" w:sz="0" w:space="0" w:color="auto"/>
        <w:right w:val="none" w:sz="0" w:space="0" w:color="auto"/>
      </w:divBdr>
    </w:div>
    <w:div w:id="818494947">
      <w:bodyDiv w:val="1"/>
      <w:marLeft w:val="0"/>
      <w:marRight w:val="0"/>
      <w:marTop w:val="0"/>
      <w:marBottom w:val="0"/>
      <w:divBdr>
        <w:top w:val="none" w:sz="0" w:space="0" w:color="auto"/>
        <w:left w:val="none" w:sz="0" w:space="0" w:color="auto"/>
        <w:bottom w:val="none" w:sz="0" w:space="0" w:color="auto"/>
        <w:right w:val="none" w:sz="0" w:space="0" w:color="auto"/>
      </w:divBdr>
    </w:div>
    <w:div w:id="829102276">
      <w:bodyDiv w:val="1"/>
      <w:marLeft w:val="0"/>
      <w:marRight w:val="0"/>
      <w:marTop w:val="0"/>
      <w:marBottom w:val="0"/>
      <w:divBdr>
        <w:top w:val="none" w:sz="0" w:space="0" w:color="auto"/>
        <w:left w:val="none" w:sz="0" w:space="0" w:color="auto"/>
        <w:bottom w:val="none" w:sz="0" w:space="0" w:color="auto"/>
        <w:right w:val="none" w:sz="0" w:space="0" w:color="auto"/>
      </w:divBdr>
    </w:div>
    <w:div w:id="842404297">
      <w:bodyDiv w:val="1"/>
      <w:marLeft w:val="0"/>
      <w:marRight w:val="0"/>
      <w:marTop w:val="0"/>
      <w:marBottom w:val="0"/>
      <w:divBdr>
        <w:top w:val="none" w:sz="0" w:space="0" w:color="auto"/>
        <w:left w:val="none" w:sz="0" w:space="0" w:color="auto"/>
        <w:bottom w:val="none" w:sz="0" w:space="0" w:color="auto"/>
        <w:right w:val="none" w:sz="0" w:space="0" w:color="auto"/>
      </w:divBdr>
    </w:div>
    <w:div w:id="882669788">
      <w:bodyDiv w:val="1"/>
      <w:marLeft w:val="0"/>
      <w:marRight w:val="0"/>
      <w:marTop w:val="0"/>
      <w:marBottom w:val="0"/>
      <w:divBdr>
        <w:top w:val="none" w:sz="0" w:space="0" w:color="auto"/>
        <w:left w:val="none" w:sz="0" w:space="0" w:color="auto"/>
        <w:bottom w:val="none" w:sz="0" w:space="0" w:color="auto"/>
        <w:right w:val="none" w:sz="0" w:space="0" w:color="auto"/>
      </w:divBdr>
    </w:div>
    <w:div w:id="969938156">
      <w:bodyDiv w:val="1"/>
      <w:marLeft w:val="0"/>
      <w:marRight w:val="0"/>
      <w:marTop w:val="0"/>
      <w:marBottom w:val="0"/>
      <w:divBdr>
        <w:top w:val="none" w:sz="0" w:space="0" w:color="auto"/>
        <w:left w:val="none" w:sz="0" w:space="0" w:color="auto"/>
        <w:bottom w:val="none" w:sz="0" w:space="0" w:color="auto"/>
        <w:right w:val="none" w:sz="0" w:space="0" w:color="auto"/>
      </w:divBdr>
    </w:div>
    <w:div w:id="974875650">
      <w:bodyDiv w:val="1"/>
      <w:marLeft w:val="0"/>
      <w:marRight w:val="0"/>
      <w:marTop w:val="0"/>
      <w:marBottom w:val="0"/>
      <w:divBdr>
        <w:top w:val="none" w:sz="0" w:space="0" w:color="auto"/>
        <w:left w:val="none" w:sz="0" w:space="0" w:color="auto"/>
        <w:bottom w:val="none" w:sz="0" w:space="0" w:color="auto"/>
        <w:right w:val="none" w:sz="0" w:space="0" w:color="auto"/>
      </w:divBdr>
    </w:div>
    <w:div w:id="1004089174">
      <w:bodyDiv w:val="1"/>
      <w:marLeft w:val="0"/>
      <w:marRight w:val="0"/>
      <w:marTop w:val="0"/>
      <w:marBottom w:val="0"/>
      <w:divBdr>
        <w:top w:val="none" w:sz="0" w:space="0" w:color="auto"/>
        <w:left w:val="none" w:sz="0" w:space="0" w:color="auto"/>
        <w:bottom w:val="none" w:sz="0" w:space="0" w:color="auto"/>
        <w:right w:val="none" w:sz="0" w:space="0" w:color="auto"/>
      </w:divBdr>
    </w:div>
    <w:div w:id="1033581172">
      <w:bodyDiv w:val="1"/>
      <w:marLeft w:val="0"/>
      <w:marRight w:val="0"/>
      <w:marTop w:val="0"/>
      <w:marBottom w:val="0"/>
      <w:divBdr>
        <w:top w:val="none" w:sz="0" w:space="0" w:color="auto"/>
        <w:left w:val="none" w:sz="0" w:space="0" w:color="auto"/>
        <w:bottom w:val="none" w:sz="0" w:space="0" w:color="auto"/>
        <w:right w:val="none" w:sz="0" w:space="0" w:color="auto"/>
      </w:divBdr>
    </w:div>
    <w:div w:id="1052927576">
      <w:bodyDiv w:val="1"/>
      <w:marLeft w:val="0"/>
      <w:marRight w:val="0"/>
      <w:marTop w:val="0"/>
      <w:marBottom w:val="0"/>
      <w:divBdr>
        <w:top w:val="none" w:sz="0" w:space="0" w:color="auto"/>
        <w:left w:val="none" w:sz="0" w:space="0" w:color="auto"/>
        <w:bottom w:val="none" w:sz="0" w:space="0" w:color="auto"/>
        <w:right w:val="none" w:sz="0" w:space="0" w:color="auto"/>
      </w:divBdr>
    </w:div>
    <w:div w:id="1094941086">
      <w:bodyDiv w:val="1"/>
      <w:marLeft w:val="0"/>
      <w:marRight w:val="0"/>
      <w:marTop w:val="0"/>
      <w:marBottom w:val="0"/>
      <w:divBdr>
        <w:top w:val="none" w:sz="0" w:space="0" w:color="auto"/>
        <w:left w:val="none" w:sz="0" w:space="0" w:color="auto"/>
        <w:bottom w:val="none" w:sz="0" w:space="0" w:color="auto"/>
        <w:right w:val="none" w:sz="0" w:space="0" w:color="auto"/>
      </w:divBdr>
    </w:div>
    <w:div w:id="1222209636">
      <w:bodyDiv w:val="1"/>
      <w:marLeft w:val="0"/>
      <w:marRight w:val="0"/>
      <w:marTop w:val="0"/>
      <w:marBottom w:val="0"/>
      <w:divBdr>
        <w:top w:val="none" w:sz="0" w:space="0" w:color="auto"/>
        <w:left w:val="none" w:sz="0" w:space="0" w:color="auto"/>
        <w:bottom w:val="none" w:sz="0" w:space="0" w:color="auto"/>
        <w:right w:val="none" w:sz="0" w:space="0" w:color="auto"/>
      </w:divBdr>
    </w:div>
    <w:div w:id="1251232916">
      <w:bodyDiv w:val="1"/>
      <w:marLeft w:val="0"/>
      <w:marRight w:val="0"/>
      <w:marTop w:val="0"/>
      <w:marBottom w:val="0"/>
      <w:divBdr>
        <w:top w:val="none" w:sz="0" w:space="0" w:color="auto"/>
        <w:left w:val="none" w:sz="0" w:space="0" w:color="auto"/>
        <w:bottom w:val="none" w:sz="0" w:space="0" w:color="auto"/>
        <w:right w:val="none" w:sz="0" w:space="0" w:color="auto"/>
      </w:divBdr>
    </w:div>
    <w:div w:id="1255700016">
      <w:bodyDiv w:val="1"/>
      <w:marLeft w:val="0"/>
      <w:marRight w:val="0"/>
      <w:marTop w:val="0"/>
      <w:marBottom w:val="0"/>
      <w:divBdr>
        <w:top w:val="none" w:sz="0" w:space="0" w:color="auto"/>
        <w:left w:val="none" w:sz="0" w:space="0" w:color="auto"/>
        <w:bottom w:val="none" w:sz="0" w:space="0" w:color="auto"/>
        <w:right w:val="none" w:sz="0" w:space="0" w:color="auto"/>
      </w:divBdr>
    </w:div>
    <w:div w:id="1267540165">
      <w:bodyDiv w:val="1"/>
      <w:marLeft w:val="0"/>
      <w:marRight w:val="0"/>
      <w:marTop w:val="0"/>
      <w:marBottom w:val="0"/>
      <w:divBdr>
        <w:top w:val="none" w:sz="0" w:space="0" w:color="auto"/>
        <w:left w:val="none" w:sz="0" w:space="0" w:color="auto"/>
        <w:bottom w:val="none" w:sz="0" w:space="0" w:color="auto"/>
        <w:right w:val="none" w:sz="0" w:space="0" w:color="auto"/>
      </w:divBdr>
    </w:div>
    <w:div w:id="1290866768">
      <w:bodyDiv w:val="1"/>
      <w:marLeft w:val="0"/>
      <w:marRight w:val="0"/>
      <w:marTop w:val="0"/>
      <w:marBottom w:val="0"/>
      <w:divBdr>
        <w:top w:val="none" w:sz="0" w:space="0" w:color="auto"/>
        <w:left w:val="none" w:sz="0" w:space="0" w:color="auto"/>
        <w:bottom w:val="none" w:sz="0" w:space="0" w:color="auto"/>
        <w:right w:val="none" w:sz="0" w:space="0" w:color="auto"/>
      </w:divBdr>
    </w:div>
    <w:div w:id="1339112203">
      <w:bodyDiv w:val="1"/>
      <w:marLeft w:val="0"/>
      <w:marRight w:val="0"/>
      <w:marTop w:val="0"/>
      <w:marBottom w:val="0"/>
      <w:divBdr>
        <w:top w:val="none" w:sz="0" w:space="0" w:color="auto"/>
        <w:left w:val="none" w:sz="0" w:space="0" w:color="auto"/>
        <w:bottom w:val="none" w:sz="0" w:space="0" w:color="auto"/>
        <w:right w:val="none" w:sz="0" w:space="0" w:color="auto"/>
      </w:divBdr>
    </w:div>
    <w:div w:id="1381708446">
      <w:bodyDiv w:val="1"/>
      <w:marLeft w:val="0"/>
      <w:marRight w:val="0"/>
      <w:marTop w:val="0"/>
      <w:marBottom w:val="0"/>
      <w:divBdr>
        <w:top w:val="none" w:sz="0" w:space="0" w:color="auto"/>
        <w:left w:val="none" w:sz="0" w:space="0" w:color="auto"/>
        <w:bottom w:val="none" w:sz="0" w:space="0" w:color="auto"/>
        <w:right w:val="none" w:sz="0" w:space="0" w:color="auto"/>
      </w:divBdr>
    </w:div>
    <w:div w:id="1385182388">
      <w:bodyDiv w:val="1"/>
      <w:marLeft w:val="0"/>
      <w:marRight w:val="0"/>
      <w:marTop w:val="0"/>
      <w:marBottom w:val="0"/>
      <w:divBdr>
        <w:top w:val="none" w:sz="0" w:space="0" w:color="auto"/>
        <w:left w:val="none" w:sz="0" w:space="0" w:color="auto"/>
        <w:bottom w:val="none" w:sz="0" w:space="0" w:color="auto"/>
        <w:right w:val="none" w:sz="0" w:space="0" w:color="auto"/>
      </w:divBdr>
    </w:div>
    <w:div w:id="1390154278">
      <w:bodyDiv w:val="1"/>
      <w:marLeft w:val="0"/>
      <w:marRight w:val="0"/>
      <w:marTop w:val="0"/>
      <w:marBottom w:val="0"/>
      <w:divBdr>
        <w:top w:val="none" w:sz="0" w:space="0" w:color="auto"/>
        <w:left w:val="none" w:sz="0" w:space="0" w:color="auto"/>
        <w:bottom w:val="none" w:sz="0" w:space="0" w:color="auto"/>
        <w:right w:val="none" w:sz="0" w:space="0" w:color="auto"/>
      </w:divBdr>
    </w:div>
    <w:div w:id="1393967788">
      <w:bodyDiv w:val="1"/>
      <w:marLeft w:val="0"/>
      <w:marRight w:val="0"/>
      <w:marTop w:val="0"/>
      <w:marBottom w:val="0"/>
      <w:divBdr>
        <w:top w:val="none" w:sz="0" w:space="0" w:color="auto"/>
        <w:left w:val="none" w:sz="0" w:space="0" w:color="auto"/>
        <w:bottom w:val="none" w:sz="0" w:space="0" w:color="auto"/>
        <w:right w:val="none" w:sz="0" w:space="0" w:color="auto"/>
      </w:divBdr>
    </w:div>
    <w:div w:id="1511260954">
      <w:bodyDiv w:val="1"/>
      <w:marLeft w:val="0"/>
      <w:marRight w:val="0"/>
      <w:marTop w:val="0"/>
      <w:marBottom w:val="0"/>
      <w:divBdr>
        <w:top w:val="none" w:sz="0" w:space="0" w:color="auto"/>
        <w:left w:val="none" w:sz="0" w:space="0" w:color="auto"/>
        <w:bottom w:val="none" w:sz="0" w:space="0" w:color="auto"/>
        <w:right w:val="none" w:sz="0" w:space="0" w:color="auto"/>
      </w:divBdr>
      <w:divsChild>
        <w:div w:id="1716809735">
          <w:marLeft w:val="0"/>
          <w:marRight w:val="0"/>
          <w:marTop w:val="0"/>
          <w:marBottom w:val="0"/>
          <w:divBdr>
            <w:top w:val="none" w:sz="0" w:space="0" w:color="auto"/>
            <w:left w:val="none" w:sz="0" w:space="0" w:color="auto"/>
            <w:bottom w:val="none" w:sz="0" w:space="0" w:color="auto"/>
            <w:right w:val="none" w:sz="0" w:space="0" w:color="auto"/>
          </w:divBdr>
        </w:div>
      </w:divsChild>
    </w:div>
    <w:div w:id="1527251452">
      <w:bodyDiv w:val="1"/>
      <w:marLeft w:val="0"/>
      <w:marRight w:val="0"/>
      <w:marTop w:val="0"/>
      <w:marBottom w:val="0"/>
      <w:divBdr>
        <w:top w:val="none" w:sz="0" w:space="0" w:color="auto"/>
        <w:left w:val="none" w:sz="0" w:space="0" w:color="auto"/>
        <w:bottom w:val="none" w:sz="0" w:space="0" w:color="auto"/>
        <w:right w:val="none" w:sz="0" w:space="0" w:color="auto"/>
      </w:divBdr>
      <w:divsChild>
        <w:div w:id="303395910">
          <w:marLeft w:val="0"/>
          <w:marRight w:val="0"/>
          <w:marTop w:val="0"/>
          <w:marBottom w:val="0"/>
          <w:divBdr>
            <w:top w:val="none" w:sz="0" w:space="0" w:color="auto"/>
            <w:left w:val="none" w:sz="0" w:space="0" w:color="auto"/>
            <w:bottom w:val="none" w:sz="0" w:space="0" w:color="auto"/>
            <w:right w:val="none" w:sz="0" w:space="0" w:color="auto"/>
          </w:divBdr>
        </w:div>
      </w:divsChild>
    </w:div>
    <w:div w:id="1551531223">
      <w:bodyDiv w:val="1"/>
      <w:marLeft w:val="0"/>
      <w:marRight w:val="0"/>
      <w:marTop w:val="0"/>
      <w:marBottom w:val="0"/>
      <w:divBdr>
        <w:top w:val="none" w:sz="0" w:space="0" w:color="auto"/>
        <w:left w:val="none" w:sz="0" w:space="0" w:color="auto"/>
        <w:bottom w:val="none" w:sz="0" w:space="0" w:color="auto"/>
        <w:right w:val="none" w:sz="0" w:space="0" w:color="auto"/>
      </w:divBdr>
    </w:div>
    <w:div w:id="1565144153">
      <w:bodyDiv w:val="1"/>
      <w:marLeft w:val="0"/>
      <w:marRight w:val="0"/>
      <w:marTop w:val="0"/>
      <w:marBottom w:val="0"/>
      <w:divBdr>
        <w:top w:val="none" w:sz="0" w:space="0" w:color="auto"/>
        <w:left w:val="none" w:sz="0" w:space="0" w:color="auto"/>
        <w:bottom w:val="none" w:sz="0" w:space="0" w:color="auto"/>
        <w:right w:val="none" w:sz="0" w:space="0" w:color="auto"/>
      </w:divBdr>
    </w:div>
    <w:div w:id="1598173577">
      <w:bodyDiv w:val="1"/>
      <w:marLeft w:val="0"/>
      <w:marRight w:val="0"/>
      <w:marTop w:val="0"/>
      <w:marBottom w:val="0"/>
      <w:divBdr>
        <w:top w:val="none" w:sz="0" w:space="0" w:color="auto"/>
        <w:left w:val="none" w:sz="0" w:space="0" w:color="auto"/>
        <w:bottom w:val="none" w:sz="0" w:space="0" w:color="auto"/>
        <w:right w:val="none" w:sz="0" w:space="0" w:color="auto"/>
      </w:divBdr>
    </w:div>
    <w:div w:id="1604531635">
      <w:bodyDiv w:val="1"/>
      <w:marLeft w:val="0"/>
      <w:marRight w:val="0"/>
      <w:marTop w:val="0"/>
      <w:marBottom w:val="0"/>
      <w:divBdr>
        <w:top w:val="none" w:sz="0" w:space="0" w:color="auto"/>
        <w:left w:val="none" w:sz="0" w:space="0" w:color="auto"/>
        <w:bottom w:val="none" w:sz="0" w:space="0" w:color="auto"/>
        <w:right w:val="none" w:sz="0" w:space="0" w:color="auto"/>
      </w:divBdr>
    </w:div>
    <w:div w:id="1622419213">
      <w:bodyDiv w:val="1"/>
      <w:marLeft w:val="0"/>
      <w:marRight w:val="0"/>
      <w:marTop w:val="0"/>
      <w:marBottom w:val="0"/>
      <w:divBdr>
        <w:top w:val="none" w:sz="0" w:space="0" w:color="auto"/>
        <w:left w:val="none" w:sz="0" w:space="0" w:color="auto"/>
        <w:bottom w:val="none" w:sz="0" w:space="0" w:color="auto"/>
        <w:right w:val="none" w:sz="0" w:space="0" w:color="auto"/>
      </w:divBdr>
    </w:div>
    <w:div w:id="1641572306">
      <w:bodyDiv w:val="1"/>
      <w:marLeft w:val="0"/>
      <w:marRight w:val="0"/>
      <w:marTop w:val="0"/>
      <w:marBottom w:val="0"/>
      <w:divBdr>
        <w:top w:val="none" w:sz="0" w:space="0" w:color="auto"/>
        <w:left w:val="none" w:sz="0" w:space="0" w:color="auto"/>
        <w:bottom w:val="none" w:sz="0" w:space="0" w:color="auto"/>
        <w:right w:val="none" w:sz="0" w:space="0" w:color="auto"/>
      </w:divBdr>
    </w:div>
    <w:div w:id="1654215958">
      <w:bodyDiv w:val="1"/>
      <w:marLeft w:val="0"/>
      <w:marRight w:val="0"/>
      <w:marTop w:val="0"/>
      <w:marBottom w:val="0"/>
      <w:divBdr>
        <w:top w:val="none" w:sz="0" w:space="0" w:color="auto"/>
        <w:left w:val="none" w:sz="0" w:space="0" w:color="auto"/>
        <w:bottom w:val="none" w:sz="0" w:space="0" w:color="auto"/>
        <w:right w:val="none" w:sz="0" w:space="0" w:color="auto"/>
      </w:divBdr>
    </w:div>
    <w:div w:id="1660306707">
      <w:bodyDiv w:val="1"/>
      <w:marLeft w:val="0"/>
      <w:marRight w:val="0"/>
      <w:marTop w:val="0"/>
      <w:marBottom w:val="0"/>
      <w:divBdr>
        <w:top w:val="none" w:sz="0" w:space="0" w:color="auto"/>
        <w:left w:val="none" w:sz="0" w:space="0" w:color="auto"/>
        <w:bottom w:val="none" w:sz="0" w:space="0" w:color="auto"/>
        <w:right w:val="none" w:sz="0" w:space="0" w:color="auto"/>
      </w:divBdr>
    </w:div>
    <w:div w:id="1665619370">
      <w:bodyDiv w:val="1"/>
      <w:marLeft w:val="0"/>
      <w:marRight w:val="0"/>
      <w:marTop w:val="0"/>
      <w:marBottom w:val="0"/>
      <w:divBdr>
        <w:top w:val="none" w:sz="0" w:space="0" w:color="auto"/>
        <w:left w:val="none" w:sz="0" w:space="0" w:color="auto"/>
        <w:bottom w:val="none" w:sz="0" w:space="0" w:color="auto"/>
        <w:right w:val="none" w:sz="0" w:space="0" w:color="auto"/>
      </w:divBdr>
    </w:div>
    <w:div w:id="1675499730">
      <w:bodyDiv w:val="1"/>
      <w:marLeft w:val="0"/>
      <w:marRight w:val="0"/>
      <w:marTop w:val="0"/>
      <w:marBottom w:val="0"/>
      <w:divBdr>
        <w:top w:val="none" w:sz="0" w:space="0" w:color="auto"/>
        <w:left w:val="none" w:sz="0" w:space="0" w:color="auto"/>
        <w:bottom w:val="none" w:sz="0" w:space="0" w:color="auto"/>
        <w:right w:val="none" w:sz="0" w:space="0" w:color="auto"/>
      </w:divBdr>
      <w:divsChild>
        <w:div w:id="11079623">
          <w:marLeft w:val="0"/>
          <w:marRight w:val="0"/>
          <w:marTop w:val="0"/>
          <w:marBottom w:val="0"/>
          <w:divBdr>
            <w:top w:val="none" w:sz="0" w:space="0" w:color="auto"/>
            <w:left w:val="none" w:sz="0" w:space="0" w:color="auto"/>
            <w:bottom w:val="none" w:sz="0" w:space="0" w:color="auto"/>
            <w:right w:val="none" w:sz="0" w:space="0" w:color="auto"/>
          </w:divBdr>
        </w:div>
        <w:div w:id="1322660871">
          <w:marLeft w:val="0"/>
          <w:marRight w:val="0"/>
          <w:marTop w:val="0"/>
          <w:marBottom w:val="0"/>
          <w:divBdr>
            <w:top w:val="none" w:sz="0" w:space="0" w:color="auto"/>
            <w:left w:val="none" w:sz="0" w:space="0" w:color="auto"/>
            <w:bottom w:val="none" w:sz="0" w:space="0" w:color="auto"/>
            <w:right w:val="none" w:sz="0" w:space="0" w:color="auto"/>
          </w:divBdr>
          <w:divsChild>
            <w:div w:id="438531349">
              <w:marLeft w:val="0"/>
              <w:marRight w:val="0"/>
              <w:marTop w:val="0"/>
              <w:marBottom w:val="0"/>
              <w:divBdr>
                <w:top w:val="none" w:sz="0" w:space="0" w:color="auto"/>
                <w:left w:val="none" w:sz="0" w:space="0" w:color="auto"/>
                <w:bottom w:val="none" w:sz="0" w:space="0" w:color="auto"/>
                <w:right w:val="none" w:sz="0" w:space="0" w:color="auto"/>
              </w:divBdr>
            </w:div>
            <w:div w:id="498891678">
              <w:marLeft w:val="0"/>
              <w:marRight w:val="0"/>
              <w:marTop w:val="0"/>
              <w:marBottom w:val="0"/>
              <w:divBdr>
                <w:top w:val="none" w:sz="0" w:space="0" w:color="auto"/>
                <w:left w:val="none" w:sz="0" w:space="0" w:color="auto"/>
                <w:bottom w:val="none" w:sz="0" w:space="0" w:color="auto"/>
                <w:right w:val="none" w:sz="0" w:space="0" w:color="auto"/>
              </w:divBdr>
            </w:div>
            <w:div w:id="826434629">
              <w:marLeft w:val="0"/>
              <w:marRight w:val="0"/>
              <w:marTop w:val="0"/>
              <w:marBottom w:val="0"/>
              <w:divBdr>
                <w:top w:val="none" w:sz="0" w:space="0" w:color="auto"/>
                <w:left w:val="none" w:sz="0" w:space="0" w:color="auto"/>
                <w:bottom w:val="none" w:sz="0" w:space="0" w:color="auto"/>
                <w:right w:val="none" w:sz="0" w:space="0" w:color="auto"/>
              </w:divBdr>
            </w:div>
            <w:div w:id="1047728832">
              <w:marLeft w:val="0"/>
              <w:marRight w:val="0"/>
              <w:marTop w:val="0"/>
              <w:marBottom w:val="0"/>
              <w:divBdr>
                <w:top w:val="none" w:sz="0" w:space="0" w:color="auto"/>
                <w:left w:val="none" w:sz="0" w:space="0" w:color="auto"/>
                <w:bottom w:val="none" w:sz="0" w:space="0" w:color="auto"/>
                <w:right w:val="none" w:sz="0" w:space="0" w:color="auto"/>
              </w:divBdr>
            </w:div>
            <w:div w:id="1304389813">
              <w:marLeft w:val="0"/>
              <w:marRight w:val="0"/>
              <w:marTop w:val="0"/>
              <w:marBottom w:val="0"/>
              <w:divBdr>
                <w:top w:val="none" w:sz="0" w:space="0" w:color="auto"/>
                <w:left w:val="none" w:sz="0" w:space="0" w:color="auto"/>
                <w:bottom w:val="none" w:sz="0" w:space="0" w:color="auto"/>
                <w:right w:val="none" w:sz="0" w:space="0" w:color="auto"/>
              </w:divBdr>
            </w:div>
            <w:div w:id="16055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4721">
      <w:bodyDiv w:val="1"/>
      <w:marLeft w:val="0"/>
      <w:marRight w:val="0"/>
      <w:marTop w:val="0"/>
      <w:marBottom w:val="0"/>
      <w:divBdr>
        <w:top w:val="none" w:sz="0" w:space="0" w:color="auto"/>
        <w:left w:val="none" w:sz="0" w:space="0" w:color="auto"/>
        <w:bottom w:val="none" w:sz="0" w:space="0" w:color="auto"/>
        <w:right w:val="none" w:sz="0" w:space="0" w:color="auto"/>
      </w:divBdr>
    </w:div>
    <w:div w:id="1813404179">
      <w:bodyDiv w:val="1"/>
      <w:marLeft w:val="0"/>
      <w:marRight w:val="0"/>
      <w:marTop w:val="0"/>
      <w:marBottom w:val="0"/>
      <w:divBdr>
        <w:top w:val="none" w:sz="0" w:space="0" w:color="auto"/>
        <w:left w:val="none" w:sz="0" w:space="0" w:color="auto"/>
        <w:bottom w:val="none" w:sz="0" w:space="0" w:color="auto"/>
        <w:right w:val="none" w:sz="0" w:space="0" w:color="auto"/>
      </w:divBdr>
    </w:div>
    <w:div w:id="1818447274">
      <w:bodyDiv w:val="1"/>
      <w:marLeft w:val="0"/>
      <w:marRight w:val="0"/>
      <w:marTop w:val="0"/>
      <w:marBottom w:val="0"/>
      <w:divBdr>
        <w:top w:val="none" w:sz="0" w:space="0" w:color="auto"/>
        <w:left w:val="none" w:sz="0" w:space="0" w:color="auto"/>
        <w:bottom w:val="none" w:sz="0" w:space="0" w:color="auto"/>
        <w:right w:val="none" w:sz="0" w:space="0" w:color="auto"/>
      </w:divBdr>
    </w:div>
    <w:div w:id="1841312058">
      <w:bodyDiv w:val="1"/>
      <w:marLeft w:val="0"/>
      <w:marRight w:val="0"/>
      <w:marTop w:val="0"/>
      <w:marBottom w:val="0"/>
      <w:divBdr>
        <w:top w:val="none" w:sz="0" w:space="0" w:color="auto"/>
        <w:left w:val="none" w:sz="0" w:space="0" w:color="auto"/>
        <w:bottom w:val="none" w:sz="0" w:space="0" w:color="auto"/>
        <w:right w:val="none" w:sz="0" w:space="0" w:color="auto"/>
      </w:divBdr>
      <w:divsChild>
        <w:div w:id="4400994">
          <w:marLeft w:val="0"/>
          <w:marRight w:val="0"/>
          <w:marTop w:val="0"/>
          <w:marBottom w:val="0"/>
          <w:divBdr>
            <w:top w:val="none" w:sz="0" w:space="0" w:color="auto"/>
            <w:left w:val="none" w:sz="0" w:space="0" w:color="auto"/>
            <w:bottom w:val="none" w:sz="0" w:space="0" w:color="auto"/>
            <w:right w:val="none" w:sz="0" w:space="0" w:color="auto"/>
          </w:divBdr>
        </w:div>
        <w:div w:id="503782739">
          <w:marLeft w:val="0"/>
          <w:marRight w:val="0"/>
          <w:marTop w:val="0"/>
          <w:marBottom w:val="0"/>
          <w:divBdr>
            <w:top w:val="none" w:sz="0" w:space="0" w:color="auto"/>
            <w:left w:val="none" w:sz="0" w:space="0" w:color="auto"/>
            <w:bottom w:val="none" w:sz="0" w:space="0" w:color="auto"/>
            <w:right w:val="none" w:sz="0" w:space="0" w:color="auto"/>
          </w:divBdr>
        </w:div>
        <w:div w:id="1296376605">
          <w:marLeft w:val="0"/>
          <w:marRight w:val="0"/>
          <w:marTop w:val="0"/>
          <w:marBottom w:val="0"/>
          <w:divBdr>
            <w:top w:val="none" w:sz="0" w:space="0" w:color="auto"/>
            <w:left w:val="none" w:sz="0" w:space="0" w:color="auto"/>
            <w:bottom w:val="none" w:sz="0" w:space="0" w:color="auto"/>
            <w:right w:val="none" w:sz="0" w:space="0" w:color="auto"/>
          </w:divBdr>
        </w:div>
        <w:div w:id="1720594428">
          <w:marLeft w:val="0"/>
          <w:marRight w:val="0"/>
          <w:marTop w:val="0"/>
          <w:marBottom w:val="0"/>
          <w:divBdr>
            <w:top w:val="none" w:sz="0" w:space="0" w:color="auto"/>
            <w:left w:val="none" w:sz="0" w:space="0" w:color="auto"/>
            <w:bottom w:val="none" w:sz="0" w:space="0" w:color="auto"/>
            <w:right w:val="none" w:sz="0" w:space="0" w:color="auto"/>
          </w:divBdr>
        </w:div>
        <w:div w:id="1960526125">
          <w:marLeft w:val="0"/>
          <w:marRight w:val="0"/>
          <w:marTop w:val="0"/>
          <w:marBottom w:val="0"/>
          <w:divBdr>
            <w:top w:val="none" w:sz="0" w:space="0" w:color="auto"/>
            <w:left w:val="none" w:sz="0" w:space="0" w:color="auto"/>
            <w:bottom w:val="none" w:sz="0" w:space="0" w:color="auto"/>
            <w:right w:val="none" w:sz="0" w:space="0" w:color="auto"/>
          </w:divBdr>
        </w:div>
      </w:divsChild>
    </w:div>
    <w:div w:id="1887986308">
      <w:bodyDiv w:val="1"/>
      <w:marLeft w:val="0"/>
      <w:marRight w:val="0"/>
      <w:marTop w:val="0"/>
      <w:marBottom w:val="0"/>
      <w:divBdr>
        <w:top w:val="none" w:sz="0" w:space="0" w:color="auto"/>
        <w:left w:val="none" w:sz="0" w:space="0" w:color="auto"/>
        <w:bottom w:val="none" w:sz="0" w:space="0" w:color="auto"/>
        <w:right w:val="none" w:sz="0" w:space="0" w:color="auto"/>
      </w:divBdr>
    </w:div>
    <w:div w:id="1899780069">
      <w:bodyDiv w:val="1"/>
      <w:marLeft w:val="0"/>
      <w:marRight w:val="0"/>
      <w:marTop w:val="0"/>
      <w:marBottom w:val="0"/>
      <w:divBdr>
        <w:top w:val="none" w:sz="0" w:space="0" w:color="auto"/>
        <w:left w:val="none" w:sz="0" w:space="0" w:color="auto"/>
        <w:bottom w:val="none" w:sz="0" w:space="0" w:color="auto"/>
        <w:right w:val="none" w:sz="0" w:space="0" w:color="auto"/>
      </w:divBdr>
    </w:div>
    <w:div w:id="1901362602">
      <w:bodyDiv w:val="1"/>
      <w:marLeft w:val="0"/>
      <w:marRight w:val="0"/>
      <w:marTop w:val="0"/>
      <w:marBottom w:val="0"/>
      <w:divBdr>
        <w:top w:val="none" w:sz="0" w:space="0" w:color="auto"/>
        <w:left w:val="none" w:sz="0" w:space="0" w:color="auto"/>
        <w:bottom w:val="none" w:sz="0" w:space="0" w:color="auto"/>
        <w:right w:val="none" w:sz="0" w:space="0" w:color="auto"/>
      </w:divBdr>
    </w:div>
    <w:div w:id="1902710514">
      <w:bodyDiv w:val="1"/>
      <w:marLeft w:val="0"/>
      <w:marRight w:val="0"/>
      <w:marTop w:val="0"/>
      <w:marBottom w:val="0"/>
      <w:divBdr>
        <w:top w:val="none" w:sz="0" w:space="0" w:color="auto"/>
        <w:left w:val="none" w:sz="0" w:space="0" w:color="auto"/>
        <w:bottom w:val="none" w:sz="0" w:space="0" w:color="auto"/>
        <w:right w:val="none" w:sz="0" w:space="0" w:color="auto"/>
      </w:divBdr>
    </w:div>
    <w:div w:id="1967152378">
      <w:bodyDiv w:val="1"/>
      <w:marLeft w:val="0"/>
      <w:marRight w:val="0"/>
      <w:marTop w:val="0"/>
      <w:marBottom w:val="0"/>
      <w:divBdr>
        <w:top w:val="none" w:sz="0" w:space="0" w:color="auto"/>
        <w:left w:val="none" w:sz="0" w:space="0" w:color="auto"/>
        <w:bottom w:val="none" w:sz="0" w:space="0" w:color="auto"/>
        <w:right w:val="none" w:sz="0" w:space="0" w:color="auto"/>
      </w:divBdr>
    </w:div>
    <w:div w:id="1978997085">
      <w:bodyDiv w:val="1"/>
      <w:marLeft w:val="0"/>
      <w:marRight w:val="0"/>
      <w:marTop w:val="0"/>
      <w:marBottom w:val="0"/>
      <w:divBdr>
        <w:top w:val="none" w:sz="0" w:space="0" w:color="auto"/>
        <w:left w:val="none" w:sz="0" w:space="0" w:color="auto"/>
        <w:bottom w:val="none" w:sz="0" w:space="0" w:color="auto"/>
        <w:right w:val="none" w:sz="0" w:space="0" w:color="auto"/>
      </w:divBdr>
    </w:div>
    <w:div w:id="2044551534">
      <w:bodyDiv w:val="1"/>
      <w:marLeft w:val="0"/>
      <w:marRight w:val="0"/>
      <w:marTop w:val="0"/>
      <w:marBottom w:val="0"/>
      <w:divBdr>
        <w:top w:val="none" w:sz="0" w:space="0" w:color="auto"/>
        <w:left w:val="none" w:sz="0" w:space="0" w:color="auto"/>
        <w:bottom w:val="none" w:sz="0" w:space="0" w:color="auto"/>
        <w:right w:val="none" w:sz="0" w:space="0" w:color="auto"/>
      </w:divBdr>
    </w:div>
    <w:div w:id="2051690131">
      <w:bodyDiv w:val="1"/>
      <w:marLeft w:val="0"/>
      <w:marRight w:val="0"/>
      <w:marTop w:val="0"/>
      <w:marBottom w:val="0"/>
      <w:divBdr>
        <w:top w:val="none" w:sz="0" w:space="0" w:color="auto"/>
        <w:left w:val="none" w:sz="0" w:space="0" w:color="auto"/>
        <w:bottom w:val="none" w:sz="0" w:space="0" w:color="auto"/>
        <w:right w:val="none" w:sz="0" w:space="0" w:color="auto"/>
      </w:divBdr>
    </w:div>
    <w:div w:id="209520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image" Target="media/image5.png"/><Relationship Id="rId34" Type="http://schemas.openxmlformats.org/officeDocument/2006/relationships/diagramQuickStyle" Target="diagrams/quickStyle1.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9.xml"/><Relationship Id="rId63" Type="http://schemas.openxmlformats.org/officeDocument/2006/relationships/hyperlink" Target="http://www.nice.org.uk/About/What-we-do/Into-practice/Return-on-investment-tools/Tobacco-Return-on-Investment-tool" TargetMode="External"/><Relationship Id="rId68" Type="http://schemas.openxmlformats.org/officeDocument/2006/relationships/image" Target="media/image32.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diagramData" Target="diagrams/data1.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footer" Target="footer7.xml"/><Relationship Id="rId58" Type="http://schemas.openxmlformats.org/officeDocument/2006/relationships/hyperlink" Target="http://www.nhshistory.net/shorthistory.htm" TargetMode="External"/><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nice.org.uk/Media/Default/About/Who-we-are/NICE_Charter.pdf" TargetMode="Externa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www.mcdmsociety.org/intro.html" TargetMode="External"/><Relationship Id="rId65" Type="http://schemas.openxmlformats.org/officeDocument/2006/relationships/hyperlink" Target="http://www.nhs.uk/news/2012/08august/Pages/gastric-bypass-surgery-up-fivefold-in-six-years.aspx" TargetMode="External"/><Relationship Id="rId73" Type="http://schemas.openxmlformats.org/officeDocument/2006/relationships/image" Target="media/image37.png"/><Relationship Id="rId78"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footer" Target="footer6.xml"/><Relationship Id="rId48" Type="http://schemas.openxmlformats.org/officeDocument/2006/relationships/image" Target="media/image25.png"/><Relationship Id="rId56" Type="http://schemas.openxmlformats.org/officeDocument/2006/relationships/footer" Target="footer10.xml"/><Relationship Id="rId64" Type="http://schemas.openxmlformats.org/officeDocument/2006/relationships/hyperlink" Target="http://www.nice.org.uk/About/What-we-do/Into-practice/Return-on-investment-tools/Alcohol-return-on-investment-tool" TargetMode="External"/><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3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oter" Target="footer5.xml"/><Relationship Id="rId33" Type="http://schemas.openxmlformats.org/officeDocument/2006/relationships/diagramLayout" Target="diagrams/layout1.xml"/><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hyperlink" Target="http://www.nice.org.uk/Media/Default/Get-involved/Citizens-Council/Reports/CCReport06RuleOfRescue.pdf" TargetMode="External"/><Relationship Id="rId67" Type="http://schemas.openxmlformats.org/officeDocument/2006/relationships/image" Target="media/image31.png"/><Relationship Id="rId20" Type="http://schemas.openxmlformats.org/officeDocument/2006/relationships/chart" Target="charts/chart5.xml"/><Relationship Id="rId41" Type="http://schemas.openxmlformats.org/officeDocument/2006/relationships/image" Target="media/image19.emf"/><Relationship Id="rId54" Type="http://schemas.openxmlformats.org/officeDocument/2006/relationships/footer" Target="footer8.xml"/><Relationship Id="rId62" Type="http://schemas.openxmlformats.org/officeDocument/2006/relationships/hyperlink" Target="http://www.nice.org.uk/About/What-we-do/Into-practice/Return-on-investment-tools/Physical-activity-return-on-investment-tool" TargetMode="External"/><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36" Type="http://schemas.microsoft.com/office/2007/relationships/diagramDrawing" Target="diagrams/drawing1.xml"/><Relationship Id="rId49" Type="http://schemas.openxmlformats.org/officeDocument/2006/relationships/image" Target="media/image26.png"/><Relationship Id="rId57" Type="http://schemas.openxmlformats.org/officeDocument/2006/relationships/hyperlink" Target="http://www.johnsnowsociety.org/johnsnow/fact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brianreddy:Desktop:Thesis:Chap%203-%20Sys%20Review:List%20of%20pubs:List%20of%20pubs%20with%202011+%20highlighted.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brianreddy:Desktop:Thesis:Chap%203-%20Sys%20Review:List%20of%20pubs:List%20of%20pubs%20with%202011+%20highlighted.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brianreddy:Desktop:Thesis:Chap%203-%20Sys%20Review:List%20of%20pubs:List%20of%20pubs%20with%202011+%20highlighted.6.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brianreddy:Desktop:Thesis:Chap%203-%20Sys%20Review:List%20of%20pubs:List%20of%20pubs%20with%202011+%20highlighted.6.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001458151064399E-2"/>
          <c:y val="0.15861811023622399"/>
          <c:w val="0.93354675721953095"/>
          <c:h val="0.66244791116701995"/>
        </c:manualLayout>
      </c:layout>
      <c:lineChart>
        <c:grouping val="standard"/>
        <c:varyColors val="0"/>
        <c:ser>
          <c:idx val="0"/>
          <c:order val="0"/>
          <c:tx>
            <c:strRef>
              <c:f>Sheet1!$C$7</c:f>
              <c:strCache>
                <c:ptCount val="1"/>
                <c:pt idx="0">
                  <c:v>No screening</c:v>
                </c:pt>
              </c:strCache>
            </c:strRef>
          </c:tx>
          <c:spPr>
            <a:ln w="44450" cmpd="dbl">
              <a:solidFill>
                <a:srgbClr val="F79646">
                  <a:lumMod val="60000"/>
                  <a:lumOff val="40000"/>
                </a:srgbClr>
              </a:solidFill>
            </a:ln>
          </c:spPr>
          <c:marker>
            <c:symbol val="none"/>
          </c:marker>
          <c:cat>
            <c:strRef>
              <c:f>Sheet1!$D$6:$I$6</c:f>
              <c:strCache>
                <c:ptCount val="6"/>
                <c:pt idx="0">
                  <c:v>Avoid Cancer</c:v>
                </c:pt>
                <c:pt idx="1">
                  <c:v>Avoid side effects</c:v>
                </c:pt>
                <c:pt idx="2">
                  <c:v>Avoid false positives</c:v>
                </c:pt>
                <c:pt idx="3">
                  <c:v>Frequency</c:v>
                </c:pt>
                <c:pt idx="4">
                  <c:v>Test preparation</c:v>
                </c:pt>
                <c:pt idx="5">
                  <c:v>Procedure</c:v>
                </c:pt>
              </c:strCache>
            </c:strRef>
          </c:cat>
          <c:val>
            <c:numRef>
              <c:f>Sheet1!$D$7:$I$7</c:f>
              <c:numCache>
                <c:formatCode>General</c:formatCode>
                <c:ptCount val="6"/>
                <c:pt idx="0">
                  <c:v>0.1</c:v>
                </c:pt>
                <c:pt idx="1">
                  <c:v>1</c:v>
                </c:pt>
                <c:pt idx="2">
                  <c:v>1</c:v>
                </c:pt>
                <c:pt idx="3">
                  <c:v>1</c:v>
                </c:pt>
                <c:pt idx="4">
                  <c:v>1</c:v>
                </c:pt>
                <c:pt idx="5">
                  <c:v>1</c:v>
                </c:pt>
              </c:numCache>
            </c:numRef>
          </c:val>
          <c:smooth val="0"/>
          <c:extLst>
            <c:ext xmlns:c16="http://schemas.microsoft.com/office/drawing/2014/chart" uri="{C3380CC4-5D6E-409C-BE32-E72D297353CC}">
              <c16:uniqueId val="{00000000-41B4-4266-9BAE-EBE05B3E554B}"/>
            </c:ext>
          </c:extLst>
        </c:ser>
        <c:ser>
          <c:idx val="2"/>
          <c:order val="1"/>
          <c:tx>
            <c:strRef>
              <c:f>Sheet1!$C$9</c:f>
              <c:strCache>
                <c:ptCount val="1"/>
                <c:pt idx="0">
                  <c:v>Flexible sigmoidoscopy/ 5 years</c:v>
                </c:pt>
              </c:strCache>
            </c:strRef>
          </c:tx>
          <c:spPr>
            <a:ln>
              <a:solidFill>
                <a:srgbClr val="00B050"/>
              </a:solidFill>
            </a:ln>
          </c:spPr>
          <c:marker>
            <c:symbol val="none"/>
          </c:marker>
          <c:cat>
            <c:strRef>
              <c:f>Sheet1!$D$6:$I$6</c:f>
              <c:strCache>
                <c:ptCount val="6"/>
                <c:pt idx="0">
                  <c:v>Avoid Cancer</c:v>
                </c:pt>
                <c:pt idx="1">
                  <c:v>Avoid side effects</c:v>
                </c:pt>
                <c:pt idx="2">
                  <c:v>Avoid false positives</c:v>
                </c:pt>
                <c:pt idx="3">
                  <c:v>Frequency</c:v>
                </c:pt>
                <c:pt idx="4">
                  <c:v>Test preparation</c:v>
                </c:pt>
                <c:pt idx="5">
                  <c:v>Procedure</c:v>
                </c:pt>
              </c:strCache>
            </c:strRef>
          </c:cat>
          <c:val>
            <c:numRef>
              <c:f>Sheet1!$D$9:$I$9</c:f>
              <c:numCache>
                <c:formatCode>General</c:formatCode>
                <c:ptCount val="6"/>
                <c:pt idx="0">
                  <c:v>0.95000000000000095</c:v>
                </c:pt>
                <c:pt idx="1">
                  <c:v>0.8</c:v>
                </c:pt>
                <c:pt idx="2">
                  <c:v>0.70000000000000095</c:v>
                </c:pt>
                <c:pt idx="3">
                  <c:v>0.5</c:v>
                </c:pt>
                <c:pt idx="4">
                  <c:v>0.8</c:v>
                </c:pt>
                <c:pt idx="5">
                  <c:v>0.70000000000000095</c:v>
                </c:pt>
              </c:numCache>
            </c:numRef>
          </c:val>
          <c:smooth val="0"/>
          <c:extLst>
            <c:ext xmlns:c16="http://schemas.microsoft.com/office/drawing/2014/chart" uri="{C3380CC4-5D6E-409C-BE32-E72D297353CC}">
              <c16:uniqueId val="{00000001-41B4-4266-9BAE-EBE05B3E554B}"/>
            </c:ext>
          </c:extLst>
        </c:ser>
        <c:ser>
          <c:idx val="4"/>
          <c:order val="2"/>
          <c:tx>
            <c:strRef>
              <c:f>Sheet1!$C$11</c:f>
              <c:strCache>
                <c:ptCount val="1"/>
                <c:pt idx="0">
                  <c:v>Double contrast barium enema/ 5 years </c:v>
                </c:pt>
              </c:strCache>
            </c:strRef>
          </c:tx>
          <c:spPr>
            <a:ln>
              <a:prstDash val="sysDot"/>
            </a:ln>
          </c:spPr>
          <c:marker>
            <c:symbol val="none"/>
          </c:marker>
          <c:cat>
            <c:strRef>
              <c:f>Sheet1!$D$6:$I$6</c:f>
              <c:strCache>
                <c:ptCount val="6"/>
                <c:pt idx="0">
                  <c:v>Avoid Cancer</c:v>
                </c:pt>
                <c:pt idx="1">
                  <c:v>Avoid side effects</c:v>
                </c:pt>
                <c:pt idx="2">
                  <c:v>Avoid false positives</c:v>
                </c:pt>
                <c:pt idx="3">
                  <c:v>Frequency</c:v>
                </c:pt>
                <c:pt idx="4">
                  <c:v>Test preparation</c:v>
                </c:pt>
                <c:pt idx="5">
                  <c:v>Procedure</c:v>
                </c:pt>
              </c:strCache>
            </c:strRef>
          </c:cat>
          <c:val>
            <c:numRef>
              <c:f>Sheet1!$D$11:$I$11</c:f>
              <c:numCache>
                <c:formatCode>General</c:formatCode>
                <c:ptCount val="6"/>
                <c:pt idx="0">
                  <c:v>0.9</c:v>
                </c:pt>
                <c:pt idx="1">
                  <c:v>0.1</c:v>
                </c:pt>
                <c:pt idx="2">
                  <c:v>0.70000000000000095</c:v>
                </c:pt>
                <c:pt idx="3">
                  <c:v>0.5</c:v>
                </c:pt>
                <c:pt idx="4">
                  <c:v>0.1</c:v>
                </c:pt>
                <c:pt idx="5">
                  <c:v>0.2</c:v>
                </c:pt>
              </c:numCache>
            </c:numRef>
          </c:val>
          <c:smooth val="0"/>
          <c:extLst>
            <c:ext xmlns:c16="http://schemas.microsoft.com/office/drawing/2014/chart" uri="{C3380CC4-5D6E-409C-BE32-E72D297353CC}">
              <c16:uniqueId val="{00000002-41B4-4266-9BAE-EBE05B3E554B}"/>
            </c:ext>
          </c:extLst>
        </c:ser>
        <c:dLbls>
          <c:showLegendKey val="0"/>
          <c:showVal val="0"/>
          <c:showCatName val="0"/>
          <c:showSerName val="0"/>
          <c:showPercent val="0"/>
          <c:showBubbleSize val="0"/>
        </c:dLbls>
        <c:smooth val="0"/>
        <c:axId val="529351248"/>
        <c:axId val="529350856"/>
      </c:lineChart>
      <c:catAx>
        <c:axId val="529351248"/>
        <c:scaling>
          <c:orientation val="minMax"/>
        </c:scaling>
        <c:delete val="0"/>
        <c:axPos val="b"/>
        <c:numFmt formatCode="General" sourceLinked="0"/>
        <c:majorTickMark val="out"/>
        <c:minorTickMark val="none"/>
        <c:tickLblPos val="nextTo"/>
        <c:txPr>
          <a:bodyPr/>
          <a:lstStyle/>
          <a:p>
            <a:pPr>
              <a:defRPr sz="900"/>
            </a:pPr>
            <a:endParaRPr lang="en-US"/>
          </a:p>
        </c:txPr>
        <c:crossAx val="529350856"/>
        <c:crosses val="autoZero"/>
        <c:auto val="1"/>
        <c:lblAlgn val="ctr"/>
        <c:lblOffset val="100"/>
        <c:noMultiLvlLbl val="0"/>
      </c:catAx>
      <c:valAx>
        <c:axId val="529350856"/>
        <c:scaling>
          <c:orientation val="minMax"/>
          <c:max val="1"/>
        </c:scaling>
        <c:delete val="0"/>
        <c:axPos val="l"/>
        <c:majorGridlines/>
        <c:numFmt formatCode="General" sourceLinked="1"/>
        <c:majorTickMark val="out"/>
        <c:minorTickMark val="none"/>
        <c:tickLblPos val="nextTo"/>
        <c:crossAx val="529351248"/>
        <c:crosses val="autoZero"/>
        <c:crossBetween val="between"/>
      </c:valAx>
    </c:plotArea>
    <c:legend>
      <c:legendPos val="r"/>
      <c:layout>
        <c:manualLayout>
          <c:xMode val="edge"/>
          <c:yMode val="edge"/>
          <c:x val="1.48148148148148E-2"/>
          <c:y val="3.05555555555556E-2"/>
          <c:w val="0.96203703703703702"/>
          <c:h val="0.11109711286089199"/>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68110236220502E-2"/>
          <c:y val="6.0185185185185203E-2"/>
          <c:w val="0.89306933508311404"/>
          <c:h val="0.77176472732575097"/>
        </c:manualLayout>
      </c:layout>
      <c:barChart>
        <c:barDir val="col"/>
        <c:grouping val="stacked"/>
        <c:varyColors val="0"/>
        <c:ser>
          <c:idx val="0"/>
          <c:order val="0"/>
          <c:tx>
            <c:strRef>
              <c:f>Sheet1!$AF$8</c:f>
              <c:strCache>
                <c:ptCount val="1"/>
                <c:pt idx="0">
                  <c:v>Cumulative PBMA papers</c:v>
                </c:pt>
              </c:strCache>
            </c:strRef>
          </c:tx>
          <c:invertIfNegative val="0"/>
          <c:cat>
            <c:numRef>
              <c:f>Sheet1!$AA$9:$AA$28</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Sheet1!$AF$9:$AF$28</c:f>
              <c:numCache>
                <c:formatCode>General</c:formatCode>
                <c:ptCount val="20"/>
                <c:pt idx="0">
                  <c:v>7</c:v>
                </c:pt>
                <c:pt idx="1">
                  <c:v>7</c:v>
                </c:pt>
                <c:pt idx="2">
                  <c:v>7</c:v>
                </c:pt>
                <c:pt idx="3">
                  <c:v>8</c:v>
                </c:pt>
                <c:pt idx="4">
                  <c:v>8</c:v>
                </c:pt>
                <c:pt idx="5">
                  <c:v>9</c:v>
                </c:pt>
                <c:pt idx="6">
                  <c:v>11</c:v>
                </c:pt>
                <c:pt idx="7">
                  <c:v>11</c:v>
                </c:pt>
                <c:pt idx="8">
                  <c:v>12</c:v>
                </c:pt>
                <c:pt idx="9">
                  <c:v>12</c:v>
                </c:pt>
                <c:pt idx="10">
                  <c:v>12</c:v>
                </c:pt>
                <c:pt idx="11">
                  <c:v>12</c:v>
                </c:pt>
                <c:pt idx="12">
                  <c:v>12</c:v>
                </c:pt>
                <c:pt idx="13">
                  <c:v>12</c:v>
                </c:pt>
                <c:pt idx="14">
                  <c:v>13</c:v>
                </c:pt>
                <c:pt idx="15">
                  <c:v>14</c:v>
                </c:pt>
                <c:pt idx="16">
                  <c:v>15</c:v>
                </c:pt>
                <c:pt idx="17">
                  <c:v>16</c:v>
                </c:pt>
                <c:pt idx="18">
                  <c:v>17</c:v>
                </c:pt>
                <c:pt idx="19">
                  <c:v>20</c:v>
                </c:pt>
              </c:numCache>
            </c:numRef>
          </c:val>
          <c:extLst>
            <c:ext xmlns:c16="http://schemas.microsoft.com/office/drawing/2014/chart" uri="{C3380CC4-5D6E-409C-BE32-E72D297353CC}">
              <c16:uniqueId val="{00000000-4A1F-410F-BA5E-1A300E348B4C}"/>
            </c:ext>
          </c:extLst>
        </c:ser>
        <c:ser>
          <c:idx val="1"/>
          <c:order val="1"/>
          <c:tx>
            <c:strRef>
              <c:f>Sheet1!$AG$8</c:f>
              <c:strCache>
                <c:ptCount val="1"/>
                <c:pt idx="0">
                  <c:v>Cumulative non-PBMA papers</c:v>
                </c:pt>
              </c:strCache>
            </c:strRef>
          </c:tx>
          <c:invertIfNegative val="0"/>
          <c:cat>
            <c:numRef>
              <c:f>Sheet1!$AA$9:$AA$28</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Sheet1!$AG$9:$AG$28</c:f>
              <c:numCache>
                <c:formatCode>General</c:formatCode>
                <c:ptCount val="20"/>
                <c:pt idx="0">
                  <c:v>0</c:v>
                </c:pt>
                <c:pt idx="1">
                  <c:v>0</c:v>
                </c:pt>
                <c:pt idx="2">
                  <c:v>0</c:v>
                </c:pt>
                <c:pt idx="3">
                  <c:v>0</c:v>
                </c:pt>
                <c:pt idx="4">
                  <c:v>2</c:v>
                </c:pt>
                <c:pt idx="5">
                  <c:v>2</c:v>
                </c:pt>
                <c:pt idx="6">
                  <c:v>2</c:v>
                </c:pt>
                <c:pt idx="7">
                  <c:v>2</c:v>
                </c:pt>
                <c:pt idx="8">
                  <c:v>2</c:v>
                </c:pt>
                <c:pt idx="9">
                  <c:v>2</c:v>
                </c:pt>
                <c:pt idx="10">
                  <c:v>2</c:v>
                </c:pt>
                <c:pt idx="11">
                  <c:v>3</c:v>
                </c:pt>
                <c:pt idx="12">
                  <c:v>4</c:v>
                </c:pt>
                <c:pt idx="13">
                  <c:v>5</c:v>
                </c:pt>
                <c:pt idx="14">
                  <c:v>5</c:v>
                </c:pt>
                <c:pt idx="15">
                  <c:v>9</c:v>
                </c:pt>
                <c:pt idx="16">
                  <c:v>11</c:v>
                </c:pt>
                <c:pt idx="17">
                  <c:v>16</c:v>
                </c:pt>
                <c:pt idx="18">
                  <c:v>21</c:v>
                </c:pt>
                <c:pt idx="19">
                  <c:v>29</c:v>
                </c:pt>
              </c:numCache>
            </c:numRef>
          </c:val>
          <c:extLst>
            <c:ext xmlns:c16="http://schemas.microsoft.com/office/drawing/2014/chart" uri="{C3380CC4-5D6E-409C-BE32-E72D297353CC}">
              <c16:uniqueId val="{00000001-4A1F-410F-BA5E-1A300E348B4C}"/>
            </c:ext>
          </c:extLst>
        </c:ser>
        <c:dLbls>
          <c:showLegendKey val="0"/>
          <c:showVal val="0"/>
          <c:showCatName val="0"/>
          <c:showSerName val="0"/>
          <c:showPercent val="0"/>
          <c:showBubbleSize val="0"/>
        </c:dLbls>
        <c:gapWidth val="150"/>
        <c:overlap val="100"/>
        <c:axId val="529351640"/>
        <c:axId val="531138360"/>
      </c:barChart>
      <c:catAx>
        <c:axId val="529351640"/>
        <c:scaling>
          <c:orientation val="minMax"/>
        </c:scaling>
        <c:delete val="0"/>
        <c:axPos val="b"/>
        <c:numFmt formatCode="General" sourceLinked="1"/>
        <c:majorTickMark val="out"/>
        <c:minorTickMark val="none"/>
        <c:tickLblPos val="nextTo"/>
        <c:crossAx val="531138360"/>
        <c:crosses val="autoZero"/>
        <c:auto val="1"/>
        <c:lblAlgn val="ctr"/>
        <c:lblOffset val="100"/>
        <c:noMultiLvlLbl val="0"/>
      </c:catAx>
      <c:valAx>
        <c:axId val="531138360"/>
        <c:scaling>
          <c:orientation val="minMax"/>
        </c:scaling>
        <c:delete val="0"/>
        <c:axPos val="l"/>
        <c:numFmt formatCode="General" sourceLinked="1"/>
        <c:majorTickMark val="out"/>
        <c:minorTickMark val="none"/>
        <c:tickLblPos val="nextTo"/>
        <c:crossAx val="529351640"/>
        <c:crosses val="autoZero"/>
        <c:crossBetween val="between"/>
      </c:valAx>
    </c:plotArea>
    <c:legend>
      <c:legendPos val="r"/>
      <c:layout>
        <c:manualLayout>
          <c:xMode val="edge"/>
          <c:yMode val="edge"/>
          <c:x val="7.4736657917760296E-2"/>
          <c:y val="5.94174686497521E-2"/>
          <c:w val="0.46970778652668399"/>
          <c:h val="0.12653543307086601"/>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1">
                <a:lumMod val="65000"/>
                <a:lumOff val="35000"/>
              </a:schemeClr>
            </a:solidFill>
          </c:spPr>
          <c:invertIfNegative val="0"/>
          <c:dPt>
            <c:idx val="0"/>
            <c:invertIfNegative val="0"/>
            <c:bubble3D val="0"/>
            <c:spPr>
              <a:solidFill>
                <a:schemeClr val="accent3"/>
              </a:solidFill>
            </c:spPr>
            <c:extLst>
              <c:ext xmlns:c16="http://schemas.microsoft.com/office/drawing/2014/chart" uri="{C3380CC4-5D6E-409C-BE32-E72D297353CC}">
                <c16:uniqueId val="{00000001-D6CD-40EE-BC47-B00FF3BCAA3E}"/>
              </c:ext>
            </c:extLst>
          </c:dPt>
          <c:dPt>
            <c:idx val="1"/>
            <c:invertIfNegative val="0"/>
            <c:bubble3D val="0"/>
            <c:spPr>
              <a:solidFill>
                <a:schemeClr val="accent3"/>
              </a:solidFill>
            </c:spPr>
            <c:extLst>
              <c:ext xmlns:c16="http://schemas.microsoft.com/office/drawing/2014/chart" uri="{C3380CC4-5D6E-409C-BE32-E72D297353CC}">
                <c16:uniqueId val="{00000003-D6CD-40EE-BC47-B00FF3BCAA3E}"/>
              </c:ext>
            </c:extLst>
          </c:dPt>
          <c:dPt>
            <c:idx val="2"/>
            <c:invertIfNegative val="0"/>
            <c:bubble3D val="0"/>
            <c:spPr>
              <a:solidFill>
                <a:schemeClr val="accent3"/>
              </a:solidFill>
            </c:spPr>
            <c:extLst>
              <c:ext xmlns:c16="http://schemas.microsoft.com/office/drawing/2014/chart" uri="{C3380CC4-5D6E-409C-BE32-E72D297353CC}">
                <c16:uniqueId val="{00000005-D6CD-40EE-BC47-B00FF3BCAA3E}"/>
              </c:ext>
            </c:extLst>
          </c:dPt>
          <c:dPt>
            <c:idx val="3"/>
            <c:invertIfNegative val="0"/>
            <c:bubble3D val="0"/>
            <c:spPr>
              <a:solidFill>
                <a:schemeClr val="accent3"/>
              </a:solidFill>
            </c:spPr>
            <c:extLst>
              <c:ext xmlns:c16="http://schemas.microsoft.com/office/drawing/2014/chart" uri="{C3380CC4-5D6E-409C-BE32-E72D297353CC}">
                <c16:uniqueId val="{00000007-D6CD-40EE-BC47-B00FF3BCAA3E}"/>
              </c:ext>
            </c:extLst>
          </c:dPt>
          <c:cat>
            <c:strRef>
              <c:f>Sheet3!$AE$2:$AE$5</c:f>
              <c:strCache>
                <c:ptCount val="4"/>
                <c:pt idx="0">
                  <c:v>Prioritisation</c:v>
                </c:pt>
                <c:pt idx="1">
                  <c:v>Review/overview</c:v>
                </c:pt>
                <c:pt idx="2">
                  <c:v>Risk Monitoring</c:v>
                </c:pt>
                <c:pt idx="3">
                  <c:v>Exploratory/Proof of concept</c:v>
                </c:pt>
              </c:strCache>
            </c:strRef>
          </c:cat>
          <c:val>
            <c:numRef>
              <c:f>Sheet3!$AF$2:$AF$5</c:f>
              <c:numCache>
                <c:formatCode>General</c:formatCode>
                <c:ptCount val="4"/>
                <c:pt idx="0">
                  <c:v>16</c:v>
                </c:pt>
                <c:pt idx="1">
                  <c:v>5</c:v>
                </c:pt>
                <c:pt idx="2">
                  <c:v>3</c:v>
                </c:pt>
                <c:pt idx="3">
                  <c:v>1</c:v>
                </c:pt>
              </c:numCache>
            </c:numRef>
          </c:val>
          <c:extLst>
            <c:ext xmlns:c16="http://schemas.microsoft.com/office/drawing/2014/chart" uri="{C3380CC4-5D6E-409C-BE32-E72D297353CC}">
              <c16:uniqueId val="{00000008-D6CD-40EE-BC47-B00FF3BCAA3E}"/>
            </c:ext>
          </c:extLst>
        </c:ser>
        <c:dLbls>
          <c:showLegendKey val="0"/>
          <c:showVal val="0"/>
          <c:showCatName val="0"/>
          <c:showSerName val="0"/>
          <c:showPercent val="0"/>
          <c:showBubbleSize val="0"/>
        </c:dLbls>
        <c:gapWidth val="150"/>
        <c:axId val="745399656"/>
        <c:axId val="542957656"/>
      </c:barChart>
      <c:catAx>
        <c:axId val="745399656"/>
        <c:scaling>
          <c:orientation val="minMax"/>
        </c:scaling>
        <c:delete val="0"/>
        <c:axPos val="b"/>
        <c:numFmt formatCode="General" sourceLinked="0"/>
        <c:majorTickMark val="out"/>
        <c:minorTickMark val="none"/>
        <c:tickLblPos val="nextTo"/>
        <c:crossAx val="542957656"/>
        <c:crosses val="autoZero"/>
        <c:auto val="1"/>
        <c:lblAlgn val="ctr"/>
        <c:lblOffset val="100"/>
        <c:noMultiLvlLbl val="0"/>
      </c:catAx>
      <c:valAx>
        <c:axId val="542957656"/>
        <c:scaling>
          <c:orientation val="minMax"/>
        </c:scaling>
        <c:delete val="0"/>
        <c:axPos val="l"/>
        <c:numFmt formatCode="General" sourceLinked="1"/>
        <c:majorTickMark val="out"/>
        <c:minorTickMark val="none"/>
        <c:tickLblPos val="nextTo"/>
        <c:crossAx val="74539965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solidFill>
          </c:spPr>
          <c:invertIfNegative val="0"/>
          <c:dPt>
            <c:idx val="0"/>
            <c:invertIfNegative val="0"/>
            <c:bubble3D val="0"/>
            <c:spPr>
              <a:solidFill>
                <a:schemeClr val="accent1"/>
              </a:solidFill>
            </c:spPr>
            <c:extLst>
              <c:ext xmlns:c16="http://schemas.microsoft.com/office/drawing/2014/chart" uri="{C3380CC4-5D6E-409C-BE32-E72D297353CC}">
                <c16:uniqueId val="{00000001-AA2D-4BD9-8545-E65746235782}"/>
              </c:ext>
            </c:extLst>
          </c:dPt>
          <c:cat>
            <c:strRef>
              <c:f>Sheet3!$AE$8:$AE$14</c:f>
              <c:strCache>
                <c:ptCount val="7"/>
                <c:pt idx="0">
                  <c:v>PBMA</c:v>
                </c:pt>
                <c:pt idx="1">
                  <c:v>Generic</c:v>
                </c:pt>
                <c:pt idx="2">
                  <c:v>DCE</c:v>
                </c:pt>
                <c:pt idx="3">
                  <c:v>Lin Add</c:v>
                </c:pt>
                <c:pt idx="4">
                  <c:v>AHP</c:v>
                </c:pt>
                <c:pt idx="5">
                  <c:v>Promethee</c:v>
                </c:pt>
                <c:pt idx="6">
                  <c:v>Evidem</c:v>
                </c:pt>
              </c:strCache>
            </c:strRef>
          </c:cat>
          <c:val>
            <c:numRef>
              <c:f>Sheet3!$AF$8:$AF$14</c:f>
              <c:numCache>
                <c:formatCode>General</c:formatCode>
                <c:ptCount val="7"/>
                <c:pt idx="0">
                  <c:v>6</c:v>
                </c:pt>
                <c:pt idx="1">
                  <c:v>5</c:v>
                </c:pt>
                <c:pt idx="2">
                  <c:v>4</c:v>
                </c:pt>
                <c:pt idx="3">
                  <c:v>4</c:v>
                </c:pt>
                <c:pt idx="4">
                  <c:v>4</c:v>
                </c:pt>
                <c:pt idx="5">
                  <c:v>2</c:v>
                </c:pt>
                <c:pt idx="6">
                  <c:v>1</c:v>
                </c:pt>
              </c:numCache>
            </c:numRef>
          </c:val>
          <c:extLst>
            <c:ext xmlns:c16="http://schemas.microsoft.com/office/drawing/2014/chart" uri="{C3380CC4-5D6E-409C-BE32-E72D297353CC}">
              <c16:uniqueId val="{00000002-AA2D-4BD9-8545-E65746235782}"/>
            </c:ext>
          </c:extLst>
        </c:ser>
        <c:dLbls>
          <c:showLegendKey val="0"/>
          <c:showVal val="0"/>
          <c:showCatName val="0"/>
          <c:showSerName val="0"/>
          <c:showPercent val="0"/>
          <c:showBubbleSize val="0"/>
        </c:dLbls>
        <c:gapWidth val="150"/>
        <c:axId val="542958440"/>
        <c:axId val="542958832"/>
      </c:barChart>
      <c:catAx>
        <c:axId val="542958440"/>
        <c:scaling>
          <c:orientation val="minMax"/>
        </c:scaling>
        <c:delete val="0"/>
        <c:axPos val="b"/>
        <c:numFmt formatCode="General" sourceLinked="0"/>
        <c:majorTickMark val="out"/>
        <c:minorTickMark val="none"/>
        <c:tickLblPos val="nextTo"/>
        <c:crossAx val="542958832"/>
        <c:crosses val="autoZero"/>
        <c:auto val="1"/>
        <c:lblAlgn val="ctr"/>
        <c:lblOffset val="100"/>
        <c:noMultiLvlLbl val="0"/>
      </c:catAx>
      <c:valAx>
        <c:axId val="542958832"/>
        <c:scaling>
          <c:orientation val="minMax"/>
        </c:scaling>
        <c:delete val="0"/>
        <c:axPos val="l"/>
        <c:numFmt formatCode="General" sourceLinked="1"/>
        <c:majorTickMark val="out"/>
        <c:minorTickMark val="none"/>
        <c:tickLblPos val="nextTo"/>
        <c:crossAx val="542958440"/>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spPr>
            <a:solidFill>
              <a:schemeClr val="accent6">
                <a:lumMod val="75000"/>
              </a:schemeClr>
            </a:solidFill>
          </c:spPr>
          <c:invertIfNegative val="0"/>
          <c:cat>
            <c:strRef>
              <c:f>Sheet3!$AD$50:$AD$54</c:f>
              <c:strCache>
                <c:ptCount val="5"/>
                <c:pt idx="0">
                  <c:v>Europe</c:v>
                </c:pt>
                <c:pt idx="1">
                  <c:v>North America</c:v>
                </c:pt>
                <c:pt idx="2">
                  <c:v>Asia</c:v>
                </c:pt>
                <c:pt idx="3">
                  <c:v>South America</c:v>
                </c:pt>
                <c:pt idx="4">
                  <c:v>Africa</c:v>
                </c:pt>
              </c:strCache>
            </c:strRef>
          </c:cat>
          <c:val>
            <c:numRef>
              <c:f>Sheet3!$AE$50:$AE$54</c:f>
              <c:numCache>
                <c:formatCode>General</c:formatCode>
                <c:ptCount val="5"/>
                <c:pt idx="0">
                  <c:v>4</c:v>
                </c:pt>
                <c:pt idx="1">
                  <c:v>4</c:v>
                </c:pt>
                <c:pt idx="2">
                  <c:v>2</c:v>
                </c:pt>
                <c:pt idx="3">
                  <c:v>1</c:v>
                </c:pt>
                <c:pt idx="4">
                  <c:v>1</c:v>
                </c:pt>
              </c:numCache>
            </c:numRef>
          </c:val>
          <c:extLst>
            <c:ext xmlns:c16="http://schemas.microsoft.com/office/drawing/2014/chart" uri="{C3380CC4-5D6E-409C-BE32-E72D297353CC}">
              <c16:uniqueId val="{00000000-5DEA-41C8-9829-9916B5CFD2FA}"/>
            </c:ext>
          </c:extLst>
        </c:ser>
        <c:ser>
          <c:idx val="1"/>
          <c:order val="1"/>
          <c:spPr>
            <a:solidFill>
              <a:schemeClr val="bg2">
                <a:lumMod val="75000"/>
              </a:schemeClr>
            </a:solidFill>
          </c:spPr>
          <c:invertIfNegative val="0"/>
          <c:cat>
            <c:strRef>
              <c:f>Sheet3!$AD$50:$AD$54</c:f>
              <c:strCache>
                <c:ptCount val="5"/>
                <c:pt idx="0">
                  <c:v>Europe</c:v>
                </c:pt>
                <c:pt idx="1">
                  <c:v>North America</c:v>
                </c:pt>
                <c:pt idx="2">
                  <c:v>Asia</c:v>
                </c:pt>
                <c:pt idx="3">
                  <c:v>South America</c:v>
                </c:pt>
                <c:pt idx="4">
                  <c:v>Africa</c:v>
                </c:pt>
              </c:strCache>
            </c:strRef>
          </c:cat>
          <c:val>
            <c:numRef>
              <c:f>Sheet3!$AF$50:$AF$54</c:f>
              <c:numCache>
                <c:formatCode>General</c:formatCode>
                <c:ptCount val="5"/>
                <c:pt idx="0">
                  <c:v>1</c:v>
                </c:pt>
                <c:pt idx="1">
                  <c:v>1</c:v>
                </c:pt>
                <c:pt idx="2">
                  <c:v>1.75</c:v>
                </c:pt>
                <c:pt idx="3">
                  <c:v>1</c:v>
                </c:pt>
                <c:pt idx="4">
                  <c:v>0.25</c:v>
                </c:pt>
              </c:numCache>
            </c:numRef>
          </c:val>
          <c:extLst>
            <c:ext xmlns:c16="http://schemas.microsoft.com/office/drawing/2014/chart" uri="{C3380CC4-5D6E-409C-BE32-E72D297353CC}">
              <c16:uniqueId val="{00000001-5DEA-41C8-9829-9916B5CFD2FA}"/>
            </c:ext>
          </c:extLst>
        </c:ser>
        <c:dLbls>
          <c:showLegendKey val="0"/>
          <c:showVal val="0"/>
          <c:showCatName val="0"/>
          <c:showSerName val="0"/>
          <c:showPercent val="0"/>
          <c:showBubbleSize val="0"/>
        </c:dLbls>
        <c:gapWidth val="150"/>
        <c:overlap val="100"/>
        <c:axId val="529240656"/>
        <c:axId val="529241048"/>
      </c:barChart>
      <c:catAx>
        <c:axId val="529240656"/>
        <c:scaling>
          <c:orientation val="minMax"/>
        </c:scaling>
        <c:delete val="0"/>
        <c:axPos val="b"/>
        <c:numFmt formatCode="General" sourceLinked="0"/>
        <c:majorTickMark val="out"/>
        <c:minorTickMark val="none"/>
        <c:tickLblPos val="nextTo"/>
        <c:crossAx val="529241048"/>
        <c:crosses val="autoZero"/>
        <c:auto val="1"/>
        <c:lblAlgn val="ctr"/>
        <c:lblOffset val="100"/>
        <c:noMultiLvlLbl val="0"/>
      </c:catAx>
      <c:valAx>
        <c:axId val="529241048"/>
        <c:scaling>
          <c:orientation val="minMax"/>
        </c:scaling>
        <c:delete val="0"/>
        <c:axPos val="l"/>
        <c:numFmt formatCode="General" sourceLinked="1"/>
        <c:majorTickMark val="out"/>
        <c:minorTickMark val="none"/>
        <c:tickLblPos val="nextTo"/>
        <c:crossAx val="529240656"/>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1A73D-ACCE-4866-BC79-0A4CB223DDC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7BA8303A-E635-4EFB-AEAB-1C3A4843C533}">
      <dgm:prSet phldrT="[Text]" custT="1"/>
      <dgm:spPr>
        <a:xfrm>
          <a:off x="2394221" y="346560"/>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Overall priority</a:t>
          </a:r>
        </a:p>
      </dgm:t>
    </dgm:pt>
    <dgm:pt modelId="{330CBAF7-B34E-4BA5-9538-049E1168793E}" type="parTrans" cxnId="{3867B7FC-BBF2-43DD-951E-E342F959B4FD}">
      <dgm:prSet/>
      <dgm:spPr/>
      <dgm:t>
        <a:bodyPr/>
        <a:lstStyle/>
        <a:p>
          <a:pPr algn="ctr"/>
          <a:endParaRPr lang="en-GB" sz="800">
            <a:latin typeface="Arial" pitchFamily="34" charset="0"/>
            <a:cs typeface="Arial" pitchFamily="34" charset="0"/>
          </a:endParaRPr>
        </a:p>
      </dgm:t>
    </dgm:pt>
    <dgm:pt modelId="{BFF75D39-1363-4193-9D61-41061E5A4993}" type="sibTrans" cxnId="{3867B7FC-BBF2-43DD-951E-E342F959B4FD}">
      <dgm:prSet/>
      <dgm:spPr/>
      <dgm:t>
        <a:bodyPr/>
        <a:lstStyle/>
        <a:p>
          <a:pPr algn="ctr"/>
          <a:endParaRPr lang="en-GB" sz="800">
            <a:latin typeface="Arial" pitchFamily="34" charset="0"/>
            <a:cs typeface="Arial" pitchFamily="34" charset="0"/>
          </a:endParaRPr>
        </a:p>
      </dgm:t>
    </dgm:pt>
    <dgm:pt modelId="{4BE996C0-978F-4DD8-96E3-AB922E70893A}">
      <dgm:prSet phldrT="[Text]" custT="1"/>
      <dgm:spPr>
        <a:xfrm>
          <a:off x="911142" y="1000252"/>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Size of problem</a:t>
          </a:r>
        </a:p>
      </dgm:t>
    </dgm:pt>
    <dgm:pt modelId="{38E87281-38A0-4B0B-822A-3A9B998105EB}" type="parTrans" cxnId="{D92E1717-35DF-46C3-B3A5-6C953E120B18}">
      <dgm:prSet/>
      <dgm:spPr>
        <a:xfrm>
          <a:off x="1261334" y="813483"/>
          <a:ext cx="1483079" cy="186769"/>
        </a:xfrm>
        <a:noFill/>
        <a:ln w="25400" cap="flat" cmpd="sng" algn="ctr">
          <a:solidFill>
            <a:srgbClr val="4F81BD">
              <a:shade val="6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34B6DC4D-7F44-4ED2-A5F0-4558B6A41AEB}" type="sibTrans" cxnId="{D92E1717-35DF-46C3-B3A5-6C953E120B18}">
      <dgm:prSet/>
      <dgm:spPr/>
      <dgm:t>
        <a:bodyPr/>
        <a:lstStyle/>
        <a:p>
          <a:pPr algn="ctr"/>
          <a:endParaRPr lang="en-GB" sz="800">
            <a:latin typeface="Arial" pitchFamily="34" charset="0"/>
            <a:cs typeface="Arial" pitchFamily="34" charset="0"/>
          </a:endParaRPr>
        </a:p>
      </dgm:t>
    </dgm:pt>
    <dgm:pt modelId="{B20B76DA-DDA8-4AFE-ABF5-C5DD07FA762C}">
      <dgm:prSet phldrT="[Text]" custT="1"/>
      <dgm:spPr>
        <a:xfrm>
          <a:off x="3097611" y="1000252"/>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Making a difference</a:t>
          </a:r>
        </a:p>
      </dgm:t>
    </dgm:pt>
    <dgm:pt modelId="{C4C064A0-2B18-4F07-AE58-DB8BD5CC1736}" type="parTrans" cxnId="{6F485F35-9CDE-404C-B1C4-C752A30A1A23}">
      <dgm:prSet/>
      <dgm:spPr>
        <a:xfrm>
          <a:off x="2744414" y="813483"/>
          <a:ext cx="703389" cy="186769"/>
        </a:xfrm>
        <a:noFill/>
        <a:ln w="25400" cap="flat" cmpd="sng" algn="ctr">
          <a:solidFill>
            <a:srgbClr val="4F81BD">
              <a:shade val="6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BFECECE4-94B5-42DE-AB35-2CDCE4418724}" type="sibTrans" cxnId="{6F485F35-9CDE-404C-B1C4-C752A30A1A23}">
      <dgm:prSet/>
      <dgm:spPr/>
      <dgm:t>
        <a:bodyPr/>
        <a:lstStyle/>
        <a:p>
          <a:pPr algn="ctr"/>
          <a:endParaRPr lang="en-GB" sz="800">
            <a:latin typeface="Arial" pitchFamily="34" charset="0"/>
            <a:cs typeface="Arial" pitchFamily="34" charset="0"/>
          </a:endParaRPr>
        </a:p>
      </dgm:t>
    </dgm:pt>
    <dgm:pt modelId="{032CB7C9-F82D-4976-8561-4EB0D1C76391}">
      <dgm:prSet phldrT="[Text]" custT="1"/>
      <dgm:spPr>
        <a:xfrm>
          <a:off x="4553144" y="1000252"/>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Current variation in practice</a:t>
          </a:r>
        </a:p>
      </dgm:t>
    </dgm:pt>
    <dgm:pt modelId="{7D6058BD-9054-4855-9B54-84EC2559955A}" type="parTrans" cxnId="{BF935BF9-9EE6-47FB-8AFF-344BBCF290B0}">
      <dgm:prSet/>
      <dgm:spPr>
        <a:xfrm>
          <a:off x="2744414" y="813483"/>
          <a:ext cx="2158923" cy="186769"/>
        </a:xfrm>
        <a:noFill/>
        <a:ln w="25400" cap="flat" cmpd="sng" algn="ctr">
          <a:solidFill>
            <a:srgbClr val="4F81BD">
              <a:shade val="6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44005BB3-A9D3-418E-A72D-547DE876844C}" type="sibTrans" cxnId="{BF935BF9-9EE6-47FB-8AFF-344BBCF290B0}">
      <dgm:prSet/>
      <dgm:spPr/>
      <dgm:t>
        <a:bodyPr/>
        <a:lstStyle/>
        <a:p>
          <a:pPr algn="ctr"/>
          <a:endParaRPr lang="en-GB" sz="800">
            <a:latin typeface="Arial" pitchFamily="34" charset="0"/>
            <a:cs typeface="Arial" pitchFamily="34" charset="0"/>
          </a:endParaRPr>
        </a:p>
      </dgm:t>
    </dgm:pt>
    <dgm:pt modelId="{962B979F-A5F8-4BE2-9F03-0CED442DBA43}">
      <dgm:prSet phldrT="[Text]" custT="1"/>
      <dgm:spPr>
        <a:xfrm>
          <a:off x="641" y="1653945"/>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Individual</a:t>
          </a:r>
        </a:p>
      </dgm:t>
    </dgm:pt>
    <dgm:pt modelId="{34DD47C7-A134-4FB9-B72F-A0194E91F46F}" type="parTrans" cxnId="{7A18662B-BFF3-454F-BAF9-F1B8BD10A3F6}">
      <dgm:prSet/>
      <dgm:spPr>
        <a:xfrm>
          <a:off x="350833" y="1467176"/>
          <a:ext cx="910500" cy="186769"/>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04BF494F-50B2-4C2F-B01F-4906BB47E9D6}" type="sibTrans" cxnId="{7A18662B-BFF3-454F-BAF9-F1B8BD10A3F6}">
      <dgm:prSet/>
      <dgm:spPr/>
      <dgm:t>
        <a:bodyPr/>
        <a:lstStyle/>
        <a:p>
          <a:pPr algn="ctr"/>
          <a:endParaRPr lang="en-GB" sz="800">
            <a:latin typeface="Arial" pitchFamily="34" charset="0"/>
            <a:cs typeface="Arial" pitchFamily="34" charset="0"/>
          </a:endParaRPr>
        </a:p>
      </dgm:t>
    </dgm:pt>
    <dgm:pt modelId="{32749B59-2C98-470B-AABD-8467147E4ED5}">
      <dgm:prSet phldrT="[Text]" custT="1"/>
      <dgm:spPr>
        <a:xfrm>
          <a:off x="758528" y="1653945"/>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Society</a:t>
          </a:r>
        </a:p>
      </dgm:t>
    </dgm:pt>
    <dgm:pt modelId="{3F8A0E48-A573-46BC-A180-C61A8BF1C882}" type="parTrans" cxnId="{069A129E-5A0A-41AF-81AC-6EEA908145A3}">
      <dgm:prSet/>
      <dgm:spPr>
        <a:xfrm>
          <a:off x="1108720" y="1467176"/>
          <a:ext cx="152613" cy="186769"/>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F48B1532-F68D-4503-ABC4-913109B1F45A}" type="sibTrans" cxnId="{069A129E-5A0A-41AF-81AC-6EEA908145A3}">
      <dgm:prSet/>
      <dgm:spPr/>
      <dgm:t>
        <a:bodyPr/>
        <a:lstStyle/>
        <a:p>
          <a:pPr algn="ctr"/>
          <a:endParaRPr lang="en-GB" sz="800">
            <a:latin typeface="Arial" pitchFamily="34" charset="0"/>
            <a:cs typeface="Arial" pitchFamily="34" charset="0"/>
          </a:endParaRPr>
        </a:p>
      </dgm:t>
    </dgm:pt>
    <dgm:pt modelId="{B1709D5C-C203-4EC3-8D96-7F3D04524818}">
      <dgm:prSet phldrT="[Text]" custT="1"/>
      <dgm:spPr>
        <a:xfrm>
          <a:off x="1544941" y="1648884"/>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Inequality</a:t>
          </a:r>
        </a:p>
      </dgm:t>
    </dgm:pt>
    <dgm:pt modelId="{CF8E8573-03B3-4F49-8AEC-472E430E72F7}" type="parTrans" cxnId="{D67DA6E6-F785-4C3B-932D-8D9892DE31FF}">
      <dgm:prSet/>
      <dgm:spPr>
        <a:xfrm>
          <a:off x="1261334" y="1467176"/>
          <a:ext cx="633799" cy="181707"/>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27193FD4-58FE-4F0F-B130-22D9E9CB7368}" type="sibTrans" cxnId="{D67DA6E6-F785-4C3B-932D-8D9892DE31FF}">
      <dgm:prSet/>
      <dgm:spPr/>
      <dgm:t>
        <a:bodyPr/>
        <a:lstStyle/>
        <a:p>
          <a:pPr algn="ctr"/>
          <a:endParaRPr lang="en-GB" sz="800">
            <a:latin typeface="Arial" pitchFamily="34" charset="0"/>
            <a:cs typeface="Arial" pitchFamily="34" charset="0"/>
          </a:endParaRPr>
        </a:p>
      </dgm:t>
    </dgm:pt>
    <dgm:pt modelId="{4F7C3DF5-68F5-45DA-9360-830C2B03F735}">
      <dgm:prSet phldrT="[Text]" custT="1"/>
      <dgm:spPr>
        <a:xfrm>
          <a:off x="2369539" y="1647231"/>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Feasibility</a:t>
          </a:r>
        </a:p>
      </dgm:t>
    </dgm:pt>
    <dgm:pt modelId="{3A4442C6-A687-43BC-9380-CD7B614B2389}" type="parTrans" cxnId="{F93648CC-5CD5-4B11-8EA3-8DA293A9D31A}">
      <dgm:prSet/>
      <dgm:spPr>
        <a:xfrm>
          <a:off x="2719732" y="1467176"/>
          <a:ext cx="728071" cy="180055"/>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ADBD0234-38A4-4DF9-95F6-C77601737712}" type="sibTrans" cxnId="{F93648CC-5CD5-4B11-8EA3-8DA293A9D31A}">
      <dgm:prSet/>
      <dgm:spPr/>
      <dgm:t>
        <a:bodyPr/>
        <a:lstStyle/>
        <a:p>
          <a:pPr algn="ctr"/>
          <a:endParaRPr lang="en-GB" sz="800">
            <a:latin typeface="Arial" pitchFamily="34" charset="0"/>
            <a:cs typeface="Arial" pitchFamily="34" charset="0"/>
          </a:endParaRPr>
        </a:p>
      </dgm:t>
    </dgm:pt>
    <dgm:pt modelId="{FADC24D3-0248-4D5F-97BD-14BDFC9E1F8F}">
      <dgm:prSet phldrT="[Text]" custT="1"/>
      <dgm:spPr>
        <a:xfrm>
          <a:off x="3179304" y="1640516"/>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Range and fit with current guidance</a:t>
          </a:r>
        </a:p>
      </dgm:t>
    </dgm:pt>
    <dgm:pt modelId="{21EC095E-E87B-472C-AC70-A3CEC00F732E}" type="parTrans" cxnId="{FB849630-3533-4ED5-897E-317E7AE7ECB3}">
      <dgm:prSet/>
      <dgm:spPr>
        <a:xfrm>
          <a:off x="3402083" y="1467176"/>
          <a:ext cx="91440" cy="173340"/>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3421A968-BFAF-4930-B92E-DED5C8C330D8}" type="sibTrans" cxnId="{FB849630-3533-4ED5-897E-317E7AE7ECB3}">
      <dgm:prSet/>
      <dgm:spPr/>
      <dgm:t>
        <a:bodyPr/>
        <a:lstStyle/>
        <a:p>
          <a:pPr algn="ctr"/>
          <a:endParaRPr lang="en-GB" sz="800">
            <a:latin typeface="Arial" pitchFamily="34" charset="0"/>
            <a:cs typeface="Arial" pitchFamily="34" charset="0"/>
          </a:endParaRPr>
        </a:p>
      </dgm:t>
    </dgm:pt>
    <dgm:pt modelId="{0A0CDBAD-AE18-4F7C-B7BA-C1E955E2B162}">
      <dgm:prSet phldrT="[Text]" custT="1"/>
      <dgm:spPr>
        <a:xfrm>
          <a:off x="3948803" y="1653945"/>
          <a:ext cx="700385" cy="4669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a:solidFill>
                <a:sysClr val="window" lastClr="FFFFFF"/>
              </a:solidFill>
              <a:latin typeface="Arial" pitchFamily="34" charset="0"/>
              <a:ea typeface="+mn-ea"/>
              <a:cs typeface="Arial" pitchFamily="34" charset="0"/>
            </a:rPr>
            <a:t>Availability of evidence</a:t>
          </a:r>
        </a:p>
      </dgm:t>
    </dgm:pt>
    <dgm:pt modelId="{3E7EFDA9-6FE5-49B3-AE56-30E5046E6037}" type="parTrans" cxnId="{16D01A95-F288-4C63-848F-8F5334018054}">
      <dgm:prSet/>
      <dgm:spPr>
        <a:xfrm>
          <a:off x="3447803" y="1467176"/>
          <a:ext cx="851192" cy="186769"/>
        </a:xfrm>
        <a:noFill/>
        <a:ln w="25400" cap="flat" cmpd="sng" algn="ctr">
          <a:solidFill>
            <a:srgbClr val="4F81BD">
              <a:shade val="80000"/>
              <a:hueOff val="0"/>
              <a:satOff val="0"/>
              <a:lumOff val="0"/>
              <a:alphaOff val="0"/>
            </a:srgbClr>
          </a:solidFill>
          <a:prstDash val="solid"/>
        </a:ln>
        <a:effectLst/>
      </dgm:spPr>
      <dgm:t>
        <a:bodyPr/>
        <a:lstStyle/>
        <a:p>
          <a:pPr algn="ctr"/>
          <a:endParaRPr lang="en-GB" sz="800">
            <a:latin typeface="Arial" pitchFamily="34" charset="0"/>
            <a:cs typeface="Arial" pitchFamily="34" charset="0"/>
          </a:endParaRPr>
        </a:p>
      </dgm:t>
    </dgm:pt>
    <dgm:pt modelId="{16BAE928-F038-4D0B-9FE4-0FDA4AD0319F}" type="sibTrans" cxnId="{16D01A95-F288-4C63-848F-8F5334018054}">
      <dgm:prSet/>
      <dgm:spPr/>
      <dgm:t>
        <a:bodyPr/>
        <a:lstStyle/>
        <a:p>
          <a:pPr algn="ctr"/>
          <a:endParaRPr lang="en-GB" sz="800">
            <a:latin typeface="Arial" pitchFamily="34" charset="0"/>
            <a:cs typeface="Arial" pitchFamily="34" charset="0"/>
          </a:endParaRPr>
        </a:p>
      </dgm:t>
    </dgm:pt>
    <dgm:pt modelId="{D16F3DE1-C47A-40DC-8171-9972E773BEB0}" type="pres">
      <dgm:prSet presAssocID="{F2E1A73D-ACCE-4866-BC79-0A4CB223DDCD}" presName="mainComposite" presStyleCnt="0">
        <dgm:presLayoutVars>
          <dgm:chPref val="1"/>
          <dgm:dir/>
          <dgm:animOne val="branch"/>
          <dgm:animLvl val="lvl"/>
          <dgm:resizeHandles val="exact"/>
        </dgm:presLayoutVars>
      </dgm:prSet>
      <dgm:spPr/>
    </dgm:pt>
    <dgm:pt modelId="{BAF3EA38-044B-4CE0-A08E-15ED6F48AFCA}" type="pres">
      <dgm:prSet presAssocID="{F2E1A73D-ACCE-4866-BC79-0A4CB223DDCD}" presName="hierFlow" presStyleCnt="0"/>
      <dgm:spPr/>
    </dgm:pt>
    <dgm:pt modelId="{A1F2C2A1-E782-48D9-9275-91D5C9CD60A6}" type="pres">
      <dgm:prSet presAssocID="{F2E1A73D-ACCE-4866-BC79-0A4CB223DDCD}" presName="hierChild1" presStyleCnt="0">
        <dgm:presLayoutVars>
          <dgm:chPref val="1"/>
          <dgm:animOne val="branch"/>
          <dgm:animLvl val="lvl"/>
        </dgm:presLayoutVars>
      </dgm:prSet>
      <dgm:spPr/>
    </dgm:pt>
    <dgm:pt modelId="{2520C7F2-39A2-462A-BEED-B5A3422A8253}" type="pres">
      <dgm:prSet presAssocID="{7BA8303A-E635-4EFB-AEAB-1C3A4843C533}" presName="Name14" presStyleCnt="0"/>
      <dgm:spPr/>
    </dgm:pt>
    <dgm:pt modelId="{38C172D0-E265-48B4-A6EB-29A1B86223E8}" type="pres">
      <dgm:prSet presAssocID="{7BA8303A-E635-4EFB-AEAB-1C3A4843C533}" presName="level1Shape" presStyleLbl="node0" presStyleIdx="0" presStyleCnt="1" custLinFactNeighborX="-48248">
        <dgm:presLayoutVars>
          <dgm:chPref val="3"/>
        </dgm:presLayoutVars>
      </dgm:prSet>
      <dgm:spPr>
        <a:prstGeom prst="roundRect">
          <a:avLst>
            <a:gd name="adj" fmla="val 10000"/>
          </a:avLst>
        </a:prstGeom>
      </dgm:spPr>
    </dgm:pt>
    <dgm:pt modelId="{B772E80A-0F8A-4010-95BD-2DC4E1BB123F}" type="pres">
      <dgm:prSet presAssocID="{7BA8303A-E635-4EFB-AEAB-1C3A4843C533}" presName="hierChild2" presStyleCnt="0"/>
      <dgm:spPr/>
    </dgm:pt>
    <dgm:pt modelId="{D0B270EA-B8DF-4FEB-8E53-2A2E11CD22BC}" type="pres">
      <dgm:prSet presAssocID="{38E87281-38A0-4B0B-822A-3A9B998105EB}" presName="Name19" presStyleLbl="parChTrans1D2" presStyleIdx="0" presStyleCnt="3"/>
      <dgm:spPr>
        <a:custGeom>
          <a:avLst/>
          <a:gdLst/>
          <a:ahLst/>
          <a:cxnLst/>
          <a:rect l="0" t="0" r="0" b="0"/>
          <a:pathLst>
            <a:path>
              <a:moveTo>
                <a:pt x="1483079" y="0"/>
              </a:moveTo>
              <a:lnTo>
                <a:pt x="1483079" y="93384"/>
              </a:lnTo>
              <a:lnTo>
                <a:pt x="0" y="93384"/>
              </a:lnTo>
              <a:lnTo>
                <a:pt x="0" y="186769"/>
              </a:lnTo>
            </a:path>
          </a:pathLst>
        </a:custGeom>
      </dgm:spPr>
    </dgm:pt>
    <dgm:pt modelId="{49726958-1D7B-46D6-BB42-3AC9EB126EED}" type="pres">
      <dgm:prSet presAssocID="{4BE996C0-978F-4DD8-96E3-AB922E70893A}" presName="Name21" presStyleCnt="0"/>
      <dgm:spPr/>
    </dgm:pt>
    <dgm:pt modelId="{C48F7813-1C5D-40C5-96AA-E6E9292E1825}" type="pres">
      <dgm:prSet presAssocID="{4BE996C0-978F-4DD8-96E3-AB922E70893A}" presName="level2Shape" presStyleLbl="node2" presStyleIdx="0" presStyleCnt="3"/>
      <dgm:spPr>
        <a:prstGeom prst="roundRect">
          <a:avLst>
            <a:gd name="adj" fmla="val 10000"/>
          </a:avLst>
        </a:prstGeom>
      </dgm:spPr>
    </dgm:pt>
    <dgm:pt modelId="{528568F4-22C4-40BB-8A5D-6019D8E87325}" type="pres">
      <dgm:prSet presAssocID="{4BE996C0-978F-4DD8-96E3-AB922E70893A}" presName="hierChild3" presStyleCnt="0"/>
      <dgm:spPr/>
    </dgm:pt>
    <dgm:pt modelId="{24DC0EF4-7B9A-43D7-915C-BEC6B4A2E273}" type="pres">
      <dgm:prSet presAssocID="{34DD47C7-A134-4FB9-B72F-A0194E91F46F}" presName="Name19" presStyleLbl="parChTrans1D3" presStyleIdx="0" presStyleCnt="6"/>
      <dgm:spPr>
        <a:custGeom>
          <a:avLst/>
          <a:gdLst/>
          <a:ahLst/>
          <a:cxnLst/>
          <a:rect l="0" t="0" r="0" b="0"/>
          <a:pathLst>
            <a:path>
              <a:moveTo>
                <a:pt x="910500" y="0"/>
              </a:moveTo>
              <a:lnTo>
                <a:pt x="910500" y="93384"/>
              </a:lnTo>
              <a:lnTo>
                <a:pt x="0" y="93384"/>
              </a:lnTo>
              <a:lnTo>
                <a:pt x="0" y="186769"/>
              </a:lnTo>
            </a:path>
          </a:pathLst>
        </a:custGeom>
      </dgm:spPr>
    </dgm:pt>
    <dgm:pt modelId="{3CD69AC7-50AE-4F4E-B375-BF5033783F1A}" type="pres">
      <dgm:prSet presAssocID="{962B979F-A5F8-4BE2-9F03-0CED442DBA43}" presName="Name21" presStyleCnt="0"/>
      <dgm:spPr/>
    </dgm:pt>
    <dgm:pt modelId="{ABC1260C-408A-4F19-BF24-26521A7D0698}" type="pres">
      <dgm:prSet presAssocID="{962B979F-A5F8-4BE2-9F03-0CED442DBA43}" presName="level2Shape" presStyleLbl="node3" presStyleIdx="0" presStyleCnt="6"/>
      <dgm:spPr>
        <a:prstGeom prst="roundRect">
          <a:avLst>
            <a:gd name="adj" fmla="val 10000"/>
          </a:avLst>
        </a:prstGeom>
      </dgm:spPr>
    </dgm:pt>
    <dgm:pt modelId="{422F947B-D6C8-4830-ABD9-82832040CF10}" type="pres">
      <dgm:prSet presAssocID="{962B979F-A5F8-4BE2-9F03-0CED442DBA43}" presName="hierChild3" presStyleCnt="0"/>
      <dgm:spPr/>
    </dgm:pt>
    <dgm:pt modelId="{17D187AD-6106-468F-9C4E-46A5A7B26ADF}" type="pres">
      <dgm:prSet presAssocID="{3F8A0E48-A573-46BC-A180-C61A8BF1C882}" presName="Name19" presStyleLbl="parChTrans1D3" presStyleIdx="1" presStyleCnt="6"/>
      <dgm:spPr>
        <a:custGeom>
          <a:avLst/>
          <a:gdLst/>
          <a:ahLst/>
          <a:cxnLst/>
          <a:rect l="0" t="0" r="0" b="0"/>
          <a:pathLst>
            <a:path>
              <a:moveTo>
                <a:pt x="152613" y="0"/>
              </a:moveTo>
              <a:lnTo>
                <a:pt x="152613" y="93384"/>
              </a:lnTo>
              <a:lnTo>
                <a:pt x="0" y="93384"/>
              </a:lnTo>
              <a:lnTo>
                <a:pt x="0" y="186769"/>
              </a:lnTo>
            </a:path>
          </a:pathLst>
        </a:custGeom>
      </dgm:spPr>
    </dgm:pt>
    <dgm:pt modelId="{0ADE7357-3E3C-4966-8A89-EE36F1B6841F}" type="pres">
      <dgm:prSet presAssocID="{32749B59-2C98-470B-AABD-8467147E4ED5}" presName="Name21" presStyleCnt="0"/>
      <dgm:spPr/>
    </dgm:pt>
    <dgm:pt modelId="{3AA83042-C6A0-430D-A971-9605568394AE}" type="pres">
      <dgm:prSet presAssocID="{32749B59-2C98-470B-AABD-8467147E4ED5}" presName="level2Shape" presStyleLbl="node3" presStyleIdx="1" presStyleCnt="6" custLinFactNeighborX="-21790"/>
      <dgm:spPr>
        <a:prstGeom prst="roundRect">
          <a:avLst>
            <a:gd name="adj" fmla="val 10000"/>
          </a:avLst>
        </a:prstGeom>
      </dgm:spPr>
    </dgm:pt>
    <dgm:pt modelId="{4F22FB27-BD8F-4192-82DA-65CADA5DE14B}" type="pres">
      <dgm:prSet presAssocID="{32749B59-2C98-470B-AABD-8467147E4ED5}" presName="hierChild3" presStyleCnt="0"/>
      <dgm:spPr/>
    </dgm:pt>
    <dgm:pt modelId="{3EE1C531-81B5-4ED7-A764-4F31EDEA4555}" type="pres">
      <dgm:prSet presAssocID="{CF8E8573-03B3-4F49-8AEC-472E430E72F7}" presName="Name19" presStyleLbl="parChTrans1D3" presStyleIdx="2" presStyleCnt="6"/>
      <dgm:spPr>
        <a:custGeom>
          <a:avLst/>
          <a:gdLst/>
          <a:ahLst/>
          <a:cxnLst/>
          <a:rect l="0" t="0" r="0" b="0"/>
          <a:pathLst>
            <a:path>
              <a:moveTo>
                <a:pt x="0" y="0"/>
              </a:moveTo>
              <a:lnTo>
                <a:pt x="0" y="90853"/>
              </a:lnTo>
              <a:lnTo>
                <a:pt x="633799" y="90853"/>
              </a:lnTo>
              <a:lnTo>
                <a:pt x="633799" y="181707"/>
              </a:lnTo>
            </a:path>
          </a:pathLst>
        </a:custGeom>
      </dgm:spPr>
    </dgm:pt>
    <dgm:pt modelId="{DFB1255D-06DD-44EB-94C2-F006254AA3C3}" type="pres">
      <dgm:prSet presAssocID="{B1709D5C-C203-4EC3-8D96-7F3D04524818}" presName="Name21" presStyleCnt="0"/>
      <dgm:spPr/>
    </dgm:pt>
    <dgm:pt modelId="{56820485-9C6C-4C29-A2AA-31E4349C4C8D}" type="pres">
      <dgm:prSet presAssocID="{B1709D5C-C203-4EC3-8D96-7F3D04524818}" presName="level2Shape" presStyleLbl="node3" presStyleIdx="2" presStyleCnt="6" custLinFactNeighborX="-39507" custLinFactNeighborY="-1084"/>
      <dgm:spPr>
        <a:prstGeom prst="roundRect">
          <a:avLst>
            <a:gd name="adj" fmla="val 10000"/>
          </a:avLst>
        </a:prstGeom>
      </dgm:spPr>
    </dgm:pt>
    <dgm:pt modelId="{7731D9E4-6EF1-4EB3-917C-71DE42181E87}" type="pres">
      <dgm:prSet presAssocID="{B1709D5C-C203-4EC3-8D96-7F3D04524818}" presName="hierChild3" presStyleCnt="0"/>
      <dgm:spPr/>
    </dgm:pt>
    <dgm:pt modelId="{D7B2A863-C1FF-4C43-891C-F5989DF514D4}" type="pres">
      <dgm:prSet presAssocID="{C4C064A0-2B18-4F07-AE58-DB8BD5CC1736}" presName="Name19" presStyleLbl="parChTrans1D2" presStyleIdx="1" presStyleCnt="3"/>
      <dgm:spPr>
        <a:custGeom>
          <a:avLst/>
          <a:gdLst/>
          <a:ahLst/>
          <a:cxnLst/>
          <a:rect l="0" t="0" r="0" b="0"/>
          <a:pathLst>
            <a:path>
              <a:moveTo>
                <a:pt x="0" y="0"/>
              </a:moveTo>
              <a:lnTo>
                <a:pt x="0" y="93384"/>
              </a:lnTo>
              <a:lnTo>
                <a:pt x="703389" y="93384"/>
              </a:lnTo>
              <a:lnTo>
                <a:pt x="703389" y="186769"/>
              </a:lnTo>
            </a:path>
          </a:pathLst>
        </a:custGeom>
      </dgm:spPr>
    </dgm:pt>
    <dgm:pt modelId="{98E639A9-2BCD-49C3-B63A-D80B7095EE4C}" type="pres">
      <dgm:prSet presAssocID="{B20B76DA-DDA8-4AFE-ABF5-C5DD07FA762C}" presName="Name21" presStyleCnt="0"/>
      <dgm:spPr/>
    </dgm:pt>
    <dgm:pt modelId="{3295CFD5-CF1C-4342-B330-88C83653095A}" type="pres">
      <dgm:prSet presAssocID="{B20B76DA-DDA8-4AFE-ABF5-C5DD07FA762C}" presName="level2Shape" presStyleLbl="node2" presStyleIdx="1" presStyleCnt="3" custLinFactNeighborX="-77819" custLinFactNeighborY="0"/>
      <dgm:spPr>
        <a:prstGeom prst="roundRect">
          <a:avLst>
            <a:gd name="adj" fmla="val 10000"/>
          </a:avLst>
        </a:prstGeom>
      </dgm:spPr>
    </dgm:pt>
    <dgm:pt modelId="{B97A6EBC-3485-4E65-AC2F-28BB1CEDFBED}" type="pres">
      <dgm:prSet presAssocID="{B20B76DA-DDA8-4AFE-ABF5-C5DD07FA762C}" presName="hierChild3" presStyleCnt="0"/>
      <dgm:spPr/>
    </dgm:pt>
    <dgm:pt modelId="{8ACAA288-BB95-4C31-B654-E5EC28E739BA}" type="pres">
      <dgm:prSet presAssocID="{3A4442C6-A687-43BC-9380-CD7B614B2389}" presName="Name19" presStyleLbl="parChTrans1D3" presStyleIdx="3" presStyleCnt="6"/>
      <dgm:spPr>
        <a:custGeom>
          <a:avLst/>
          <a:gdLst/>
          <a:ahLst/>
          <a:cxnLst/>
          <a:rect l="0" t="0" r="0" b="0"/>
          <a:pathLst>
            <a:path>
              <a:moveTo>
                <a:pt x="728071" y="0"/>
              </a:moveTo>
              <a:lnTo>
                <a:pt x="728071" y="90027"/>
              </a:lnTo>
              <a:lnTo>
                <a:pt x="0" y="90027"/>
              </a:lnTo>
              <a:lnTo>
                <a:pt x="0" y="180055"/>
              </a:lnTo>
            </a:path>
          </a:pathLst>
        </a:custGeom>
      </dgm:spPr>
    </dgm:pt>
    <dgm:pt modelId="{B89244C0-AC3B-4150-B47C-E8172848484A}" type="pres">
      <dgm:prSet presAssocID="{4F7C3DF5-68F5-45DA-9360-830C2B03F735}" presName="Name21" presStyleCnt="0"/>
      <dgm:spPr/>
    </dgm:pt>
    <dgm:pt modelId="{0B40ACBE-1FCE-4905-825E-C08996420E2F}" type="pres">
      <dgm:prSet presAssocID="{4F7C3DF5-68F5-45DA-9360-830C2B03F735}" presName="level2Shape" presStyleLbl="node3" presStyleIdx="3" presStyleCnt="6" custLinFactNeighborX="-51772" custLinFactNeighborY="-1438"/>
      <dgm:spPr>
        <a:prstGeom prst="roundRect">
          <a:avLst>
            <a:gd name="adj" fmla="val 10000"/>
          </a:avLst>
        </a:prstGeom>
      </dgm:spPr>
    </dgm:pt>
    <dgm:pt modelId="{2210192D-65A6-4ACB-9BB9-512E5E934DBE}" type="pres">
      <dgm:prSet presAssocID="{4F7C3DF5-68F5-45DA-9360-830C2B03F735}" presName="hierChild3" presStyleCnt="0"/>
      <dgm:spPr/>
    </dgm:pt>
    <dgm:pt modelId="{A741884C-FCDD-48BF-ABC1-6A8786FE217C}" type="pres">
      <dgm:prSet presAssocID="{21EC095E-E87B-472C-AC70-A3CEC00F732E}" presName="Name19" presStyleLbl="parChTrans1D3" presStyleIdx="4" presStyleCnt="6"/>
      <dgm:spPr>
        <a:custGeom>
          <a:avLst/>
          <a:gdLst/>
          <a:ahLst/>
          <a:cxnLst/>
          <a:rect l="0" t="0" r="0" b="0"/>
          <a:pathLst>
            <a:path>
              <a:moveTo>
                <a:pt x="45720" y="0"/>
              </a:moveTo>
              <a:lnTo>
                <a:pt x="45720" y="86670"/>
              </a:lnTo>
              <a:lnTo>
                <a:pt x="127412" y="86670"/>
              </a:lnTo>
              <a:lnTo>
                <a:pt x="127412" y="173340"/>
              </a:lnTo>
            </a:path>
          </a:pathLst>
        </a:custGeom>
      </dgm:spPr>
    </dgm:pt>
    <dgm:pt modelId="{6218EFBF-F87B-4502-8532-C1F20F66C9FC}" type="pres">
      <dgm:prSet presAssocID="{FADC24D3-0248-4D5F-97BD-14BDFC9E1F8F}" presName="Name21" presStyleCnt="0"/>
      <dgm:spPr/>
    </dgm:pt>
    <dgm:pt modelId="{B882D4F5-F9CA-4B87-B01D-C5AB8CCBDC17}" type="pres">
      <dgm:prSet presAssocID="{FADC24D3-0248-4D5F-97BD-14BDFC9E1F8F}" presName="level2Shape" presStyleLbl="node3" presStyleIdx="4" presStyleCnt="6" custLinFactNeighborX="-66155" custLinFactNeighborY="-2876"/>
      <dgm:spPr>
        <a:prstGeom prst="roundRect">
          <a:avLst>
            <a:gd name="adj" fmla="val 10000"/>
          </a:avLst>
        </a:prstGeom>
      </dgm:spPr>
    </dgm:pt>
    <dgm:pt modelId="{D56DE40D-F26D-4B36-8662-91E03A76E39C}" type="pres">
      <dgm:prSet presAssocID="{FADC24D3-0248-4D5F-97BD-14BDFC9E1F8F}" presName="hierChild3" presStyleCnt="0"/>
      <dgm:spPr/>
    </dgm:pt>
    <dgm:pt modelId="{DB2BFC66-40D9-4252-9FFB-B246122510C8}" type="pres">
      <dgm:prSet presAssocID="{3E7EFDA9-6FE5-49B3-AE56-30E5046E6037}" presName="Name19" presStyleLbl="parChTrans1D3" presStyleIdx="5" presStyleCnt="6"/>
      <dgm:spPr>
        <a:custGeom>
          <a:avLst/>
          <a:gdLst/>
          <a:ahLst/>
          <a:cxnLst/>
          <a:rect l="0" t="0" r="0" b="0"/>
          <a:pathLst>
            <a:path>
              <a:moveTo>
                <a:pt x="0" y="0"/>
              </a:moveTo>
              <a:lnTo>
                <a:pt x="0" y="93384"/>
              </a:lnTo>
              <a:lnTo>
                <a:pt x="851192" y="93384"/>
              </a:lnTo>
              <a:lnTo>
                <a:pt x="851192" y="186769"/>
              </a:lnTo>
            </a:path>
          </a:pathLst>
        </a:custGeom>
      </dgm:spPr>
    </dgm:pt>
    <dgm:pt modelId="{6C0DEB0A-BC76-4710-A609-F93CAB8F18EF}" type="pres">
      <dgm:prSet presAssocID="{0A0CDBAD-AE18-4F7C-B7BA-C1E955E2B162}" presName="Name21" presStyleCnt="0"/>
      <dgm:spPr/>
    </dgm:pt>
    <dgm:pt modelId="{68BC4CD6-2A86-4CD9-B880-EE650EF224E0}" type="pres">
      <dgm:prSet presAssocID="{0A0CDBAD-AE18-4F7C-B7BA-C1E955E2B162}" presName="level2Shape" presStyleLbl="node3" presStyleIdx="5" presStyleCnt="6" custLinFactNeighborX="-86287" custLinFactNeighborY="0"/>
      <dgm:spPr>
        <a:prstGeom prst="roundRect">
          <a:avLst>
            <a:gd name="adj" fmla="val 10000"/>
          </a:avLst>
        </a:prstGeom>
      </dgm:spPr>
    </dgm:pt>
    <dgm:pt modelId="{A5B8AEA9-AB87-4155-A4F9-39599509AD55}" type="pres">
      <dgm:prSet presAssocID="{0A0CDBAD-AE18-4F7C-B7BA-C1E955E2B162}" presName="hierChild3" presStyleCnt="0"/>
      <dgm:spPr/>
    </dgm:pt>
    <dgm:pt modelId="{11246296-3FF4-4706-937C-7CCFEE9442D4}" type="pres">
      <dgm:prSet presAssocID="{7D6058BD-9054-4855-9B54-84EC2559955A}" presName="Name19" presStyleLbl="parChTrans1D2" presStyleIdx="2" presStyleCnt="3"/>
      <dgm:spPr>
        <a:custGeom>
          <a:avLst/>
          <a:gdLst/>
          <a:ahLst/>
          <a:cxnLst/>
          <a:rect l="0" t="0" r="0" b="0"/>
          <a:pathLst>
            <a:path>
              <a:moveTo>
                <a:pt x="0" y="0"/>
              </a:moveTo>
              <a:lnTo>
                <a:pt x="0" y="93384"/>
              </a:lnTo>
              <a:lnTo>
                <a:pt x="2158923" y="93384"/>
              </a:lnTo>
              <a:lnTo>
                <a:pt x="2158923" y="186769"/>
              </a:lnTo>
            </a:path>
          </a:pathLst>
        </a:custGeom>
      </dgm:spPr>
    </dgm:pt>
    <dgm:pt modelId="{BD53E1DA-979D-4A13-A1CC-04C47A79DA19}" type="pres">
      <dgm:prSet presAssocID="{032CB7C9-F82D-4976-8561-4EB0D1C76391}" presName="Name21" presStyleCnt="0"/>
      <dgm:spPr/>
    </dgm:pt>
    <dgm:pt modelId="{3D472AC4-40F2-4B23-97AE-5842DD81E83A}" type="pres">
      <dgm:prSet presAssocID="{032CB7C9-F82D-4976-8561-4EB0D1C76391}" presName="level2Shape" presStyleLbl="node2" presStyleIdx="2" presStyleCnt="3"/>
      <dgm:spPr>
        <a:prstGeom prst="roundRect">
          <a:avLst>
            <a:gd name="adj" fmla="val 10000"/>
          </a:avLst>
        </a:prstGeom>
      </dgm:spPr>
    </dgm:pt>
    <dgm:pt modelId="{CDF189CF-4DE7-473F-B5EF-D7278791C4ED}" type="pres">
      <dgm:prSet presAssocID="{032CB7C9-F82D-4976-8561-4EB0D1C76391}" presName="hierChild3" presStyleCnt="0"/>
      <dgm:spPr/>
    </dgm:pt>
    <dgm:pt modelId="{A61C08E3-C3E6-4BA4-B33E-4ECE3650EEDD}" type="pres">
      <dgm:prSet presAssocID="{F2E1A73D-ACCE-4866-BC79-0A4CB223DDCD}" presName="bgShapesFlow" presStyleCnt="0"/>
      <dgm:spPr/>
    </dgm:pt>
  </dgm:ptLst>
  <dgm:cxnLst>
    <dgm:cxn modelId="{BF935BF9-9EE6-47FB-8AFF-344BBCF290B0}" srcId="{7BA8303A-E635-4EFB-AEAB-1C3A4843C533}" destId="{032CB7C9-F82D-4976-8561-4EB0D1C76391}" srcOrd="2" destOrd="0" parTransId="{7D6058BD-9054-4855-9B54-84EC2559955A}" sibTransId="{44005BB3-A9D3-418E-A72D-547DE876844C}"/>
    <dgm:cxn modelId="{D3BEB70C-A0C6-284E-82B1-DABF171E84A1}" type="presOf" srcId="{F2E1A73D-ACCE-4866-BC79-0A4CB223DDCD}" destId="{D16F3DE1-C47A-40DC-8171-9972E773BEB0}" srcOrd="0" destOrd="0" presId="urn:microsoft.com/office/officeart/2005/8/layout/hierarchy6"/>
    <dgm:cxn modelId="{D67DA6E6-F785-4C3B-932D-8D9892DE31FF}" srcId="{4BE996C0-978F-4DD8-96E3-AB922E70893A}" destId="{B1709D5C-C203-4EC3-8D96-7F3D04524818}" srcOrd="2" destOrd="0" parTransId="{CF8E8573-03B3-4F49-8AEC-472E430E72F7}" sibTransId="{27193FD4-58FE-4F0F-B130-22D9E9CB7368}"/>
    <dgm:cxn modelId="{ADFD8FCE-2EE4-C542-9746-EDB0A7BA0F00}" type="presOf" srcId="{0A0CDBAD-AE18-4F7C-B7BA-C1E955E2B162}" destId="{68BC4CD6-2A86-4CD9-B880-EE650EF224E0}" srcOrd="0" destOrd="0" presId="urn:microsoft.com/office/officeart/2005/8/layout/hierarchy6"/>
    <dgm:cxn modelId="{F4CDC6A3-0DCF-6E48-9D64-5E9EBD1C3051}" type="presOf" srcId="{4BE996C0-978F-4DD8-96E3-AB922E70893A}" destId="{C48F7813-1C5D-40C5-96AA-E6E9292E1825}" srcOrd="0" destOrd="0" presId="urn:microsoft.com/office/officeart/2005/8/layout/hierarchy6"/>
    <dgm:cxn modelId="{7D5414E5-F57E-6F49-8D0E-57AE99C49F7B}" type="presOf" srcId="{032CB7C9-F82D-4976-8561-4EB0D1C76391}" destId="{3D472AC4-40F2-4B23-97AE-5842DD81E83A}" srcOrd="0" destOrd="0" presId="urn:microsoft.com/office/officeart/2005/8/layout/hierarchy6"/>
    <dgm:cxn modelId="{99533FF2-8605-FC49-A896-5A6EA1C3A200}" type="presOf" srcId="{32749B59-2C98-470B-AABD-8467147E4ED5}" destId="{3AA83042-C6A0-430D-A971-9605568394AE}" srcOrd="0" destOrd="0" presId="urn:microsoft.com/office/officeart/2005/8/layout/hierarchy6"/>
    <dgm:cxn modelId="{3E6269CD-A07A-9646-BAA2-01C599426DA3}" type="presOf" srcId="{7BA8303A-E635-4EFB-AEAB-1C3A4843C533}" destId="{38C172D0-E265-48B4-A6EB-29A1B86223E8}" srcOrd="0" destOrd="0" presId="urn:microsoft.com/office/officeart/2005/8/layout/hierarchy6"/>
    <dgm:cxn modelId="{B44E6620-0F42-3049-913D-324D2AAC11E8}" type="presOf" srcId="{3F8A0E48-A573-46BC-A180-C61A8BF1C882}" destId="{17D187AD-6106-468F-9C4E-46A5A7B26ADF}" srcOrd="0" destOrd="0" presId="urn:microsoft.com/office/officeart/2005/8/layout/hierarchy6"/>
    <dgm:cxn modelId="{7A18662B-BFF3-454F-BAF9-F1B8BD10A3F6}" srcId="{4BE996C0-978F-4DD8-96E3-AB922E70893A}" destId="{962B979F-A5F8-4BE2-9F03-0CED442DBA43}" srcOrd="0" destOrd="0" parTransId="{34DD47C7-A134-4FB9-B72F-A0194E91F46F}" sibTransId="{04BF494F-50B2-4C2F-B01F-4906BB47E9D6}"/>
    <dgm:cxn modelId="{3867B7FC-BBF2-43DD-951E-E342F959B4FD}" srcId="{F2E1A73D-ACCE-4866-BC79-0A4CB223DDCD}" destId="{7BA8303A-E635-4EFB-AEAB-1C3A4843C533}" srcOrd="0" destOrd="0" parTransId="{330CBAF7-B34E-4BA5-9538-049E1168793E}" sibTransId="{BFF75D39-1363-4193-9D61-41061E5A4993}"/>
    <dgm:cxn modelId="{96978006-FC75-1A43-AA9A-5CF633D9A622}" type="presOf" srcId="{962B979F-A5F8-4BE2-9F03-0CED442DBA43}" destId="{ABC1260C-408A-4F19-BF24-26521A7D0698}" srcOrd="0" destOrd="0" presId="urn:microsoft.com/office/officeart/2005/8/layout/hierarchy6"/>
    <dgm:cxn modelId="{6F485F35-9CDE-404C-B1C4-C752A30A1A23}" srcId="{7BA8303A-E635-4EFB-AEAB-1C3A4843C533}" destId="{B20B76DA-DDA8-4AFE-ABF5-C5DD07FA762C}" srcOrd="1" destOrd="0" parTransId="{C4C064A0-2B18-4F07-AE58-DB8BD5CC1736}" sibTransId="{BFECECE4-94B5-42DE-AB35-2CDCE4418724}"/>
    <dgm:cxn modelId="{22A81D2D-F62E-B445-A6CF-42D2420C9BD9}" type="presOf" srcId="{FADC24D3-0248-4D5F-97BD-14BDFC9E1F8F}" destId="{B882D4F5-F9CA-4B87-B01D-C5AB8CCBDC17}" srcOrd="0" destOrd="0" presId="urn:microsoft.com/office/officeart/2005/8/layout/hierarchy6"/>
    <dgm:cxn modelId="{39281D18-D4F3-A64B-A41A-A06468A5397E}" type="presOf" srcId="{38E87281-38A0-4B0B-822A-3A9B998105EB}" destId="{D0B270EA-B8DF-4FEB-8E53-2A2E11CD22BC}" srcOrd="0" destOrd="0" presId="urn:microsoft.com/office/officeart/2005/8/layout/hierarchy6"/>
    <dgm:cxn modelId="{A6705E63-E63F-AA40-AA81-8BAF5538B436}" type="presOf" srcId="{3E7EFDA9-6FE5-49B3-AE56-30E5046E6037}" destId="{DB2BFC66-40D9-4252-9FFB-B246122510C8}" srcOrd="0" destOrd="0" presId="urn:microsoft.com/office/officeart/2005/8/layout/hierarchy6"/>
    <dgm:cxn modelId="{1AD12C04-42C1-5B49-9C4B-4E2BDA79CC88}" type="presOf" srcId="{C4C064A0-2B18-4F07-AE58-DB8BD5CC1736}" destId="{D7B2A863-C1FF-4C43-891C-F5989DF514D4}" srcOrd="0" destOrd="0" presId="urn:microsoft.com/office/officeart/2005/8/layout/hierarchy6"/>
    <dgm:cxn modelId="{74CC3996-3CB6-984A-B3ED-108E33C94D41}" type="presOf" srcId="{3A4442C6-A687-43BC-9380-CD7B614B2389}" destId="{8ACAA288-BB95-4C31-B654-E5EC28E739BA}" srcOrd="0" destOrd="0" presId="urn:microsoft.com/office/officeart/2005/8/layout/hierarchy6"/>
    <dgm:cxn modelId="{FB849630-3533-4ED5-897E-317E7AE7ECB3}" srcId="{B20B76DA-DDA8-4AFE-ABF5-C5DD07FA762C}" destId="{FADC24D3-0248-4D5F-97BD-14BDFC9E1F8F}" srcOrd="1" destOrd="0" parTransId="{21EC095E-E87B-472C-AC70-A3CEC00F732E}" sibTransId="{3421A968-BFAF-4930-B92E-DED5C8C330D8}"/>
    <dgm:cxn modelId="{EB7C6EAE-977E-B74C-B52C-97AE0E9908F3}" type="presOf" srcId="{B1709D5C-C203-4EC3-8D96-7F3D04524818}" destId="{56820485-9C6C-4C29-A2AA-31E4349C4C8D}" srcOrd="0" destOrd="0" presId="urn:microsoft.com/office/officeart/2005/8/layout/hierarchy6"/>
    <dgm:cxn modelId="{16D01A95-F288-4C63-848F-8F5334018054}" srcId="{B20B76DA-DDA8-4AFE-ABF5-C5DD07FA762C}" destId="{0A0CDBAD-AE18-4F7C-B7BA-C1E955E2B162}" srcOrd="2" destOrd="0" parTransId="{3E7EFDA9-6FE5-49B3-AE56-30E5046E6037}" sibTransId="{16BAE928-F038-4D0B-9FE4-0FDA4AD0319F}"/>
    <dgm:cxn modelId="{D58E6464-CABC-B34B-BC2C-656AE0824AFE}" type="presOf" srcId="{34DD47C7-A134-4FB9-B72F-A0194E91F46F}" destId="{24DC0EF4-7B9A-43D7-915C-BEC6B4A2E273}" srcOrd="0" destOrd="0" presId="urn:microsoft.com/office/officeart/2005/8/layout/hierarchy6"/>
    <dgm:cxn modelId="{DBCE1B03-ECDD-9D42-B5D3-4FBDDAE21144}" type="presOf" srcId="{7D6058BD-9054-4855-9B54-84EC2559955A}" destId="{11246296-3FF4-4706-937C-7CCFEE9442D4}" srcOrd="0" destOrd="0" presId="urn:microsoft.com/office/officeart/2005/8/layout/hierarchy6"/>
    <dgm:cxn modelId="{F93648CC-5CD5-4B11-8EA3-8DA293A9D31A}" srcId="{B20B76DA-DDA8-4AFE-ABF5-C5DD07FA762C}" destId="{4F7C3DF5-68F5-45DA-9360-830C2B03F735}" srcOrd="0" destOrd="0" parTransId="{3A4442C6-A687-43BC-9380-CD7B614B2389}" sibTransId="{ADBD0234-38A4-4DF9-95F6-C77601737712}"/>
    <dgm:cxn modelId="{D92E1717-35DF-46C3-B3A5-6C953E120B18}" srcId="{7BA8303A-E635-4EFB-AEAB-1C3A4843C533}" destId="{4BE996C0-978F-4DD8-96E3-AB922E70893A}" srcOrd="0" destOrd="0" parTransId="{38E87281-38A0-4B0B-822A-3A9B998105EB}" sibTransId="{34B6DC4D-7F44-4ED2-A5F0-4558B6A41AEB}"/>
    <dgm:cxn modelId="{069A129E-5A0A-41AF-81AC-6EEA908145A3}" srcId="{4BE996C0-978F-4DD8-96E3-AB922E70893A}" destId="{32749B59-2C98-470B-AABD-8467147E4ED5}" srcOrd="1" destOrd="0" parTransId="{3F8A0E48-A573-46BC-A180-C61A8BF1C882}" sibTransId="{F48B1532-F68D-4503-ABC4-913109B1F45A}"/>
    <dgm:cxn modelId="{1112B508-B6F4-1D4F-8DAD-772152663CB0}" type="presOf" srcId="{B20B76DA-DDA8-4AFE-ABF5-C5DD07FA762C}" destId="{3295CFD5-CF1C-4342-B330-88C83653095A}" srcOrd="0" destOrd="0" presId="urn:microsoft.com/office/officeart/2005/8/layout/hierarchy6"/>
    <dgm:cxn modelId="{92C6AB34-526E-5144-984B-FB5898E061D3}" type="presOf" srcId="{CF8E8573-03B3-4F49-8AEC-472E430E72F7}" destId="{3EE1C531-81B5-4ED7-A764-4F31EDEA4555}" srcOrd="0" destOrd="0" presId="urn:microsoft.com/office/officeart/2005/8/layout/hierarchy6"/>
    <dgm:cxn modelId="{D91CBFE5-F092-6945-9F24-0128D1EEC247}" type="presOf" srcId="{4F7C3DF5-68F5-45DA-9360-830C2B03F735}" destId="{0B40ACBE-1FCE-4905-825E-C08996420E2F}" srcOrd="0" destOrd="0" presId="urn:microsoft.com/office/officeart/2005/8/layout/hierarchy6"/>
    <dgm:cxn modelId="{2F1942A9-330E-2C47-A7AD-717E0AEB7815}" type="presOf" srcId="{21EC095E-E87B-472C-AC70-A3CEC00F732E}" destId="{A741884C-FCDD-48BF-ABC1-6A8786FE217C}" srcOrd="0" destOrd="0" presId="urn:microsoft.com/office/officeart/2005/8/layout/hierarchy6"/>
    <dgm:cxn modelId="{9DA07033-C161-8D4B-B5B9-469DA8CEF010}" type="presParOf" srcId="{D16F3DE1-C47A-40DC-8171-9972E773BEB0}" destId="{BAF3EA38-044B-4CE0-A08E-15ED6F48AFCA}" srcOrd="0" destOrd="0" presId="urn:microsoft.com/office/officeart/2005/8/layout/hierarchy6"/>
    <dgm:cxn modelId="{A73372C3-0C1B-2440-95E3-352193BA68C9}" type="presParOf" srcId="{BAF3EA38-044B-4CE0-A08E-15ED6F48AFCA}" destId="{A1F2C2A1-E782-48D9-9275-91D5C9CD60A6}" srcOrd="0" destOrd="0" presId="urn:microsoft.com/office/officeart/2005/8/layout/hierarchy6"/>
    <dgm:cxn modelId="{20988F3A-B05A-804A-A7A8-2A0D67C651B7}" type="presParOf" srcId="{A1F2C2A1-E782-48D9-9275-91D5C9CD60A6}" destId="{2520C7F2-39A2-462A-BEED-B5A3422A8253}" srcOrd="0" destOrd="0" presId="urn:microsoft.com/office/officeart/2005/8/layout/hierarchy6"/>
    <dgm:cxn modelId="{FD699603-9D77-504D-811E-D9E4274FBCBE}" type="presParOf" srcId="{2520C7F2-39A2-462A-BEED-B5A3422A8253}" destId="{38C172D0-E265-48B4-A6EB-29A1B86223E8}" srcOrd="0" destOrd="0" presId="urn:microsoft.com/office/officeart/2005/8/layout/hierarchy6"/>
    <dgm:cxn modelId="{7FE53452-2400-0544-AFB5-6A4FF299FF22}" type="presParOf" srcId="{2520C7F2-39A2-462A-BEED-B5A3422A8253}" destId="{B772E80A-0F8A-4010-95BD-2DC4E1BB123F}" srcOrd="1" destOrd="0" presId="urn:microsoft.com/office/officeart/2005/8/layout/hierarchy6"/>
    <dgm:cxn modelId="{6EC07F99-1256-3A41-8471-CB4CB37FB12F}" type="presParOf" srcId="{B772E80A-0F8A-4010-95BD-2DC4E1BB123F}" destId="{D0B270EA-B8DF-4FEB-8E53-2A2E11CD22BC}" srcOrd="0" destOrd="0" presId="urn:microsoft.com/office/officeart/2005/8/layout/hierarchy6"/>
    <dgm:cxn modelId="{9CF93374-696A-0743-B5FD-349D974A75C5}" type="presParOf" srcId="{B772E80A-0F8A-4010-95BD-2DC4E1BB123F}" destId="{49726958-1D7B-46D6-BB42-3AC9EB126EED}" srcOrd="1" destOrd="0" presId="urn:microsoft.com/office/officeart/2005/8/layout/hierarchy6"/>
    <dgm:cxn modelId="{DCD6A1A5-10CF-CC4C-9735-26116F71F3F7}" type="presParOf" srcId="{49726958-1D7B-46D6-BB42-3AC9EB126EED}" destId="{C48F7813-1C5D-40C5-96AA-E6E9292E1825}" srcOrd="0" destOrd="0" presId="urn:microsoft.com/office/officeart/2005/8/layout/hierarchy6"/>
    <dgm:cxn modelId="{8DB3BF26-73B5-824F-AC17-26AEA8DB0B63}" type="presParOf" srcId="{49726958-1D7B-46D6-BB42-3AC9EB126EED}" destId="{528568F4-22C4-40BB-8A5D-6019D8E87325}" srcOrd="1" destOrd="0" presId="urn:microsoft.com/office/officeart/2005/8/layout/hierarchy6"/>
    <dgm:cxn modelId="{80F0AD05-C3A5-B64D-A828-9DED9C38D593}" type="presParOf" srcId="{528568F4-22C4-40BB-8A5D-6019D8E87325}" destId="{24DC0EF4-7B9A-43D7-915C-BEC6B4A2E273}" srcOrd="0" destOrd="0" presId="urn:microsoft.com/office/officeart/2005/8/layout/hierarchy6"/>
    <dgm:cxn modelId="{3DECEE37-20F8-CE40-BA54-5C3991C9CB29}" type="presParOf" srcId="{528568F4-22C4-40BB-8A5D-6019D8E87325}" destId="{3CD69AC7-50AE-4F4E-B375-BF5033783F1A}" srcOrd="1" destOrd="0" presId="urn:microsoft.com/office/officeart/2005/8/layout/hierarchy6"/>
    <dgm:cxn modelId="{36286EF2-B6DA-6142-9E1F-756E6AD54DBB}" type="presParOf" srcId="{3CD69AC7-50AE-4F4E-B375-BF5033783F1A}" destId="{ABC1260C-408A-4F19-BF24-26521A7D0698}" srcOrd="0" destOrd="0" presId="urn:microsoft.com/office/officeart/2005/8/layout/hierarchy6"/>
    <dgm:cxn modelId="{705D7AC9-AC89-E345-B50E-1CCDC589A970}" type="presParOf" srcId="{3CD69AC7-50AE-4F4E-B375-BF5033783F1A}" destId="{422F947B-D6C8-4830-ABD9-82832040CF10}" srcOrd="1" destOrd="0" presId="urn:microsoft.com/office/officeart/2005/8/layout/hierarchy6"/>
    <dgm:cxn modelId="{00763B6E-7817-9045-B6F3-D1280189E1BA}" type="presParOf" srcId="{528568F4-22C4-40BB-8A5D-6019D8E87325}" destId="{17D187AD-6106-468F-9C4E-46A5A7B26ADF}" srcOrd="2" destOrd="0" presId="urn:microsoft.com/office/officeart/2005/8/layout/hierarchy6"/>
    <dgm:cxn modelId="{540305C4-546A-0441-91DB-F7DC58EF1E88}" type="presParOf" srcId="{528568F4-22C4-40BB-8A5D-6019D8E87325}" destId="{0ADE7357-3E3C-4966-8A89-EE36F1B6841F}" srcOrd="3" destOrd="0" presId="urn:microsoft.com/office/officeart/2005/8/layout/hierarchy6"/>
    <dgm:cxn modelId="{70935E14-59D9-9948-8763-CCAA09C03714}" type="presParOf" srcId="{0ADE7357-3E3C-4966-8A89-EE36F1B6841F}" destId="{3AA83042-C6A0-430D-A971-9605568394AE}" srcOrd="0" destOrd="0" presId="urn:microsoft.com/office/officeart/2005/8/layout/hierarchy6"/>
    <dgm:cxn modelId="{6512FEB1-8668-7146-B965-B9A62726402E}" type="presParOf" srcId="{0ADE7357-3E3C-4966-8A89-EE36F1B6841F}" destId="{4F22FB27-BD8F-4192-82DA-65CADA5DE14B}" srcOrd="1" destOrd="0" presId="urn:microsoft.com/office/officeart/2005/8/layout/hierarchy6"/>
    <dgm:cxn modelId="{8D7C88D0-9A43-BD4D-8734-B7BA494C2F2D}" type="presParOf" srcId="{528568F4-22C4-40BB-8A5D-6019D8E87325}" destId="{3EE1C531-81B5-4ED7-A764-4F31EDEA4555}" srcOrd="4" destOrd="0" presId="urn:microsoft.com/office/officeart/2005/8/layout/hierarchy6"/>
    <dgm:cxn modelId="{9AFD24DB-E36E-1A48-9966-EC521A0A3675}" type="presParOf" srcId="{528568F4-22C4-40BB-8A5D-6019D8E87325}" destId="{DFB1255D-06DD-44EB-94C2-F006254AA3C3}" srcOrd="5" destOrd="0" presId="urn:microsoft.com/office/officeart/2005/8/layout/hierarchy6"/>
    <dgm:cxn modelId="{6F5E57B7-1D62-B649-B6E2-ADDC7B736384}" type="presParOf" srcId="{DFB1255D-06DD-44EB-94C2-F006254AA3C3}" destId="{56820485-9C6C-4C29-A2AA-31E4349C4C8D}" srcOrd="0" destOrd="0" presId="urn:microsoft.com/office/officeart/2005/8/layout/hierarchy6"/>
    <dgm:cxn modelId="{68D7A76B-A8EA-AE4F-8834-42036FA0832F}" type="presParOf" srcId="{DFB1255D-06DD-44EB-94C2-F006254AA3C3}" destId="{7731D9E4-6EF1-4EB3-917C-71DE42181E87}" srcOrd="1" destOrd="0" presId="urn:microsoft.com/office/officeart/2005/8/layout/hierarchy6"/>
    <dgm:cxn modelId="{1512006A-DC40-4B44-B3A2-0B96E728E831}" type="presParOf" srcId="{B772E80A-0F8A-4010-95BD-2DC4E1BB123F}" destId="{D7B2A863-C1FF-4C43-891C-F5989DF514D4}" srcOrd="2" destOrd="0" presId="urn:microsoft.com/office/officeart/2005/8/layout/hierarchy6"/>
    <dgm:cxn modelId="{D30954F8-32D4-C748-AD79-2B7AC0AE79A8}" type="presParOf" srcId="{B772E80A-0F8A-4010-95BD-2DC4E1BB123F}" destId="{98E639A9-2BCD-49C3-B63A-D80B7095EE4C}" srcOrd="3" destOrd="0" presId="urn:microsoft.com/office/officeart/2005/8/layout/hierarchy6"/>
    <dgm:cxn modelId="{83B46833-1E3C-CF42-B8BA-60EF6CEFFF02}" type="presParOf" srcId="{98E639A9-2BCD-49C3-B63A-D80B7095EE4C}" destId="{3295CFD5-CF1C-4342-B330-88C83653095A}" srcOrd="0" destOrd="0" presId="urn:microsoft.com/office/officeart/2005/8/layout/hierarchy6"/>
    <dgm:cxn modelId="{065EA98A-2CAC-ED40-B572-4B586494E50F}" type="presParOf" srcId="{98E639A9-2BCD-49C3-B63A-D80B7095EE4C}" destId="{B97A6EBC-3485-4E65-AC2F-28BB1CEDFBED}" srcOrd="1" destOrd="0" presId="urn:microsoft.com/office/officeart/2005/8/layout/hierarchy6"/>
    <dgm:cxn modelId="{0B8FE3DB-A292-C44A-8376-F50B7A042895}" type="presParOf" srcId="{B97A6EBC-3485-4E65-AC2F-28BB1CEDFBED}" destId="{8ACAA288-BB95-4C31-B654-E5EC28E739BA}" srcOrd="0" destOrd="0" presId="urn:microsoft.com/office/officeart/2005/8/layout/hierarchy6"/>
    <dgm:cxn modelId="{314E2713-AC04-B341-8C6D-DA5CB1C5D9C0}" type="presParOf" srcId="{B97A6EBC-3485-4E65-AC2F-28BB1CEDFBED}" destId="{B89244C0-AC3B-4150-B47C-E8172848484A}" srcOrd="1" destOrd="0" presId="urn:microsoft.com/office/officeart/2005/8/layout/hierarchy6"/>
    <dgm:cxn modelId="{66A7340C-F98A-F746-9314-FED615AE3798}" type="presParOf" srcId="{B89244C0-AC3B-4150-B47C-E8172848484A}" destId="{0B40ACBE-1FCE-4905-825E-C08996420E2F}" srcOrd="0" destOrd="0" presId="urn:microsoft.com/office/officeart/2005/8/layout/hierarchy6"/>
    <dgm:cxn modelId="{B97F158E-4BF5-DD4F-91EB-E6C2087E39F8}" type="presParOf" srcId="{B89244C0-AC3B-4150-B47C-E8172848484A}" destId="{2210192D-65A6-4ACB-9BB9-512E5E934DBE}" srcOrd="1" destOrd="0" presId="urn:microsoft.com/office/officeart/2005/8/layout/hierarchy6"/>
    <dgm:cxn modelId="{C29F6426-0C3D-9B4C-8165-47C88259571C}" type="presParOf" srcId="{B97A6EBC-3485-4E65-AC2F-28BB1CEDFBED}" destId="{A741884C-FCDD-48BF-ABC1-6A8786FE217C}" srcOrd="2" destOrd="0" presId="urn:microsoft.com/office/officeart/2005/8/layout/hierarchy6"/>
    <dgm:cxn modelId="{5211F1B7-ED9A-0346-9E98-36759C398C5D}" type="presParOf" srcId="{B97A6EBC-3485-4E65-AC2F-28BB1CEDFBED}" destId="{6218EFBF-F87B-4502-8532-C1F20F66C9FC}" srcOrd="3" destOrd="0" presId="urn:microsoft.com/office/officeart/2005/8/layout/hierarchy6"/>
    <dgm:cxn modelId="{3C9C07DD-FD36-D045-AFE1-16EB0D555B1D}" type="presParOf" srcId="{6218EFBF-F87B-4502-8532-C1F20F66C9FC}" destId="{B882D4F5-F9CA-4B87-B01D-C5AB8CCBDC17}" srcOrd="0" destOrd="0" presId="urn:microsoft.com/office/officeart/2005/8/layout/hierarchy6"/>
    <dgm:cxn modelId="{C57BC578-49C9-A345-B202-F19BF70575D3}" type="presParOf" srcId="{6218EFBF-F87B-4502-8532-C1F20F66C9FC}" destId="{D56DE40D-F26D-4B36-8662-91E03A76E39C}" srcOrd="1" destOrd="0" presId="urn:microsoft.com/office/officeart/2005/8/layout/hierarchy6"/>
    <dgm:cxn modelId="{750040D1-D5DA-C840-8669-8FB4ED021F31}" type="presParOf" srcId="{B97A6EBC-3485-4E65-AC2F-28BB1CEDFBED}" destId="{DB2BFC66-40D9-4252-9FFB-B246122510C8}" srcOrd="4" destOrd="0" presId="urn:microsoft.com/office/officeart/2005/8/layout/hierarchy6"/>
    <dgm:cxn modelId="{72679514-A7CB-BA4C-928A-205AA48A568F}" type="presParOf" srcId="{B97A6EBC-3485-4E65-AC2F-28BB1CEDFBED}" destId="{6C0DEB0A-BC76-4710-A609-F93CAB8F18EF}" srcOrd="5" destOrd="0" presId="urn:microsoft.com/office/officeart/2005/8/layout/hierarchy6"/>
    <dgm:cxn modelId="{720E196D-97A8-B144-B167-BAB23A7DB82F}" type="presParOf" srcId="{6C0DEB0A-BC76-4710-A609-F93CAB8F18EF}" destId="{68BC4CD6-2A86-4CD9-B880-EE650EF224E0}" srcOrd="0" destOrd="0" presId="urn:microsoft.com/office/officeart/2005/8/layout/hierarchy6"/>
    <dgm:cxn modelId="{DD7549E9-48FF-FD4D-B40D-A526D54980C7}" type="presParOf" srcId="{6C0DEB0A-BC76-4710-A609-F93CAB8F18EF}" destId="{A5B8AEA9-AB87-4155-A4F9-39599509AD55}" srcOrd="1" destOrd="0" presId="urn:microsoft.com/office/officeart/2005/8/layout/hierarchy6"/>
    <dgm:cxn modelId="{A4E00B12-95D8-B24D-BD9E-C2CDC459B6B1}" type="presParOf" srcId="{B772E80A-0F8A-4010-95BD-2DC4E1BB123F}" destId="{11246296-3FF4-4706-937C-7CCFEE9442D4}" srcOrd="4" destOrd="0" presId="urn:microsoft.com/office/officeart/2005/8/layout/hierarchy6"/>
    <dgm:cxn modelId="{810DF397-8D84-F642-8747-8761705D7C6C}" type="presParOf" srcId="{B772E80A-0F8A-4010-95BD-2DC4E1BB123F}" destId="{BD53E1DA-979D-4A13-A1CC-04C47A79DA19}" srcOrd="5" destOrd="0" presId="urn:microsoft.com/office/officeart/2005/8/layout/hierarchy6"/>
    <dgm:cxn modelId="{4E475638-0EF5-8D42-9C89-6872096D7C2B}" type="presParOf" srcId="{BD53E1DA-979D-4A13-A1CC-04C47A79DA19}" destId="{3D472AC4-40F2-4B23-97AE-5842DD81E83A}" srcOrd="0" destOrd="0" presId="urn:microsoft.com/office/officeart/2005/8/layout/hierarchy6"/>
    <dgm:cxn modelId="{6E6F1124-2C22-664B-8D60-A1CE25A04255}" type="presParOf" srcId="{BD53E1DA-979D-4A13-A1CC-04C47A79DA19}" destId="{CDF189CF-4DE7-473F-B5EF-D7278791C4ED}" srcOrd="1" destOrd="0" presId="urn:microsoft.com/office/officeart/2005/8/layout/hierarchy6"/>
    <dgm:cxn modelId="{9FE5C391-CABF-4549-A974-73485AEFF7B9}" type="presParOf" srcId="{D16F3DE1-C47A-40DC-8171-9972E773BEB0}" destId="{A61C08E3-C3E6-4BA4-B33E-4ECE3650EEDD}"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172D0-E265-48B4-A6EB-29A1B86223E8}">
      <dsp:nvSpPr>
        <dsp:cNvPr id="0" name=""/>
        <dsp:cNvSpPr/>
      </dsp:nvSpPr>
      <dsp:spPr>
        <a:xfrm>
          <a:off x="2391824" y="346268"/>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Overall priority</a:t>
          </a:r>
        </a:p>
      </dsp:txBody>
      <dsp:txXfrm>
        <a:off x="2405486" y="359930"/>
        <a:ext cx="672359" cy="439131"/>
      </dsp:txXfrm>
    </dsp:sp>
    <dsp:sp modelId="{D0B270EA-B8DF-4FEB-8E53-2A2E11CD22BC}">
      <dsp:nvSpPr>
        <dsp:cNvPr id="0" name=""/>
        <dsp:cNvSpPr/>
      </dsp:nvSpPr>
      <dsp:spPr>
        <a:xfrm>
          <a:off x="1260071" y="812724"/>
          <a:ext cx="1481594" cy="186582"/>
        </a:xfrm>
        <a:custGeom>
          <a:avLst/>
          <a:gdLst/>
          <a:ahLst/>
          <a:cxnLst/>
          <a:rect l="0" t="0" r="0" b="0"/>
          <a:pathLst>
            <a:path>
              <a:moveTo>
                <a:pt x="1483079" y="0"/>
              </a:moveTo>
              <a:lnTo>
                <a:pt x="1483079" y="93384"/>
              </a:lnTo>
              <a:lnTo>
                <a:pt x="0" y="93384"/>
              </a:lnTo>
              <a:lnTo>
                <a:pt x="0" y="1867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8F7813-1C5D-40C5-96AA-E6E9292E1825}">
      <dsp:nvSpPr>
        <dsp:cNvPr id="0" name=""/>
        <dsp:cNvSpPr/>
      </dsp:nvSpPr>
      <dsp:spPr>
        <a:xfrm>
          <a:off x="910229" y="999307"/>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Size of problem</a:t>
          </a:r>
        </a:p>
      </dsp:txBody>
      <dsp:txXfrm>
        <a:off x="923891" y="1012969"/>
        <a:ext cx="672359" cy="439131"/>
      </dsp:txXfrm>
    </dsp:sp>
    <dsp:sp modelId="{24DC0EF4-7B9A-43D7-915C-BEC6B4A2E273}">
      <dsp:nvSpPr>
        <dsp:cNvPr id="0" name=""/>
        <dsp:cNvSpPr/>
      </dsp:nvSpPr>
      <dsp:spPr>
        <a:xfrm>
          <a:off x="350482" y="1465762"/>
          <a:ext cx="909588" cy="186582"/>
        </a:xfrm>
        <a:custGeom>
          <a:avLst/>
          <a:gdLst/>
          <a:ahLst/>
          <a:cxnLst/>
          <a:rect l="0" t="0" r="0" b="0"/>
          <a:pathLst>
            <a:path>
              <a:moveTo>
                <a:pt x="910500" y="0"/>
              </a:moveTo>
              <a:lnTo>
                <a:pt x="910500" y="93384"/>
              </a:lnTo>
              <a:lnTo>
                <a:pt x="0" y="93384"/>
              </a:lnTo>
              <a:lnTo>
                <a:pt x="0" y="1867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C1260C-408A-4F19-BF24-26521A7D0698}">
      <dsp:nvSpPr>
        <dsp:cNvPr id="0" name=""/>
        <dsp:cNvSpPr/>
      </dsp:nvSpPr>
      <dsp:spPr>
        <a:xfrm>
          <a:off x="640" y="1652345"/>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Individual</a:t>
          </a:r>
        </a:p>
      </dsp:txBody>
      <dsp:txXfrm>
        <a:off x="14302" y="1666007"/>
        <a:ext cx="672359" cy="439131"/>
      </dsp:txXfrm>
    </dsp:sp>
    <dsp:sp modelId="{17D187AD-6106-468F-9C4E-46A5A7B26ADF}">
      <dsp:nvSpPr>
        <dsp:cNvPr id="0" name=""/>
        <dsp:cNvSpPr/>
      </dsp:nvSpPr>
      <dsp:spPr>
        <a:xfrm>
          <a:off x="1107610" y="1465762"/>
          <a:ext cx="152461" cy="186582"/>
        </a:xfrm>
        <a:custGeom>
          <a:avLst/>
          <a:gdLst/>
          <a:ahLst/>
          <a:cxnLst/>
          <a:rect l="0" t="0" r="0" b="0"/>
          <a:pathLst>
            <a:path>
              <a:moveTo>
                <a:pt x="152613" y="0"/>
              </a:moveTo>
              <a:lnTo>
                <a:pt x="152613" y="93384"/>
              </a:lnTo>
              <a:lnTo>
                <a:pt x="0" y="93384"/>
              </a:lnTo>
              <a:lnTo>
                <a:pt x="0" y="1867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AA83042-C6A0-430D-A971-9605568394AE}">
      <dsp:nvSpPr>
        <dsp:cNvPr id="0" name=""/>
        <dsp:cNvSpPr/>
      </dsp:nvSpPr>
      <dsp:spPr>
        <a:xfrm>
          <a:off x="757768" y="1652345"/>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Society</a:t>
          </a:r>
        </a:p>
      </dsp:txBody>
      <dsp:txXfrm>
        <a:off x="771430" y="1666007"/>
        <a:ext cx="672359" cy="439131"/>
      </dsp:txXfrm>
    </dsp:sp>
    <dsp:sp modelId="{3EE1C531-81B5-4ED7-A764-4F31EDEA4555}">
      <dsp:nvSpPr>
        <dsp:cNvPr id="0" name=""/>
        <dsp:cNvSpPr/>
      </dsp:nvSpPr>
      <dsp:spPr>
        <a:xfrm>
          <a:off x="1260071" y="1465762"/>
          <a:ext cx="633164" cy="181525"/>
        </a:xfrm>
        <a:custGeom>
          <a:avLst/>
          <a:gdLst/>
          <a:ahLst/>
          <a:cxnLst/>
          <a:rect l="0" t="0" r="0" b="0"/>
          <a:pathLst>
            <a:path>
              <a:moveTo>
                <a:pt x="0" y="0"/>
              </a:moveTo>
              <a:lnTo>
                <a:pt x="0" y="90853"/>
              </a:lnTo>
              <a:lnTo>
                <a:pt x="633799" y="90853"/>
              </a:lnTo>
              <a:lnTo>
                <a:pt x="633799" y="18170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820485-9C6C-4C29-A2AA-31E4349C4C8D}">
      <dsp:nvSpPr>
        <dsp:cNvPr id="0" name=""/>
        <dsp:cNvSpPr/>
      </dsp:nvSpPr>
      <dsp:spPr>
        <a:xfrm>
          <a:off x="1543394" y="1647288"/>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Inequality</a:t>
          </a:r>
        </a:p>
      </dsp:txBody>
      <dsp:txXfrm>
        <a:off x="1557056" y="1660950"/>
        <a:ext cx="672359" cy="439131"/>
      </dsp:txXfrm>
    </dsp:sp>
    <dsp:sp modelId="{D7B2A863-C1FF-4C43-891C-F5989DF514D4}">
      <dsp:nvSpPr>
        <dsp:cNvPr id="0" name=""/>
        <dsp:cNvSpPr/>
      </dsp:nvSpPr>
      <dsp:spPr>
        <a:xfrm>
          <a:off x="2741666" y="812724"/>
          <a:ext cx="702685" cy="186582"/>
        </a:xfrm>
        <a:custGeom>
          <a:avLst/>
          <a:gdLst/>
          <a:ahLst/>
          <a:cxnLst/>
          <a:rect l="0" t="0" r="0" b="0"/>
          <a:pathLst>
            <a:path>
              <a:moveTo>
                <a:pt x="0" y="0"/>
              </a:moveTo>
              <a:lnTo>
                <a:pt x="0" y="93384"/>
              </a:lnTo>
              <a:lnTo>
                <a:pt x="703389" y="93384"/>
              </a:lnTo>
              <a:lnTo>
                <a:pt x="703389" y="1867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95CFD5-CF1C-4342-B330-88C83653095A}">
      <dsp:nvSpPr>
        <dsp:cNvPr id="0" name=""/>
        <dsp:cNvSpPr/>
      </dsp:nvSpPr>
      <dsp:spPr>
        <a:xfrm>
          <a:off x="3094509" y="999307"/>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Making a difference</a:t>
          </a:r>
        </a:p>
      </dsp:txBody>
      <dsp:txXfrm>
        <a:off x="3108171" y="1012969"/>
        <a:ext cx="672359" cy="439131"/>
      </dsp:txXfrm>
    </dsp:sp>
    <dsp:sp modelId="{8ACAA288-BB95-4C31-B654-E5EC28E739BA}">
      <dsp:nvSpPr>
        <dsp:cNvPr id="0" name=""/>
        <dsp:cNvSpPr/>
      </dsp:nvSpPr>
      <dsp:spPr>
        <a:xfrm>
          <a:off x="2717009" y="1465762"/>
          <a:ext cx="727342" cy="179874"/>
        </a:xfrm>
        <a:custGeom>
          <a:avLst/>
          <a:gdLst/>
          <a:ahLst/>
          <a:cxnLst/>
          <a:rect l="0" t="0" r="0" b="0"/>
          <a:pathLst>
            <a:path>
              <a:moveTo>
                <a:pt x="728071" y="0"/>
              </a:moveTo>
              <a:lnTo>
                <a:pt x="728071" y="90027"/>
              </a:lnTo>
              <a:lnTo>
                <a:pt x="0" y="90027"/>
              </a:lnTo>
              <a:lnTo>
                <a:pt x="0" y="1800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40ACBE-1FCE-4905-825E-C08996420E2F}">
      <dsp:nvSpPr>
        <dsp:cNvPr id="0" name=""/>
        <dsp:cNvSpPr/>
      </dsp:nvSpPr>
      <dsp:spPr>
        <a:xfrm>
          <a:off x="2367167" y="1645637"/>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Feasibility</a:t>
          </a:r>
        </a:p>
      </dsp:txBody>
      <dsp:txXfrm>
        <a:off x="2380829" y="1659299"/>
        <a:ext cx="672359" cy="439131"/>
      </dsp:txXfrm>
    </dsp:sp>
    <dsp:sp modelId="{A741884C-FCDD-48BF-ABC1-6A8786FE217C}">
      <dsp:nvSpPr>
        <dsp:cNvPr id="0" name=""/>
        <dsp:cNvSpPr/>
      </dsp:nvSpPr>
      <dsp:spPr>
        <a:xfrm>
          <a:off x="3398631" y="1465762"/>
          <a:ext cx="91440" cy="173167"/>
        </a:xfrm>
        <a:custGeom>
          <a:avLst/>
          <a:gdLst/>
          <a:ahLst/>
          <a:cxnLst/>
          <a:rect l="0" t="0" r="0" b="0"/>
          <a:pathLst>
            <a:path>
              <a:moveTo>
                <a:pt x="45720" y="0"/>
              </a:moveTo>
              <a:lnTo>
                <a:pt x="45720" y="86670"/>
              </a:lnTo>
              <a:lnTo>
                <a:pt x="127412" y="86670"/>
              </a:lnTo>
              <a:lnTo>
                <a:pt x="127412" y="1733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82D4F5-F9CA-4B87-B01D-C5AB8CCBDC17}">
      <dsp:nvSpPr>
        <dsp:cNvPr id="0" name=""/>
        <dsp:cNvSpPr/>
      </dsp:nvSpPr>
      <dsp:spPr>
        <a:xfrm>
          <a:off x="3176120" y="1638930"/>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Range and fit with current guidance</a:t>
          </a:r>
        </a:p>
      </dsp:txBody>
      <dsp:txXfrm>
        <a:off x="3189782" y="1652592"/>
        <a:ext cx="672359" cy="439131"/>
      </dsp:txXfrm>
    </dsp:sp>
    <dsp:sp modelId="{DB2BFC66-40D9-4252-9FFB-B246122510C8}">
      <dsp:nvSpPr>
        <dsp:cNvPr id="0" name=""/>
        <dsp:cNvSpPr/>
      </dsp:nvSpPr>
      <dsp:spPr>
        <a:xfrm>
          <a:off x="3444351" y="1465762"/>
          <a:ext cx="850339" cy="186582"/>
        </a:xfrm>
        <a:custGeom>
          <a:avLst/>
          <a:gdLst/>
          <a:ahLst/>
          <a:cxnLst/>
          <a:rect l="0" t="0" r="0" b="0"/>
          <a:pathLst>
            <a:path>
              <a:moveTo>
                <a:pt x="0" y="0"/>
              </a:moveTo>
              <a:lnTo>
                <a:pt x="0" y="93384"/>
              </a:lnTo>
              <a:lnTo>
                <a:pt x="851192" y="93384"/>
              </a:lnTo>
              <a:lnTo>
                <a:pt x="851192" y="1867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BC4CD6-2A86-4CD9-B880-EE650EF224E0}">
      <dsp:nvSpPr>
        <dsp:cNvPr id="0" name=""/>
        <dsp:cNvSpPr/>
      </dsp:nvSpPr>
      <dsp:spPr>
        <a:xfrm>
          <a:off x="3944849" y="1652345"/>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Availability of evidence</a:t>
          </a:r>
        </a:p>
      </dsp:txBody>
      <dsp:txXfrm>
        <a:off x="3958511" y="1666007"/>
        <a:ext cx="672359" cy="439131"/>
      </dsp:txXfrm>
    </dsp:sp>
    <dsp:sp modelId="{11246296-3FF4-4706-937C-7CCFEE9442D4}">
      <dsp:nvSpPr>
        <dsp:cNvPr id="0" name=""/>
        <dsp:cNvSpPr/>
      </dsp:nvSpPr>
      <dsp:spPr>
        <a:xfrm>
          <a:off x="2741666" y="812724"/>
          <a:ext cx="2156761" cy="186582"/>
        </a:xfrm>
        <a:custGeom>
          <a:avLst/>
          <a:gdLst/>
          <a:ahLst/>
          <a:cxnLst/>
          <a:rect l="0" t="0" r="0" b="0"/>
          <a:pathLst>
            <a:path>
              <a:moveTo>
                <a:pt x="0" y="0"/>
              </a:moveTo>
              <a:lnTo>
                <a:pt x="0" y="93384"/>
              </a:lnTo>
              <a:lnTo>
                <a:pt x="2158923" y="93384"/>
              </a:lnTo>
              <a:lnTo>
                <a:pt x="2158923" y="1867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472AC4-40F2-4B23-97AE-5842DD81E83A}">
      <dsp:nvSpPr>
        <dsp:cNvPr id="0" name=""/>
        <dsp:cNvSpPr/>
      </dsp:nvSpPr>
      <dsp:spPr>
        <a:xfrm>
          <a:off x="4548585" y="999307"/>
          <a:ext cx="699683" cy="46645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Arial" pitchFamily="34" charset="0"/>
              <a:ea typeface="+mn-ea"/>
              <a:cs typeface="Arial" pitchFamily="34" charset="0"/>
            </a:rPr>
            <a:t>Current variation in practice</a:t>
          </a:r>
        </a:p>
      </dsp:txBody>
      <dsp:txXfrm>
        <a:off x="4562247" y="1012969"/>
        <a:ext cx="672359" cy="4391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ECA7-1A4F-4F52-BCAD-92C2C4DC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225884</Words>
  <Characters>1287545</Characters>
  <Application>Microsoft Office Word</Application>
  <DocSecurity>0</DocSecurity>
  <Lines>10729</Lines>
  <Paragraphs>3020</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1510409</CharactersWithSpaces>
  <SharedDoc>false</SharedDoc>
  <HLinks>
    <vt:vector size="48" baseType="variant">
      <vt:variant>
        <vt:i4>8126575</vt:i4>
      </vt:variant>
      <vt:variant>
        <vt:i4>2257</vt:i4>
      </vt:variant>
      <vt:variant>
        <vt:i4>0</vt:i4>
      </vt:variant>
      <vt:variant>
        <vt:i4>5</vt:i4>
      </vt:variant>
      <vt:variant>
        <vt:lpwstr>http://knol.google.com/k/the-future-of-hta-is-mcda</vt:lpwstr>
      </vt:variant>
      <vt:variant>
        <vt:lpwstr/>
      </vt:variant>
      <vt:variant>
        <vt:i4>2228290</vt:i4>
      </vt:variant>
      <vt:variant>
        <vt:i4>2254</vt:i4>
      </vt:variant>
      <vt:variant>
        <vt:i4>0</vt:i4>
      </vt:variant>
      <vt:variant>
        <vt:i4>5</vt:i4>
      </vt:variant>
      <vt:variant>
        <vt:lpwstr>http://www.nhs.uk/news/2012/08august/Pages/gastric-bypass-surgery-up-fivefold-in-six-years.aspx</vt:lpwstr>
      </vt:variant>
      <vt:variant>
        <vt:lpwstr/>
      </vt:variant>
      <vt:variant>
        <vt:i4>3080209</vt:i4>
      </vt:variant>
      <vt:variant>
        <vt:i4>2251</vt:i4>
      </vt:variant>
      <vt:variant>
        <vt:i4>0</vt:i4>
      </vt:variant>
      <vt:variant>
        <vt:i4>5</vt:i4>
      </vt:variant>
      <vt:variant>
        <vt:lpwstr>http://www.nice.org.uk/Media/Default/About/Who-we-are/NICE_Charter.pdf</vt:lpwstr>
      </vt:variant>
      <vt:variant>
        <vt:lpwstr/>
      </vt:variant>
      <vt:variant>
        <vt:i4>3080306</vt:i4>
      </vt:variant>
      <vt:variant>
        <vt:i4>2248</vt:i4>
      </vt:variant>
      <vt:variant>
        <vt:i4>0</vt:i4>
      </vt:variant>
      <vt:variant>
        <vt:i4>5</vt:i4>
      </vt:variant>
      <vt:variant>
        <vt:lpwstr>http://www.nhshistory.net/shorthistory.htm</vt:lpwstr>
      </vt:variant>
      <vt:variant>
        <vt:lpwstr/>
      </vt:variant>
      <vt:variant>
        <vt:i4>2293794</vt:i4>
      </vt:variant>
      <vt:variant>
        <vt:i4>2245</vt:i4>
      </vt:variant>
      <vt:variant>
        <vt:i4>0</vt:i4>
      </vt:variant>
      <vt:variant>
        <vt:i4>5</vt:i4>
      </vt:variant>
      <vt:variant>
        <vt:lpwstr>http://www.johnsnowsociety.org/johnsnow/facts.html</vt:lpwstr>
      </vt:variant>
      <vt:variant>
        <vt:lpwstr/>
      </vt:variant>
      <vt:variant>
        <vt:i4>5308533</vt:i4>
      </vt:variant>
      <vt:variant>
        <vt:i4>2242</vt:i4>
      </vt:variant>
      <vt:variant>
        <vt:i4>0</vt:i4>
      </vt:variant>
      <vt:variant>
        <vt:i4>5</vt:i4>
      </vt:variant>
      <vt:variant>
        <vt:lpwstr>http://www.mcdmsociety.org/intro.html</vt:lpwstr>
      </vt:variant>
      <vt:variant>
        <vt:lpwstr/>
      </vt:variant>
      <vt:variant>
        <vt:i4>7143434</vt:i4>
      </vt:variant>
      <vt:variant>
        <vt:i4>3</vt:i4>
      </vt:variant>
      <vt:variant>
        <vt:i4>0</vt:i4>
      </vt:variant>
      <vt:variant>
        <vt:i4>5</vt:i4>
      </vt:variant>
      <vt:variant>
        <vt:lpwstr>http://www.implementationscience.com/content/10/1/53</vt:lpwstr>
      </vt:variant>
      <vt:variant>
        <vt:lpwstr>B19</vt:lpwstr>
      </vt:variant>
      <vt:variant>
        <vt:i4>7143435</vt:i4>
      </vt:variant>
      <vt:variant>
        <vt:i4>0</vt:i4>
      </vt:variant>
      <vt:variant>
        <vt:i4>0</vt:i4>
      </vt:variant>
      <vt:variant>
        <vt:i4>5</vt:i4>
      </vt:variant>
      <vt:variant>
        <vt:lpwstr>http://www.implementationscience.com/content/10/1/53</vt:lpwstr>
      </vt:variant>
      <vt:variant>
        <vt:lpwstr>B18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Cmp10bpr</dc:creator>
  <cp:keywords/>
  <dc:description/>
  <cp:lastModifiedBy>Brian Reddy</cp:lastModifiedBy>
  <cp:revision>9</cp:revision>
  <cp:lastPrinted>2017-03-02T12:04:00Z</cp:lastPrinted>
  <dcterms:created xsi:type="dcterms:W3CDTF">2017-03-02T17:33:00Z</dcterms:created>
  <dcterms:modified xsi:type="dcterms:W3CDTF">2017-03-02T18:15:00Z</dcterms:modified>
</cp:coreProperties>
</file>